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rPr>
          <w:color w:val="auto"/>
          <w:highlight w:val="none"/>
        </w:rPr>
      </w:pPr>
      <w:bookmarkStart w:id="0" w:name="_Toc47788110"/>
      <w:bookmarkStart w:id="1" w:name="_Toc496798287"/>
      <w:bookmarkStart w:id="2" w:name="_Toc39820870"/>
      <w:bookmarkStart w:id="3" w:name="_Toc40718522"/>
      <w:bookmarkStart w:id="4" w:name="_Toc21334"/>
      <w:bookmarkStart w:id="5" w:name="_Toc32343"/>
      <w:bookmarkStart w:id="6" w:name="_Toc28613"/>
      <w:bookmarkStart w:id="7" w:name="_Toc9406"/>
      <w:bookmarkStart w:id="8" w:name="_Toc20626"/>
      <w:r>
        <w:rPr>
          <w:rFonts w:hint="eastAsia"/>
          <w:color w:val="auto"/>
          <w:highlight w:val="none"/>
        </w:rPr>
        <w:t xml:space="preserve">第一章 </w:t>
      </w:r>
      <w:bookmarkEnd w:id="0"/>
      <w:bookmarkEnd w:id="1"/>
      <w:bookmarkEnd w:id="2"/>
      <w:bookmarkEnd w:id="3"/>
      <w:r>
        <w:rPr>
          <w:rFonts w:hint="eastAsia"/>
          <w:color w:val="auto"/>
          <w:highlight w:val="none"/>
        </w:rPr>
        <w:t>招标公告</w:t>
      </w:r>
      <w:bookmarkEnd w:id="4"/>
      <w:bookmarkEnd w:id="5"/>
      <w:bookmarkEnd w:id="6"/>
      <w:bookmarkEnd w:id="7"/>
      <w:bookmarkEnd w:id="8"/>
    </w:p>
    <w:p>
      <w:pPr>
        <w:pStyle w:val="9"/>
        <w:ind w:firstLine="482"/>
        <w:rPr>
          <w:color w:val="auto"/>
          <w:highlight w:val="none"/>
        </w:rPr>
      </w:pPr>
      <w:bookmarkStart w:id="9" w:name="_Toc45549400"/>
      <w:bookmarkStart w:id="10" w:name="_Toc20839"/>
      <w:bookmarkStart w:id="11" w:name="_Toc10075"/>
      <w:bookmarkStart w:id="12" w:name="_Toc39820871"/>
      <w:bookmarkStart w:id="13" w:name="_Toc29676"/>
      <w:bookmarkStart w:id="14" w:name="_Toc30456"/>
      <w:bookmarkStart w:id="15" w:name="_Toc12918"/>
      <w:r>
        <w:rPr>
          <w:rFonts w:hint="eastAsia"/>
          <w:color w:val="auto"/>
          <w:highlight w:val="none"/>
        </w:rPr>
        <w:t>1</w:t>
      </w:r>
      <w:r>
        <w:rPr>
          <w:color w:val="auto"/>
          <w:highlight w:val="none"/>
        </w:rPr>
        <w:t>.招标条件</w:t>
      </w:r>
      <w:bookmarkEnd w:id="9"/>
      <w:bookmarkEnd w:id="10"/>
      <w:bookmarkEnd w:id="11"/>
      <w:bookmarkEnd w:id="12"/>
      <w:bookmarkEnd w:id="13"/>
      <w:bookmarkEnd w:id="14"/>
      <w:bookmarkEnd w:id="15"/>
    </w:p>
    <w:p>
      <w:pPr>
        <w:pStyle w:val="8"/>
        <w:ind w:firstLine="480"/>
        <w:rPr>
          <w:color w:val="auto"/>
          <w:highlight w:val="none"/>
        </w:rPr>
      </w:pPr>
      <w:r>
        <w:rPr>
          <w:rFonts w:hint="eastAsia"/>
          <w:color w:val="auto"/>
          <w:highlight w:val="none"/>
        </w:rPr>
        <w:t>根据《中华人民共和国招标投标法》、《中华人民共和国招标投标法实施条例》等有关法律、行政法规以及省市规范性文件规定及要求，由</w:t>
      </w:r>
      <w:r>
        <w:rPr>
          <w:rFonts w:hint="eastAsia"/>
          <w:color w:val="auto"/>
          <w:highlight w:val="none"/>
          <w:u w:val="single"/>
        </w:rPr>
        <w:t>怒江州交通运输局</w:t>
      </w:r>
      <w:r>
        <w:rPr>
          <w:rFonts w:hint="eastAsia"/>
          <w:color w:val="auto"/>
          <w:highlight w:val="none"/>
        </w:rPr>
        <w:t>委托</w:t>
      </w:r>
      <w:r>
        <w:rPr>
          <w:rFonts w:hint="eastAsia"/>
          <w:color w:val="auto"/>
          <w:highlight w:val="none"/>
          <w:u w:val="single"/>
        </w:rPr>
        <w:t>云南云岭工程造价咨询有限公司</w:t>
      </w:r>
      <w:r>
        <w:rPr>
          <w:rFonts w:hint="eastAsia"/>
          <w:color w:val="auto"/>
          <w:highlight w:val="none"/>
        </w:rPr>
        <w:t>对</w:t>
      </w:r>
      <w:r>
        <w:rPr>
          <w:rFonts w:hint="eastAsia"/>
          <w:color w:val="auto"/>
          <w:highlight w:val="none"/>
          <w:u w:val="single"/>
          <w:lang w:eastAsia="zh-CN"/>
        </w:rPr>
        <w:t>云龙至泸水高速公路特许经营项目社会投资人招标（二次）</w:t>
      </w:r>
      <w:r>
        <w:rPr>
          <w:rFonts w:hint="eastAsia"/>
          <w:color w:val="auto"/>
          <w:highlight w:val="none"/>
        </w:rPr>
        <w:t>（以下简称“本项目”）（项目编号：</w:t>
      </w:r>
      <w:r>
        <w:rPr>
          <w:rFonts w:hint="eastAsia"/>
          <w:color w:val="auto"/>
          <w:highlight w:val="none"/>
          <w:lang w:eastAsia="zh-CN"/>
        </w:rPr>
        <w:t>YLZJ2023-08</w:t>
      </w:r>
      <w:r>
        <w:rPr>
          <w:rFonts w:hint="eastAsia"/>
          <w:color w:val="auto"/>
          <w:highlight w:val="none"/>
        </w:rPr>
        <w:t>）采用公开招标方式进行招标，资格审查方式为资格后审。</w:t>
      </w:r>
    </w:p>
    <w:p>
      <w:pPr>
        <w:pStyle w:val="9"/>
        <w:ind w:firstLine="482"/>
        <w:rPr>
          <w:color w:val="auto"/>
          <w:highlight w:val="none"/>
        </w:rPr>
      </w:pPr>
      <w:bookmarkStart w:id="16" w:name="_Toc495849202"/>
      <w:bookmarkStart w:id="17" w:name="_Toc1562"/>
      <w:bookmarkStart w:id="18" w:name="_Toc39820872"/>
      <w:bookmarkStart w:id="19" w:name="_Toc2066"/>
      <w:bookmarkStart w:id="20" w:name="_Toc5097"/>
      <w:bookmarkStart w:id="21" w:name="_Toc18113"/>
      <w:bookmarkStart w:id="22" w:name="_Toc45549401"/>
      <w:bookmarkStart w:id="23" w:name="_Toc2418"/>
      <w:r>
        <w:rPr>
          <w:color w:val="auto"/>
          <w:highlight w:val="none"/>
        </w:rPr>
        <w:t>2</w:t>
      </w:r>
      <w:r>
        <w:rPr>
          <w:rFonts w:hint="eastAsia"/>
          <w:color w:val="auto"/>
          <w:highlight w:val="none"/>
        </w:rPr>
        <w:t>.项目概况</w:t>
      </w:r>
      <w:bookmarkEnd w:id="16"/>
      <w:r>
        <w:rPr>
          <w:rFonts w:hint="eastAsia"/>
          <w:color w:val="auto"/>
          <w:highlight w:val="none"/>
        </w:rPr>
        <w:t>与招标范围</w:t>
      </w:r>
      <w:bookmarkEnd w:id="17"/>
      <w:bookmarkEnd w:id="18"/>
      <w:bookmarkEnd w:id="19"/>
      <w:bookmarkEnd w:id="20"/>
      <w:bookmarkEnd w:id="21"/>
      <w:bookmarkEnd w:id="22"/>
      <w:bookmarkEnd w:id="23"/>
    </w:p>
    <w:p>
      <w:pPr>
        <w:pStyle w:val="10"/>
        <w:rPr>
          <w:color w:val="auto"/>
          <w:highlight w:val="none"/>
        </w:rPr>
      </w:pPr>
      <w:bookmarkStart w:id="24" w:name="_Toc23846"/>
      <w:bookmarkStart w:id="25" w:name="_Toc39820873"/>
      <w:bookmarkStart w:id="26" w:name="_Toc9175"/>
      <w:r>
        <w:rPr>
          <w:color w:val="auto"/>
          <w:highlight w:val="none"/>
        </w:rPr>
        <w:t>2.1</w:t>
      </w:r>
      <w:r>
        <w:rPr>
          <w:rFonts w:hint="eastAsia"/>
          <w:color w:val="auto"/>
          <w:highlight w:val="none"/>
        </w:rPr>
        <w:t>项目概况</w:t>
      </w:r>
      <w:bookmarkEnd w:id="24"/>
      <w:bookmarkEnd w:id="25"/>
      <w:bookmarkEnd w:id="26"/>
    </w:p>
    <w:p>
      <w:pPr>
        <w:pStyle w:val="11"/>
        <w:rPr>
          <w:color w:val="auto"/>
          <w:highlight w:val="none"/>
        </w:rPr>
      </w:pPr>
      <w:r>
        <w:rPr>
          <w:color w:val="auto"/>
          <w:highlight w:val="none"/>
        </w:rPr>
        <w:t>2.1.1</w:t>
      </w:r>
      <w:r>
        <w:rPr>
          <w:rFonts w:hint="eastAsia"/>
          <w:color w:val="auto"/>
          <w:highlight w:val="none"/>
        </w:rPr>
        <w:t>建设地点</w:t>
      </w:r>
    </w:p>
    <w:p>
      <w:pPr>
        <w:pStyle w:val="8"/>
        <w:ind w:firstLine="480"/>
        <w:rPr>
          <w:color w:val="auto"/>
          <w:highlight w:val="none"/>
        </w:rPr>
      </w:pPr>
      <w:bookmarkStart w:id="27" w:name="_Hlk57279142"/>
      <w:r>
        <w:rPr>
          <w:rFonts w:hint="eastAsia"/>
          <w:color w:val="auto"/>
          <w:highlight w:val="none"/>
        </w:rPr>
        <w:t>云龙至泸水高速公路位于云南省中西部地区怒江州、大理州境内。</w:t>
      </w:r>
      <w:bookmarkEnd w:id="27"/>
    </w:p>
    <w:p>
      <w:pPr>
        <w:pStyle w:val="11"/>
        <w:rPr>
          <w:color w:val="auto"/>
          <w:highlight w:val="none"/>
        </w:rPr>
      </w:pPr>
      <w:r>
        <w:rPr>
          <w:color w:val="auto"/>
          <w:highlight w:val="none"/>
        </w:rPr>
        <w:t>2.1.2</w:t>
      </w:r>
      <w:r>
        <w:rPr>
          <w:rFonts w:hint="eastAsia"/>
          <w:color w:val="auto"/>
          <w:highlight w:val="none"/>
        </w:rPr>
        <w:t>建设规模</w:t>
      </w:r>
    </w:p>
    <w:p>
      <w:pPr>
        <w:widowControl w:val="0"/>
        <w:spacing w:line="560" w:lineRule="exact"/>
        <w:ind w:firstLine="480" w:firstLineChars="200"/>
        <w:jc w:val="both"/>
        <w:rPr>
          <w:color w:val="auto"/>
          <w:highlight w:val="none"/>
        </w:rPr>
      </w:pPr>
      <w:bookmarkStart w:id="28" w:name="_Hlk98943469"/>
      <w:bookmarkStart w:id="29" w:name="_Hlk57279151"/>
      <w:r>
        <w:rPr>
          <w:rFonts w:hint="eastAsia"/>
          <w:color w:val="auto"/>
          <w:highlight w:val="none"/>
        </w:rPr>
        <w:t>本项目路线全长66.149km，设特大桥9569m/6座，大桥4506m/13座，中小桥46m/1座，桥梁全长14121m/20座；设特长隧道30297m/4座，长隧道15855m/9座；中隧道853m/1座，隧道全长47005m/14座，桥隧比例92.41%；设互通立交5座，其中2座枢纽互通，3座服务型互通，设置服务区1处，养护工区1处，监控分中心1处，隧道管理站5处。</w:t>
      </w:r>
    </w:p>
    <w:p>
      <w:pPr>
        <w:widowControl w:val="0"/>
        <w:spacing w:line="560" w:lineRule="exact"/>
        <w:ind w:firstLine="480" w:firstLineChars="200"/>
        <w:jc w:val="both"/>
        <w:rPr>
          <w:color w:val="auto"/>
          <w:highlight w:val="none"/>
        </w:rPr>
      </w:pPr>
      <w:r>
        <w:rPr>
          <w:rFonts w:hint="eastAsia"/>
          <w:color w:val="auto"/>
          <w:highlight w:val="none"/>
        </w:rPr>
        <w:t>其中，怒江州境内段主线里程39.138km，占总里程长度的59.17%；大理州境内段主线里程27.011km，占总里程长度的40.83%。</w:t>
      </w:r>
    </w:p>
    <w:bookmarkEnd w:id="28"/>
    <w:bookmarkEnd w:id="29"/>
    <w:p>
      <w:pPr>
        <w:pStyle w:val="11"/>
        <w:rPr>
          <w:color w:val="auto"/>
          <w:highlight w:val="none"/>
        </w:rPr>
      </w:pPr>
      <w:r>
        <w:rPr>
          <w:rFonts w:hint="eastAsia"/>
          <w:color w:val="auto"/>
          <w:highlight w:val="none"/>
        </w:rPr>
        <w:t>2</w:t>
      </w:r>
      <w:r>
        <w:rPr>
          <w:color w:val="auto"/>
          <w:highlight w:val="none"/>
        </w:rPr>
        <w:t>.1.3项目投资</w:t>
      </w:r>
    </w:p>
    <w:p>
      <w:pPr>
        <w:pStyle w:val="8"/>
        <w:ind w:firstLine="480"/>
        <w:jc w:val="left"/>
        <w:rPr>
          <w:color w:val="auto"/>
          <w:highlight w:val="none"/>
        </w:rPr>
      </w:pPr>
      <w:r>
        <w:rPr>
          <w:rFonts w:hint="eastAsia"/>
          <w:color w:val="auto"/>
          <w:highlight w:val="none"/>
        </w:rPr>
        <w:t>根据云南省发展和改革委员会关于《云龙至泸水高速公路工程可行性研究报告的批复》（云发改基础〔2022〕233号），本项目可研批复估算总投资1,885,913.92万元，其中，怒江州境内段总投资1,032,449.74万元，占全段投资占比54.75%；大理州境内段总投资853,464.18万元，占全段投资占比45.25%。(工程实际总投资最终以经批复的初步设计概算为准。如有调整或修正概算的，以经调整和修正的概算为准)。</w:t>
      </w:r>
    </w:p>
    <w:p>
      <w:pPr>
        <w:pStyle w:val="11"/>
        <w:rPr>
          <w:color w:val="auto"/>
          <w:highlight w:val="none"/>
        </w:rPr>
      </w:pPr>
      <w:r>
        <w:rPr>
          <w:color w:val="auto"/>
          <w:highlight w:val="none"/>
        </w:rPr>
        <w:t>2</w:t>
      </w:r>
      <w:r>
        <w:rPr>
          <w:rFonts w:hint="eastAsia"/>
          <w:color w:val="auto"/>
          <w:highlight w:val="none"/>
        </w:rPr>
        <w:t>.</w:t>
      </w:r>
      <w:r>
        <w:rPr>
          <w:color w:val="auto"/>
          <w:highlight w:val="none"/>
        </w:rPr>
        <w:t>1.4</w:t>
      </w:r>
      <w:r>
        <w:rPr>
          <w:rFonts w:hint="eastAsia"/>
          <w:color w:val="auto"/>
          <w:highlight w:val="none"/>
        </w:rPr>
        <w:t>技术标准</w:t>
      </w:r>
    </w:p>
    <w:p>
      <w:pPr>
        <w:spacing w:line="560" w:lineRule="exact"/>
        <w:ind w:firstLine="480" w:firstLineChars="200"/>
        <w:rPr>
          <w:color w:val="auto"/>
          <w:highlight w:val="none"/>
        </w:rPr>
      </w:pPr>
      <w:r>
        <w:rPr>
          <w:rFonts w:hint="eastAsia" w:cs="Times New Roman"/>
          <w:color w:val="auto"/>
          <w:kern w:val="2"/>
          <w:szCs w:val="22"/>
          <w:highlight w:val="none"/>
        </w:rPr>
        <w:t>本项目技术标准选择执行交通部《公路工程技术标准》（JTG B01-2014）、《公路路线设计规范》（JTG D20-2017）、《公路路基设计规范》（JTG D30-2015）的有关规定，同时也应符合其它相关技术规范的要求。根据工可报告论证分析，结合本项目的使用任务、性质、功能和交通量，主线按双向四车道高速公路标准建设，设计速度80公里/小时，路基宽度25.5米。</w:t>
      </w:r>
    </w:p>
    <w:p>
      <w:pPr>
        <w:pStyle w:val="11"/>
        <w:rPr>
          <w:color w:val="auto"/>
          <w:highlight w:val="none"/>
        </w:rPr>
      </w:pPr>
      <w:r>
        <w:rPr>
          <w:rFonts w:hint="eastAsia"/>
          <w:color w:val="auto"/>
          <w:highlight w:val="none"/>
        </w:rPr>
        <w:t>2</w:t>
      </w:r>
      <w:r>
        <w:rPr>
          <w:color w:val="auto"/>
          <w:highlight w:val="none"/>
        </w:rPr>
        <w:t>.1.5合作模式</w:t>
      </w:r>
    </w:p>
    <w:p>
      <w:pPr>
        <w:pStyle w:val="8"/>
        <w:ind w:firstLine="480"/>
        <w:rPr>
          <w:color w:val="auto"/>
          <w:highlight w:val="none"/>
        </w:rPr>
      </w:pPr>
      <w:r>
        <w:rPr>
          <w:rFonts w:hint="eastAsia"/>
          <w:color w:val="auto"/>
          <w:highlight w:val="none"/>
        </w:rPr>
        <w:t>项目采用特许经营模式运作，具体合作方式为“</w:t>
      </w:r>
      <w:r>
        <w:rPr>
          <w:rFonts w:hint="eastAsia"/>
          <w:color w:val="auto"/>
          <w:highlight w:val="none"/>
          <w:lang w:val="en-US" w:eastAsia="zh-CN"/>
        </w:rPr>
        <w:t>特许经营+</w:t>
      </w:r>
      <w:r>
        <w:rPr>
          <w:rFonts w:hint="eastAsia"/>
          <w:color w:val="auto"/>
          <w:highlight w:val="none"/>
        </w:rPr>
        <w:t>建设期政府补助+施工总承包”。由中标社会投资人出资组建项目公司，怒江州、大理州政府将该项目特许经营权授予项目公司。</w:t>
      </w:r>
    </w:p>
    <w:p>
      <w:pPr>
        <w:pStyle w:val="8"/>
        <w:ind w:firstLine="480"/>
        <w:rPr>
          <w:rFonts w:hint="eastAsia"/>
          <w:color w:val="auto"/>
          <w:highlight w:val="none"/>
          <w:lang w:eastAsia="zh-CN"/>
        </w:rPr>
      </w:pPr>
      <w:r>
        <w:rPr>
          <w:rFonts w:hint="eastAsia"/>
          <w:color w:val="auto"/>
          <w:highlight w:val="none"/>
        </w:rPr>
        <w:t>经怒江州、大理州政府商议决定由怒江州负责项目的前期工作，牵头组织开展社会</w:t>
      </w:r>
      <w:r>
        <w:rPr>
          <w:rFonts w:hint="eastAsia"/>
          <w:color w:val="auto"/>
          <w:highlight w:val="none"/>
          <w:lang w:val="en-US" w:eastAsia="zh-CN"/>
        </w:rPr>
        <w:t>投资人的招标活动</w:t>
      </w:r>
      <w:r>
        <w:rPr>
          <w:rFonts w:hint="eastAsia"/>
          <w:color w:val="auto"/>
          <w:highlight w:val="none"/>
        </w:rPr>
        <w:t>，大理州积极配合招标工作，并认可招标结果及中标</w:t>
      </w:r>
      <w:r>
        <w:rPr>
          <w:rFonts w:hint="eastAsia"/>
          <w:color w:val="auto"/>
          <w:highlight w:val="none"/>
          <w:lang w:val="en-US" w:eastAsia="zh-CN"/>
        </w:rPr>
        <w:t>社会投资人</w:t>
      </w:r>
      <w:r>
        <w:rPr>
          <w:rFonts w:hint="eastAsia"/>
          <w:color w:val="auto"/>
          <w:highlight w:val="none"/>
        </w:rPr>
        <w:t>。本项目通过公开招标方式选择社会投资人。社会投资人具备本项目施工总承包资质时，根据《中华人民共和国招标投标法实施条例》第九条规定，项目施工总承包依法无需再次招标</w:t>
      </w:r>
      <w:r>
        <w:rPr>
          <w:rFonts w:hint="eastAsia"/>
          <w:color w:val="auto"/>
          <w:highlight w:val="none"/>
          <w:lang w:eastAsia="zh-CN"/>
        </w:rPr>
        <w:t>。政府方负责的前期工作中，签订的未履行完成的有效合同或已完成采购尚未签订合同的，自项目公司成立后可由项目公司继受部分或全部合同项下的权利义务（合同项下仍应由政府方承担的权利义务除外），合同各方应在项目公司成立1个月内完成权利义务转让的确认并签署交接文件。</w:t>
      </w:r>
    </w:p>
    <w:p>
      <w:pPr>
        <w:pStyle w:val="8"/>
        <w:ind w:firstLine="480"/>
        <w:rPr>
          <w:color w:val="auto"/>
          <w:highlight w:val="none"/>
        </w:rPr>
      </w:pPr>
      <w:r>
        <w:rPr>
          <w:rFonts w:hint="eastAsia"/>
          <w:color w:val="auto"/>
          <w:highlight w:val="none"/>
        </w:rPr>
        <w:t>政府方与依法选定的社会投资人签订《投资协议》（或《合资合作协议》），明确各方的权利义务。依法选定的社会投资人按公司登记机关的要求成立项目公司。政府方与项目公司签订《特许经营协议》，授予项目公司投融资、建设、运营、管理和移交本项目，经依法获批收费许可后，为过往车辆提供服务并收取费用的权利。</w:t>
      </w:r>
    </w:p>
    <w:p>
      <w:pPr>
        <w:pStyle w:val="8"/>
        <w:ind w:firstLine="480"/>
        <w:rPr>
          <w:color w:val="auto"/>
          <w:highlight w:val="none"/>
        </w:rPr>
      </w:pPr>
      <w:r>
        <w:rPr>
          <w:rFonts w:hint="eastAsia"/>
          <w:color w:val="auto"/>
          <w:highlight w:val="none"/>
        </w:rPr>
        <w:t>合作期内，项目公司承担融资、建设、运营风险，政府方除按约定出资外，不承担其他补助责任和融资、经营、亏损等风险。</w:t>
      </w:r>
    </w:p>
    <w:p>
      <w:pPr>
        <w:pStyle w:val="11"/>
        <w:rPr>
          <w:color w:val="auto"/>
          <w:highlight w:val="none"/>
        </w:rPr>
      </w:pPr>
      <w:r>
        <w:rPr>
          <w:color w:val="auto"/>
          <w:highlight w:val="none"/>
        </w:rPr>
        <w:t>2.1.6</w:t>
      </w:r>
      <w:r>
        <w:rPr>
          <w:rFonts w:hint="eastAsia"/>
          <w:color w:val="auto"/>
          <w:highlight w:val="none"/>
        </w:rPr>
        <w:t>合作期限</w:t>
      </w:r>
    </w:p>
    <w:p>
      <w:pPr>
        <w:pStyle w:val="8"/>
        <w:ind w:firstLine="480"/>
        <w:rPr>
          <w:color w:val="auto"/>
          <w:highlight w:val="none"/>
        </w:rPr>
      </w:pPr>
      <w:r>
        <w:rPr>
          <w:rFonts w:hint="eastAsia"/>
          <w:color w:val="auto"/>
          <w:highlight w:val="none"/>
        </w:rPr>
        <w:t>本项目合作期限为35年，其中：建设期5年，自项目开工日起至交工日止；运营期30年，自项目交工验收合格取得收费许可并正式通车收费之日起至项目移交日止。</w:t>
      </w:r>
      <w:r>
        <w:rPr>
          <w:rFonts w:hint="eastAsia" w:ascii="宋体" w:hAnsi="宋体" w:eastAsia="宋体" w:cs="Times New Roman"/>
          <w:color w:val="auto"/>
          <w:spacing w:val="6"/>
          <w:highlight w:val="none"/>
          <w:lang w:val="zh-CN" w:bidi="zh-CN"/>
        </w:rPr>
        <w:t>在特许经营期满后，若项目收入不足以覆盖特许经营建设、运营成本及</w:t>
      </w:r>
      <w:r>
        <w:rPr>
          <w:rFonts w:hint="eastAsia" w:ascii="宋体" w:hAnsi="宋体" w:eastAsia="宋体" w:cs="Times New Roman"/>
          <w:color w:val="auto"/>
          <w:spacing w:val="6"/>
          <w:highlight w:val="none"/>
          <w:lang w:val="en-US" w:bidi="zh-CN"/>
        </w:rPr>
        <w:t>投资人</w:t>
      </w:r>
      <w:r>
        <w:rPr>
          <w:rFonts w:hint="eastAsia" w:ascii="宋体" w:hAnsi="宋体" w:eastAsia="宋体" w:cs="Times New Roman"/>
          <w:color w:val="auto"/>
          <w:spacing w:val="6"/>
          <w:highlight w:val="none"/>
          <w:lang w:val="zh-CN" w:bidi="zh-CN"/>
        </w:rPr>
        <w:t>合理收益的，</w:t>
      </w:r>
      <w:r>
        <w:rPr>
          <w:rFonts w:hint="eastAsia" w:ascii="宋体" w:hAnsi="宋体" w:eastAsia="宋体" w:cs="Times New Roman"/>
          <w:color w:val="auto"/>
          <w:spacing w:val="6"/>
          <w:highlight w:val="none"/>
          <w:lang w:val="en-US" w:eastAsia="zh-CN" w:bidi="zh-CN"/>
        </w:rPr>
        <w:t>按照有关规定经充分评估论证（如：项目的财务审计情况），政府方和社会投资人协商一致并报批准后，政府方</w:t>
      </w:r>
      <w:r>
        <w:rPr>
          <w:rFonts w:hint="eastAsia" w:ascii="宋体" w:hAnsi="宋体" w:eastAsia="宋体" w:cs="Times New Roman"/>
          <w:color w:val="auto"/>
          <w:spacing w:val="6"/>
          <w:highlight w:val="none"/>
          <w:lang w:val="zh-CN" w:eastAsia="zh-CN" w:bidi="zh-CN"/>
        </w:rPr>
        <w:t>在合法依规的前提下支持延长特许经营期限</w:t>
      </w:r>
      <w:r>
        <w:rPr>
          <w:rFonts w:hint="eastAsia"/>
          <w:color w:val="auto"/>
          <w:sz w:val="24"/>
          <w:szCs w:val="24"/>
          <w:highlight w:val="none"/>
          <w:vertAlign w:val="baseline"/>
          <w:lang w:val="en-US" w:eastAsia="zh-CN"/>
        </w:rPr>
        <w:t>，具体延长年限双方另行协商。</w:t>
      </w:r>
    </w:p>
    <w:p>
      <w:pPr>
        <w:pStyle w:val="11"/>
        <w:rPr>
          <w:color w:val="auto"/>
          <w:highlight w:val="none"/>
        </w:rPr>
      </w:pPr>
      <w:r>
        <w:rPr>
          <w:rFonts w:hint="eastAsia"/>
          <w:color w:val="auto"/>
          <w:highlight w:val="none"/>
        </w:rPr>
        <w:t>2</w:t>
      </w:r>
      <w:r>
        <w:rPr>
          <w:color w:val="auto"/>
          <w:highlight w:val="none"/>
        </w:rPr>
        <w:t>.1.7</w:t>
      </w:r>
      <w:r>
        <w:rPr>
          <w:rFonts w:hint="eastAsia"/>
          <w:color w:val="auto"/>
          <w:highlight w:val="none"/>
        </w:rPr>
        <w:t>项目资本金和注册资本</w:t>
      </w:r>
    </w:p>
    <w:p>
      <w:pPr>
        <w:pStyle w:val="8"/>
        <w:ind w:firstLine="480"/>
        <w:rPr>
          <w:color w:val="auto"/>
          <w:highlight w:val="none"/>
        </w:rPr>
      </w:pPr>
      <w:r>
        <w:rPr>
          <w:rFonts w:hint="eastAsia"/>
          <w:color w:val="auto"/>
          <w:highlight w:val="none"/>
        </w:rPr>
        <w:t>1.项目资本金</w:t>
      </w:r>
    </w:p>
    <w:p>
      <w:pPr>
        <w:pStyle w:val="8"/>
        <w:ind w:firstLine="480"/>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项目资本金比例暂按经批复工可估算总投资的20%设定，政府建设期补助可用于资本金的，最大限度的用于项目资本金且比例不低于批复初步设计概算总投资的20%，若金融机构要求提高项目资本金比例，不足部分由社会投资人负责筹集。</w:t>
      </w:r>
    </w:p>
    <w:p>
      <w:pPr>
        <w:pStyle w:val="8"/>
        <w:ind w:firstLine="480"/>
        <w:rPr>
          <w:color w:val="auto"/>
          <w:highlight w:val="none"/>
        </w:rPr>
      </w:pPr>
      <w:r>
        <w:rPr>
          <w:rFonts w:hint="eastAsia"/>
          <w:color w:val="auto"/>
          <w:highlight w:val="none"/>
        </w:rPr>
        <w:t>2.注册资本和股权结构</w:t>
      </w:r>
    </w:p>
    <w:p>
      <w:pPr>
        <w:pStyle w:val="8"/>
        <w:ind w:firstLine="480"/>
        <w:rPr>
          <w:rFonts w:hint="eastAsia"/>
          <w:color w:val="auto"/>
          <w:highlight w:val="none"/>
        </w:rPr>
      </w:pPr>
      <w:r>
        <w:rPr>
          <w:rFonts w:hint="eastAsia"/>
          <w:color w:val="auto"/>
          <w:highlight w:val="none"/>
        </w:rPr>
        <w:t>项目公司注册资本金为10,000万元人民币，全额由社会投资人出资，未经政府同意，社会投资人不得转让股权。</w:t>
      </w:r>
    </w:p>
    <w:p>
      <w:pPr>
        <w:pStyle w:val="8"/>
        <w:ind w:firstLine="480"/>
        <w:rPr>
          <w:rFonts w:hint="eastAsia"/>
          <w:color w:val="auto"/>
          <w:highlight w:val="none"/>
        </w:rPr>
      </w:pPr>
      <w:r>
        <w:rPr>
          <w:rFonts w:hint="eastAsia"/>
          <w:color w:val="auto"/>
          <w:highlight w:val="none"/>
        </w:rPr>
        <w:t>项目公司在工商登记部门注册登记，社会投资人认缴的注册资本金，根据持股比例按公司章程实缴到位。</w:t>
      </w:r>
    </w:p>
    <w:p>
      <w:pPr>
        <w:pStyle w:val="8"/>
        <w:ind w:firstLine="480"/>
        <w:rPr>
          <w:color w:val="auto"/>
          <w:highlight w:val="none"/>
        </w:rPr>
      </w:pPr>
      <w:r>
        <w:rPr>
          <w:rFonts w:hint="eastAsia"/>
          <w:color w:val="auto"/>
          <w:highlight w:val="none"/>
        </w:rPr>
        <w:t>政府给予本项目建设期补助资金后，不持有项目公司股权。政府除按照约定出资外，不承担其它补助责任和任何融资、经营、亏损等风险。特许经营期内，项目公司自主经营、自负盈亏，运营期产生的资金缺口由项目公司自行筹集解决。</w:t>
      </w:r>
    </w:p>
    <w:p>
      <w:pPr>
        <w:pStyle w:val="11"/>
        <w:rPr>
          <w:rFonts w:cs="宋体"/>
          <w:color w:val="auto"/>
          <w:highlight w:val="none"/>
        </w:rPr>
      </w:pPr>
      <w:r>
        <w:rPr>
          <w:rFonts w:hint="eastAsia"/>
          <w:bCs/>
          <w:color w:val="auto"/>
          <w:highlight w:val="none"/>
        </w:rPr>
        <w:t>2</w:t>
      </w:r>
      <w:r>
        <w:rPr>
          <w:bCs/>
          <w:color w:val="auto"/>
          <w:highlight w:val="none"/>
        </w:rPr>
        <w:t>.1.8</w:t>
      </w:r>
      <w:bookmarkStart w:id="30" w:name="_Toc25405"/>
      <w:bookmarkStart w:id="31" w:name="_Hlk39591772"/>
      <w:bookmarkStart w:id="32" w:name="_Toc14891"/>
      <w:bookmarkStart w:id="33" w:name="_Toc39820874"/>
      <w:r>
        <w:rPr>
          <w:rFonts w:hint="eastAsia" w:cs="宋体"/>
          <w:color w:val="auto"/>
          <w:highlight w:val="none"/>
        </w:rPr>
        <w:t>项目投资与融资</w:t>
      </w:r>
    </w:p>
    <w:p>
      <w:pPr>
        <w:pStyle w:val="8"/>
        <w:ind w:firstLine="480"/>
        <w:rPr>
          <w:color w:val="auto"/>
          <w:highlight w:val="none"/>
        </w:rPr>
      </w:pPr>
      <w:r>
        <w:rPr>
          <w:rFonts w:hint="eastAsia"/>
          <w:color w:val="auto"/>
          <w:highlight w:val="none"/>
          <w:lang w:val="en-US" w:eastAsia="zh-CN"/>
        </w:rPr>
        <w:t>2.1.8.</w:t>
      </w:r>
      <w:r>
        <w:rPr>
          <w:rFonts w:hint="eastAsia"/>
          <w:color w:val="auto"/>
          <w:highlight w:val="none"/>
        </w:rPr>
        <w:t>1投资计划</w:t>
      </w:r>
    </w:p>
    <w:p>
      <w:pPr>
        <w:pStyle w:val="8"/>
        <w:ind w:firstLine="480"/>
        <w:rPr>
          <w:color w:val="auto"/>
          <w:highlight w:val="none"/>
        </w:rPr>
      </w:pPr>
      <w:r>
        <w:rPr>
          <w:rFonts w:hint="eastAsia"/>
          <w:color w:val="auto"/>
          <w:highlight w:val="none"/>
        </w:rPr>
        <w:t>本项目建设期五年（暂定2022年～2026年，以实际开工日进行调整）。资金分年度投入计划依据可研报告为：10%</w:t>
      </w:r>
      <w:r>
        <w:rPr>
          <w:rFonts w:hint="eastAsia"/>
          <w:color w:val="auto"/>
          <w:highlight w:val="none"/>
          <w:lang w:eastAsia="zh-CN"/>
        </w:rPr>
        <w:t>、</w:t>
      </w:r>
      <w:r>
        <w:rPr>
          <w:rFonts w:hint="eastAsia"/>
          <w:color w:val="auto"/>
          <w:highlight w:val="none"/>
        </w:rPr>
        <w:t>20%</w:t>
      </w:r>
      <w:r>
        <w:rPr>
          <w:rFonts w:hint="eastAsia"/>
          <w:color w:val="auto"/>
          <w:highlight w:val="none"/>
          <w:lang w:eastAsia="zh-CN"/>
        </w:rPr>
        <w:t>、</w:t>
      </w:r>
      <w:r>
        <w:rPr>
          <w:rFonts w:hint="eastAsia"/>
          <w:color w:val="auto"/>
          <w:highlight w:val="none"/>
        </w:rPr>
        <w:t>20%</w:t>
      </w:r>
      <w:r>
        <w:rPr>
          <w:rFonts w:hint="eastAsia"/>
          <w:color w:val="auto"/>
          <w:highlight w:val="none"/>
          <w:lang w:eastAsia="zh-CN"/>
        </w:rPr>
        <w:t>、</w:t>
      </w:r>
      <w:r>
        <w:rPr>
          <w:rFonts w:hint="eastAsia"/>
          <w:color w:val="auto"/>
          <w:highlight w:val="none"/>
        </w:rPr>
        <w:t>20%</w:t>
      </w:r>
      <w:r>
        <w:rPr>
          <w:rFonts w:hint="eastAsia"/>
          <w:color w:val="auto"/>
          <w:highlight w:val="none"/>
          <w:lang w:eastAsia="zh-CN"/>
        </w:rPr>
        <w:t>、</w:t>
      </w:r>
      <w:r>
        <w:rPr>
          <w:rFonts w:hint="eastAsia"/>
          <w:color w:val="auto"/>
          <w:highlight w:val="none"/>
        </w:rPr>
        <w:t>30%。</w:t>
      </w:r>
    </w:p>
    <w:p>
      <w:pPr>
        <w:pStyle w:val="8"/>
        <w:ind w:firstLine="480"/>
        <w:rPr>
          <w:color w:val="auto"/>
          <w:highlight w:val="none"/>
        </w:rPr>
      </w:pPr>
      <w:r>
        <w:rPr>
          <w:rFonts w:hint="eastAsia"/>
          <w:color w:val="auto"/>
          <w:highlight w:val="none"/>
          <w:lang w:val="en-US" w:eastAsia="zh-CN"/>
        </w:rPr>
        <w:t>2.1.8.</w:t>
      </w:r>
      <w:r>
        <w:rPr>
          <w:rFonts w:hint="eastAsia"/>
          <w:color w:val="auto"/>
          <w:highlight w:val="none"/>
        </w:rPr>
        <w:t>2资金来源</w:t>
      </w:r>
    </w:p>
    <w:bookmarkEnd w:id="30"/>
    <w:bookmarkEnd w:id="31"/>
    <w:bookmarkEnd w:id="32"/>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bookmarkStart w:id="34" w:name="_Toc18326"/>
      <w:bookmarkStart w:id="35" w:name="_Toc28187"/>
      <w:r>
        <w:rPr>
          <w:rFonts w:hint="eastAsia" w:ascii="宋体" w:hAnsi="宋体" w:eastAsia="宋体" w:cs="宋体"/>
          <w:b w:val="0"/>
          <w:color w:val="auto"/>
          <w:kern w:val="0"/>
          <w:sz w:val="24"/>
          <w:szCs w:val="24"/>
          <w:highlight w:val="none"/>
          <w:lang w:val="en-US" w:eastAsia="zh-CN" w:bidi="ar-SA"/>
        </w:rPr>
        <w:t>（1）政府方配套建设补助资金</w:t>
      </w:r>
    </w:p>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政府暂按可研批复估算投资的45%配套项目建设补助资金，待初设批复完成后以初设批复概算投资的45%调整配套项目建设补助资金，建设补助资金包括省级补助资金和地方政府配套补助资金。具体来源如下：</w:t>
      </w:r>
    </w:p>
    <w:p>
      <w:pPr>
        <w:pStyle w:val="10"/>
        <w:keepNext w:val="0"/>
        <w:keepLines w:val="0"/>
        <w:pageBreakBefore w:val="0"/>
        <w:widowControl/>
        <w:numPr>
          <w:ilvl w:val="0"/>
          <w:numId w:val="1"/>
        </w:numPr>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根据《中共云南省委办公厅云南省人民政府办公厅关于印发&lt;云南省县域高速公路“互联互通”工程实施方案&gt;的通知》（云办通〔2020〕19号）文件精神，省级补助资金按主线里程2000万元/公里进行补助，暂以可研主线里程计算，最终以概算批复为准计算。省级补助资金出资人、出资金额、持股比例、收益分享及风险承担最终按照省级相关规定执行。为确保项目建设顺利推进，政府和社会投资人应积极争取省级补助资金2,000万元/公里。</w:t>
      </w:r>
    </w:p>
    <w:p>
      <w:pPr>
        <w:pStyle w:val="10"/>
        <w:keepNext w:val="0"/>
        <w:keepLines w:val="0"/>
        <w:pageBreakBefore w:val="0"/>
        <w:widowControl/>
        <w:numPr>
          <w:ilvl w:val="0"/>
          <w:numId w:val="1"/>
        </w:numPr>
        <w:kinsoku/>
        <w:wordWrap/>
        <w:overflowPunct/>
        <w:topLinePunct w:val="0"/>
        <w:autoSpaceDE/>
        <w:autoSpaceDN/>
        <w:bidi w:val="0"/>
        <w:adjustRightInd/>
        <w:snapToGrid/>
        <w:ind w:left="0" w:leftChars="0" w:firstLine="480" w:firstLineChars="200"/>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地方政府配套补助资金：来源包括但不限于专项债、财政预算安排等，若通过发行专项债筹集，项目公司按照专债发行的要求，应积极支持和协助地方政府获取资金。怒江州和大理州按各自境内段工程量对应可研批复总投资占比出资为：怒江州占比54.75%；大理州占比45.25%；待初设批复完成后以初设批复概算投资的45%调整配套项目建设补助资金。</w:t>
      </w:r>
    </w:p>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（2）社会投资人出资</w:t>
      </w:r>
    </w:p>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项目资本金比例暂按经批复工可估算总投资的20%设定，政府建设期补助中作为项目资本金的比例不低于批复初步设计概算总投资的20%，若金融机构要求的项目资本金比例超过经批复概算总投资的20%，不足部分由社会投资人负责筹集。</w:t>
      </w:r>
    </w:p>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（3）项目融资及增信</w:t>
      </w:r>
    </w:p>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除政府方配套建设补助资金及社会投资人出资外的项目缺口资金均由项目公司融资解决，社会投资人有义务采取增信或者其他方式保障项目融资满足项目建设进度。任何情况下，政府方及政府出资代表都不作为项目公司融资活动的担保人，更不为项目公司的融资活动承担任何偿债责任。</w:t>
      </w:r>
    </w:p>
    <w:p>
      <w:pPr>
        <w:pStyle w:val="10"/>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2.1.8.3项目投资认定</w:t>
      </w:r>
    </w:p>
    <w:p>
      <w:pPr>
        <w:pStyle w:val="10"/>
        <w:rPr>
          <w:color w:val="auto"/>
          <w:highlight w:val="none"/>
        </w:rPr>
      </w:pPr>
      <w:r>
        <w:rPr>
          <w:rFonts w:hint="eastAsia" w:cs="宋体"/>
          <w:b w:val="0"/>
          <w:color w:val="auto"/>
          <w:kern w:val="0"/>
          <w:sz w:val="24"/>
          <w:szCs w:val="24"/>
          <w:highlight w:val="none"/>
          <w:lang w:val="en-US" w:eastAsia="zh-CN" w:bidi="ar-SA"/>
        </w:rPr>
        <w:t xml:space="preserve"> </w:t>
      </w:r>
      <w:r>
        <w:rPr>
          <w:rFonts w:hint="eastAsia"/>
          <w:color w:val="auto"/>
          <w:highlight w:val="none"/>
        </w:rPr>
        <w:t>2</w:t>
      </w:r>
      <w:r>
        <w:rPr>
          <w:color w:val="auto"/>
          <w:highlight w:val="none"/>
        </w:rPr>
        <w:t>.2招标范围</w:t>
      </w:r>
      <w:bookmarkEnd w:id="33"/>
      <w:bookmarkEnd w:id="34"/>
      <w:bookmarkEnd w:id="35"/>
    </w:p>
    <w:p>
      <w:pPr>
        <w:pStyle w:val="8"/>
        <w:ind w:firstLine="480"/>
        <w:rPr>
          <w:color w:val="auto"/>
          <w:highlight w:val="none"/>
        </w:rPr>
      </w:pPr>
      <w:bookmarkStart w:id="36" w:name="_Toc39820875"/>
      <w:bookmarkStart w:id="37" w:name="_Toc45549402"/>
      <w:bookmarkStart w:id="38" w:name="_Toc495849204"/>
      <w:r>
        <w:rPr>
          <w:color w:val="auto"/>
          <w:highlight w:val="none"/>
        </w:rPr>
        <w:t>本次招标范围为负责</w:t>
      </w:r>
      <w:r>
        <w:rPr>
          <w:rFonts w:hint="eastAsia"/>
          <w:color w:val="auto"/>
          <w:highlight w:val="none"/>
        </w:rPr>
        <w:t>云龙至泸水高速公路特许经营项目</w:t>
      </w:r>
      <w:r>
        <w:rPr>
          <w:color w:val="auto"/>
          <w:highlight w:val="none"/>
        </w:rPr>
        <w:t>投融资、建设、运营维护和移交的社会投资人</w:t>
      </w:r>
      <w:r>
        <w:rPr>
          <w:rFonts w:hint="eastAsia"/>
          <w:color w:val="auto"/>
          <w:highlight w:val="none"/>
        </w:rPr>
        <w:t>。</w:t>
      </w:r>
    </w:p>
    <w:p>
      <w:pPr>
        <w:pStyle w:val="9"/>
        <w:ind w:firstLine="482"/>
        <w:rPr>
          <w:color w:val="auto"/>
          <w:highlight w:val="none"/>
        </w:rPr>
      </w:pPr>
      <w:bookmarkStart w:id="39" w:name="_Toc25307"/>
      <w:bookmarkStart w:id="40" w:name="_Toc32630"/>
      <w:bookmarkStart w:id="41" w:name="_Toc3991"/>
      <w:bookmarkStart w:id="42" w:name="_Toc20931"/>
      <w:bookmarkStart w:id="43" w:name="_Toc22684"/>
      <w:r>
        <w:rPr>
          <w:rFonts w:hint="eastAsia"/>
          <w:color w:val="auto"/>
          <w:highlight w:val="none"/>
        </w:rPr>
        <w:t>3.投标人资格要求</w:t>
      </w:r>
      <w:bookmarkEnd w:id="36"/>
      <w:bookmarkEnd w:id="37"/>
      <w:bookmarkEnd w:id="38"/>
      <w:bookmarkEnd w:id="39"/>
      <w:bookmarkEnd w:id="40"/>
      <w:bookmarkEnd w:id="41"/>
      <w:bookmarkEnd w:id="42"/>
      <w:bookmarkEnd w:id="43"/>
    </w:p>
    <w:p>
      <w:pPr>
        <w:pStyle w:val="8"/>
        <w:ind w:firstLine="480"/>
        <w:rPr>
          <w:color w:val="auto"/>
          <w:highlight w:val="none"/>
        </w:rPr>
      </w:pPr>
      <w:r>
        <w:rPr>
          <w:rFonts w:hint="eastAsia"/>
          <w:color w:val="auto"/>
          <w:highlight w:val="none"/>
        </w:rPr>
        <w:t>3.1主体要求</w:t>
      </w:r>
    </w:p>
    <w:p>
      <w:pPr>
        <w:pStyle w:val="8"/>
        <w:ind w:firstLine="480"/>
        <w:rPr>
          <w:color w:val="auto"/>
          <w:highlight w:val="none"/>
        </w:rPr>
      </w:pPr>
      <w:r>
        <w:rPr>
          <w:color w:val="auto"/>
          <w:highlight w:val="none"/>
        </w:rPr>
        <w:t>3.1.1投标人</w:t>
      </w:r>
      <w:r>
        <w:rPr>
          <w:rFonts w:hint="eastAsia"/>
          <w:color w:val="auto"/>
          <w:highlight w:val="none"/>
        </w:rPr>
        <w:t>（若为联合体投标，</w:t>
      </w:r>
      <w:r>
        <w:rPr>
          <w:rFonts w:hint="eastAsia"/>
          <w:color w:val="auto"/>
          <w:highlight w:val="none"/>
          <w:lang w:val="en-US" w:eastAsia="zh-CN"/>
        </w:rPr>
        <w:t>则为</w:t>
      </w:r>
      <w:r>
        <w:rPr>
          <w:rFonts w:hint="eastAsia"/>
          <w:color w:val="auto"/>
          <w:highlight w:val="none"/>
        </w:rPr>
        <w:t>联合体</w:t>
      </w:r>
      <w:r>
        <w:rPr>
          <w:rFonts w:hint="eastAsia"/>
          <w:color w:val="auto"/>
          <w:highlight w:val="none"/>
          <w:lang w:val="en-US" w:eastAsia="zh-CN"/>
        </w:rPr>
        <w:t>各方</w:t>
      </w:r>
      <w:r>
        <w:rPr>
          <w:rFonts w:hint="eastAsia"/>
          <w:color w:val="auto"/>
          <w:highlight w:val="none"/>
        </w:rPr>
        <w:t>）</w:t>
      </w:r>
      <w:r>
        <w:rPr>
          <w:color w:val="auto"/>
          <w:highlight w:val="none"/>
        </w:rPr>
        <w:t>须</w:t>
      </w:r>
      <w:r>
        <w:rPr>
          <w:rFonts w:hint="eastAsia"/>
          <w:color w:val="auto"/>
          <w:highlight w:val="none"/>
        </w:rPr>
        <w:t>为</w:t>
      </w:r>
      <w:r>
        <w:rPr>
          <w:color w:val="auto"/>
          <w:highlight w:val="none"/>
        </w:rPr>
        <w:t>中国境内依法注册的企业法人实体或其他组织。</w:t>
      </w:r>
    </w:p>
    <w:p>
      <w:pPr>
        <w:pStyle w:val="8"/>
        <w:ind w:firstLine="480"/>
        <w:rPr>
          <w:color w:val="auto"/>
          <w:highlight w:val="none"/>
        </w:rPr>
      </w:pPr>
      <w:r>
        <w:rPr>
          <w:color w:val="auto"/>
          <w:highlight w:val="none"/>
        </w:rPr>
        <w:t>3.1.2</w:t>
      </w:r>
      <w:r>
        <w:rPr>
          <w:rFonts w:hint="eastAsia"/>
          <w:color w:val="auto"/>
          <w:highlight w:val="none"/>
        </w:rPr>
        <w:t>本项目接受联合体投标，</w:t>
      </w:r>
      <w:bookmarkStart w:id="44" w:name="_Hlk106192333"/>
      <w:r>
        <w:rPr>
          <w:rFonts w:hint="eastAsia"/>
          <w:color w:val="auto"/>
          <w:highlight w:val="none"/>
        </w:rPr>
        <w:t>联合体成员数量不作限制；</w:t>
      </w:r>
      <w:bookmarkEnd w:id="44"/>
      <w:r>
        <w:rPr>
          <w:rFonts w:hint="eastAsia"/>
          <w:color w:val="auto"/>
          <w:highlight w:val="none"/>
        </w:rPr>
        <w:t>联合体各成员</w:t>
      </w:r>
      <w:r>
        <w:rPr>
          <w:rFonts w:hint="eastAsia"/>
          <w:color w:val="auto"/>
          <w:highlight w:val="none"/>
          <w:lang w:val="en-US" w:eastAsia="zh-CN"/>
        </w:rPr>
        <w:t>之间</w:t>
      </w:r>
      <w:r>
        <w:rPr>
          <w:rFonts w:hint="eastAsia"/>
          <w:color w:val="auto"/>
          <w:highlight w:val="none"/>
        </w:rPr>
        <w:t>应承担连带责任。若投标人以联合体形式参与，应当向招标人提交联合体协议书，明确联合体牵头人，并载明联合体各方应承担的工作、义务等。</w:t>
      </w:r>
    </w:p>
    <w:p>
      <w:pPr>
        <w:pStyle w:val="8"/>
        <w:ind w:firstLine="480"/>
        <w:rPr>
          <w:color w:val="auto"/>
          <w:highlight w:val="none"/>
        </w:rPr>
      </w:pPr>
      <w:r>
        <w:rPr>
          <w:color w:val="auto"/>
          <w:highlight w:val="none"/>
        </w:rPr>
        <w:t>3.1.3单位负责人为同一人或者存在控股、管理关系的不同单位，不得同时参加本项目投标。</w:t>
      </w:r>
    </w:p>
    <w:p>
      <w:pPr>
        <w:pStyle w:val="8"/>
        <w:ind w:firstLine="480"/>
        <w:rPr>
          <w:color w:val="auto"/>
          <w:highlight w:val="none"/>
        </w:rPr>
      </w:pPr>
      <w:r>
        <w:rPr>
          <w:color w:val="auto"/>
          <w:highlight w:val="none"/>
        </w:rPr>
        <w:t xml:space="preserve">3.2 </w:t>
      </w:r>
      <w:r>
        <w:rPr>
          <w:rFonts w:hint="eastAsia"/>
          <w:color w:val="auto"/>
          <w:highlight w:val="none"/>
        </w:rPr>
        <w:t>资质要求</w:t>
      </w:r>
    </w:p>
    <w:p>
      <w:pPr>
        <w:pStyle w:val="8"/>
        <w:ind w:firstLine="480"/>
        <w:rPr>
          <w:color w:val="auto"/>
          <w:highlight w:val="none"/>
        </w:rPr>
      </w:pPr>
      <w:r>
        <w:rPr>
          <w:rFonts w:hint="eastAsia"/>
          <w:color w:val="auto"/>
          <w:highlight w:val="none"/>
        </w:rPr>
        <w:t>投标人负责施工的单位应具备有效的安全生产许可证，具备建设主管部门颁发的施工资质，资质满足下列其一即可：</w:t>
      </w:r>
    </w:p>
    <w:p>
      <w:pPr>
        <w:pStyle w:val="8"/>
        <w:ind w:firstLine="480"/>
        <w:rPr>
          <w:color w:val="auto"/>
          <w:highlight w:val="none"/>
        </w:rPr>
      </w:pPr>
      <w:r>
        <w:rPr>
          <w:rFonts w:hint="eastAsia"/>
          <w:color w:val="auto"/>
          <w:highlight w:val="none"/>
        </w:rPr>
        <w:t>①公路工程施工总承包特级；</w:t>
      </w:r>
    </w:p>
    <w:p>
      <w:pPr>
        <w:pStyle w:val="8"/>
        <w:ind w:firstLine="480"/>
        <w:rPr>
          <w:color w:val="auto"/>
          <w:highlight w:val="none"/>
        </w:rPr>
      </w:pPr>
      <w:r>
        <w:rPr>
          <w:rFonts w:hint="eastAsia"/>
          <w:color w:val="auto"/>
          <w:highlight w:val="none"/>
        </w:rPr>
        <w:t>②具有房屋建筑、公路、铁路、市政公用、港口与航道、水利水电等类别中任意</w:t>
      </w:r>
      <w:r>
        <w:rPr>
          <w:color w:val="auto"/>
          <w:highlight w:val="none"/>
        </w:rPr>
        <w:t>1类施工总承包特级资质和其中2类施工总承包一级资质；</w:t>
      </w:r>
    </w:p>
    <w:p>
      <w:pPr>
        <w:pStyle w:val="8"/>
        <w:ind w:firstLine="480"/>
        <w:rPr>
          <w:color w:val="auto"/>
          <w:highlight w:val="none"/>
        </w:rPr>
      </w:pPr>
      <w:r>
        <w:rPr>
          <w:rFonts w:hint="eastAsia"/>
          <w:color w:val="auto"/>
          <w:highlight w:val="none"/>
        </w:rPr>
        <w:t>③同时具备公路工程施工总承包一级资质和隧道工程专业承包一级资质。3</w:t>
      </w:r>
      <w:r>
        <w:rPr>
          <w:color w:val="auto"/>
          <w:highlight w:val="none"/>
        </w:rPr>
        <w:t>.3</w:t>
      </w:r>
      <w:r>
        <w:rPr>
          <w:rFonts w:hint="eastAsia"/>
          <w:color w:val="auto"/>
          <w:highlight w:val="none"/>
        </w:rPr>
        <w:t>业绩要求</w:t>
      </w:r>
    </w:p>
    <w:p>
      <w:pPr>
        <w:spacing w:line="580" w:lineRule="exact"/>
        <w:ind w:firstLine="640"/>
        <w:rPr>
          <w:color w:val="auto"/>
          <w:highlight w:val="none"/>
        </w:rPr>
      </w:pPr>
      <w:bookmarkStart w:id="45" w:name="_Hlk63778468"/>
      <w:r>
        <w:rPr>
          <w:rFonts w:hint="eastAsia"/>
          <w:color w:val="auto"/>
          <w:highlight w:val="none"/>
        </w:rPr>
        <w:t>3.3.1投融资业绩：投标人（若为联合体，则为联合体牵头人）2017年1月1日起至今参与过1个高速公路项目投融资业绩。</w:t>
      </w:r>
    </w:p>
    <w:p>
      <w:pPr>
        <w:spacing w:line="580" w:lineRule="exact"/>
        <w:ind w:firstLine="640"/>
        <w:rPr>
          <w:color w:val="auto"/>
          <w:highlight w:val="none"/>
        </w:rPr>
      </w:pPr>
      <w:r>
        <w:rPr>
          <w:rFonts w:hint="eastAsia"/>
          <w:color w:val="auto"/>
          <w:highlight w:val="none"/>
        </w:rPr>
        <w:t>3.3.2运营业绩：投标人（若为联合体，则为联合体牵头人）2017年1月1日起至今参与过1个高速公路项目运营业绩。</w:t>
      </w:r>
    </w:p>
    <w:p>
      <w:pPr>
        <w:spacing w:line="580" w:lineRule="exact"/>
        <w:ind w:firstLine="640"/>
        <w:rPr>
          <w:color w:val="auto"/>
          <w:highlight w:val="none"/>
        </w:rPr>
      </w:pPr>
      <w:r>
        <w:rPr>
          <w:rFonts w:hint="eastAsia"/>
          <w:color w:val="auto"/>
          <w:highlight w:val="none"/>
        </w:rPr>
        <w:t>3.3.3施工业绩：投标人（若为联合体，则为联合体中负责施工的单位）2017年1月1日起至今具有1个高速公路项目施工业绩（</w:t>
      </w:r>
      <w:r>
        <w:rPr>
          <w:color w:val="auto"/>
          <w:highlight w:val="none"/>
        </w:rPr>
        <w:t>施工业绩要求为已列入“全国公路建设市场信用信息管理系统”并公开的业绩</w:t>
      </w:r>
      <w:r>
        <w:rPr>
          <w:rFonts w:hint="eastAsia"/>
          <w:color w:val="auto"/>
          <w:highlight w:val="none"/>
        </w:rPr>
        <w:t>）。</w:t>
      </w:r>
    </w:p>
    <w:p>
      <w:pPr>
        <w:pStyle w:val="8"/>
        <w:ind w:firstLine="480"/>
        <w:rPr>
          <w:color w:val="auto"/>
          <w:highlight w:val="none"/>
        </w:rPr>
      </w:pPr>
      <w:r>
        <w:rPr>
          <w:rFonts w:hint="eastAsia"/>
          <w:color w:val="auto"/>
          <w:highlight w:val="none"/>
        </w:rPr>
        <w:t>注：投融资、运营业绩以已全线通车运营项目计，施工业绩以已交（竣）工项目计。证明材料为中标通知书或合同协议书（或投资协议或特许经营协议）和交（竣）工证明或其他有效证明材料等。</w:t>
      </w:r>
      <w:bookmarkEnd w:id="45"/>
    </w:p>
    <w:p>
      <w:pPr>
        <w:pStyle w:val="8"/>
        <w:ind w:firstLine="480"/>
        <w:rPr>
          <w:color w:val="auto"/>
          <w:highlight w:val="none"/>
        </w:rPr>
      </w:pPr>
      <w:r>
        <w:rPr>
          <w:rFonts w:hint="eastAsia"/>
          <w:color w:val="auto"/>
          <w:highlight w:val="none"/>
        </w:rPr>
        <w:t>3</w:t>
      </w:r>
      <w:r>
        <w:rPr>
          <w:color w:val="auto"/>
          <w:highlight w:val="none"/>
        </w:rPr>
        <w:t>.4</w:t>
      </w:r>
      <w:r>
        <w:rPr>
          <w:rFonts w:hint="eastAsia"/>
          <w:color w:val="auto"/>
          <w:highlight w:val="none"/>
        </w:rPr>
        <w:t>投标人还应当具备以下基本条件：</w:t>
      </w:r>
    </w:p>
    <w:p>
      <w:pPr>
        <w:pStyle w:val="8"/>
        <w:ind w:firstLine="480"/>
        <w:rPr>
          <w:color w:val="auto"/>
          <w:highlight w:val="none"/>
        </w:rPr>
      </w:pPr>
      <w:r>
        <w:rPr>
          <w:rFonts w:hint="eastAsia"/>
          <w:color w:val="auto"/>
          <w:highlight w:val="none"/>
        </w:rPr>
        <w:t>3.4.1投标</w:t>
      </w:r>
      <w:r>
        <w:rPr>
          <w:color w:val="auto"/>
          <w:highlight w:val="none"/>
        </w:rPr>
        <w:t>人（若为联合体，则为联合体牵头人）2021年末净资产</w:t>
      </w:r>
      <w:r>
        <w:rPr>
          <w:rFonts w:hint="eastAsia"/>
          <w:color w:val="auto"/>
          <w:highlight w:val="none"/>
        </w:rPr>
        <w:t>66</w:t>
      </w:r>
      <w:r>
        <w:rPr>
          <w:color w:val="auto"/>
          <w:highlight w:val="none"/>
        </w:rPr>
        <w:t>亿元以上；</w:t>
      </w:r>
    </w:p>
    <w:p>
      <w:pPr>
        <w:pStyle w:val="8"/>
        <w:ind w:firstLine="480"/>
        <w:rPr>
          <w:color w:val="auto"/>
          <w:highlight w:val="none"/>
        </w:rPr>
      </w:pPr>
      <w:r>
        <w:rPr>
          <w:rFonts w:hint="eastAsia"/>
          <w:color w:val="auto"/>
          <w:highlight w:val="none"/>
        </w:rPr>
        <w:t>3.4.2投标</w:t>
      </w:r>
      <w:r>
        <w:rPr>
          <w:color w:val="auto"/>
          <w:highlight w:val="none"/>
        </w:rPr>
        <w:t>人（若为联合体，则为联合体牵头人）201</w:t>
      </w:r>
      <w:r>
        <w:rPr>
          <w:rFonts w:hint="eastAsia"/>
          <w:color w:val="auto"/>
          <w:highlight w:val="none"/>
        </w:rPr>
        <w:t>9</w:t>
      </w:r>
      <w:r>
        <w:rPr>
          <w:color w:val="auto"/>
          <w:highlight w:val="none"/>
        </w:rPr>
        <w:t>年至20</w:t>
      </w:r>
      <w:r>
        <w:rPr>
          <w:rFonts w:hint="eastAsia"/>
          <w:color w:val="auto"/>
          <w:highlight w:val="none"/>
        </w:rPr>
        <w:t>21</w:t>
      </w:r>
      <w:r>
        <w:rPr>
          <w:color w:val="auto"/>
          <w:highlight w:val="none"/>
        </w:rPr>
        <w:t>年连续三年每年均为盈利（若</w:t>
      </w:r>
      <w:r>
        <w:rPr>
          <w:rFonts w:hint="eastAsia"/>
          <w:color w:val="auto"/>
          <w:highlight w:val="none"/>
        </w:rPr>
        <w:t>投标人</w:t>
      </w:r>
      <w:r>
        <w:rPr>
          <w:color w:val="auto"/>
          <w:highlight w:val="none"/>
        </w:rPr>
        <w:t>存续期不足三年的，则自注册之日起至20</w:t>
      </w:r>
      <w:r>
        <w:rPr>
          <w:rFonts w:hint="eastAsia"/>
          <w:color w:val="auto"/>
          <w:highlight w:val="none"/>
        </w:rPr>
        <w:t>21</w:t>
      </w:r>
      <w:r>
        <w:rPr>
          <w:color w:val="auto"/>
          <w:highlight w:val="none"/>
        </w:rPr>
        <w:t>年止均为盈利），且年度财务报告应当经具有法定资格的中介机构审计；没有处于财产被接管、冻结、破产或其他不良状态，无重大不良资产或不良投资项目</w:t>
      </w:r>
      <w:r>
        <w:rPr>
          <w:rFonts w:hint="eastAsia"/>
          <w:color w:val="auto"/>
          <w:highlight w:val="none"/>
        </w:rPr>
        <w:t>。</w:t>
      </w:r>
    </w:p>
    <w:p>
      <w:pPr>
        <w:pStyle w:val="8"/>
        <w:ind w:firstLine="480"/>
        <w:rPr>
          <w:color w:val="auto"/>
          <w:highlight w:val="none"/>
        </w:rPr>
      </w:pPr>
      <w:r>
        <w:rPr>
          <w:rFonts w:hint="eastAsia"/>
          <w:color w:val="auto"/>
          <w:highlight w:val="none"/>
        </w:rPr>
        <w:t>3</w:t>
      </w:r>
      <w:r>
        <w:rPr>
          <w:color w:val="auto"/>
          <w:highlight w:val="none"/>
        </w:rPr>
        <w:t>.</w:t>
      </w:r>
      <w:r>
        <w:rPr>
          <w:rFonts w:hint="eastAsia"/>
          <w:color w:val="auto"/>
          <w:highlight w:val="none"/>
        </w:rPr>
        <w:t>5投融资能力</w:t>
      </w:r>
    </w:p>
    <w:p>
      <w:pPr>
        <w:pStyle w:val="8"/>
        <w:ind w:firstLine="480"/>
        <w:rPr>
          <w:color w:val="auto"/>
          <w:highlight w:val="none"/>
        </w:rPr>
      </w:pPr>
      <w:r>
        <w:rPr>
          <w:rFonts w:hint="eastAsia"/>
          <w:color w:val="auto"/>
          <w:highlight w:val="none"/>
        </w:rPr>
        <w:t>投标人（若为联合体，联合体各成员可累加）具备多渠道融资的资源和经验，需提供与本项目相匹配的融资能力证明材料：融资能力不得低于</w:t>
      </w:r>
      <w:r>
        <w:rPr>
          <w:rFonts w:hint="eastAsia"/>
          <w:color w:val="auto"/>
          <w:highlight w:val="none"/>
          <w:lang w:val="en-US" w:eastAsia="zh-CN"/>
        </w:rPr>
        <w:t>105</w:t>
      </w:r>
      <w:r>
        <w:rPr>
          <w:color w:val="auto"/>
          <w:highlight w:val="none"/>
        </w:rPr>
        <w:t>亿元。以金融机构出具的存款证明或银行出具的贷款意向书或银行授信额度证明文件为准，累计额度满足要求即可。授信额度证明材料处于有效期内,其余证明材料出具时间需在提交投标文件截止日前6个月内。</w:t>
      </w:r>
    </w:p>
    <w:p>
      <w:pPr>
        <w:pStyle w:val="8"/>
        <w:ind w:firstLine="480"/>
        <w:rPr>
          <w:color w:val="auto"/>
          <w:highlight w:val="none"/>
        </w:rPr>
      </w:pPr>
      <w:r>
        <w:rPr>
          <w:rFonts w:hint="eastAsia"/>
          <w:color w:val="auto"/>
          <w:highlight w:val="none"/>
        </w:rPr>
        <w:t>3</w:t>
      </w:r>
      <w:r>
        <w:rPr>
          <w:color w:val="auto"/>
          <w:highlight w:val="none"/>
        </w:rPr>
        <w:t>.</w:t>
      </w:r>
      <w:r>
        <w:rPr>
          <w:rFonts w:hint="eastAsia"/>
          <w:color w:val="auto"/>
          <w:highlight w:val="none"/>
        </w:rPr>
        <w:t>6投标人（若为联合体，则为联合体各方）商业信誉良好，在经济活动中无重大违法违规行为，2019年-2021年财务会计资料无虚假记载、银行和税务信用评价系统或企业信用系统中无不良记录，未被省级及以上交通运输主管部门取消项目所在地的投标资格或禁止进入该区域公路建设市场且处罚期未满的。投标人不得被“信用中国”网站（http://www.creditchina.gov.cn/）列入失信被执行人名单和“中国政府采购网（http://www.ccgp.gov.cn/）”列入重大政府采购严重失信行为记录名单，提供上述网站信息查询记录的网页截图。</w:t>
      </w:r>
    </w:p>
    <w:p>
      <w:pPr>
        <w:pStyle w:val="9"/>
        <w:ind w:firstLine="482"/>
        <w:rPr>
          <w:color w:val="auto"/>
          <w:highlight w:val="none"/>
        </w:rPr>
      </w:pPr>
      <w:bookmarkStart w:id="46" w:name="_Toc495849213"/>
      <w:bookmarkStart w:id="47" w:name="_Toc6573"/>
      <w:bookmarkStart w:id="48" w:name="_Toc26704"/>
      <w:bookmarkStart w:id="49" w:name="_Toc10691"/>
      <w:bookmarkStart w:id="50" w:name="_Toc9003"/>
      <w:bookmarkStart w:id="51" w:name="_Toc45549403"/>
      <w:bookmarkStart w:id="52" w:name="_Toc18194"/>
      <w:bookmarkStart w:id="53" w:name="_Toc39820884"/>
      <w:bookmarkStart w:id="54" w:name="_Toc495849214"/>
      <w:bookmarkStart w:id="55" w:name="_Toc20142"/>
      <w:bookmarkStart w:id="56" w:name="_Toc402"/>
      <w:bookmarkStart w:id="57" w:name="_Toc39820885"/>
      <w:bookmarkStart w:id="58" w:name="_Toc45549404"/>
      <w:bookmarkStart w:id="59" w:name="_Toc4904"/>
      <w:bookmarkStart w:id="60" w:name="_Toc27198"/>
      <w:r>
        <w:rPr>
          <w:rFonts w:hint="eastAsia"/>
          <w:color w:val="auto"/>
          <w:highlight w:val="none"/>
        </w:rPr>
        <w:t>4.招标文件的获取</w:t>
      </w:r>
      <w:bookmarkEnd w:id="46"/>
      <w:bookmarkEnd w:id="47"/>
      <w:bookmarkEnd w:id="48"/>
      <w:bookmarkEnd w:id="49"/>
      <w:bookmarkEnd w:id="50"/>
      <w:bookmarkEnd w:id="51"/>
      <w:bookmarkEnd w:id="52"/>
      <w:bookmarkEnd w:id="53"/>
    </w:p>
    <w:p>
      <w:pPr>
        <w:pStyle w:val="8"/>
        <w:ind w:firstLine="480"/>
        <w:rPr>
          <w:color w:val="auto"/>
          <w:highlight w:val="none"/>
        </w:rPr>
      </w:pPr>
      <w:r>
        <w:rPr>
          <w:rFonts w:hint="eastAsia"/>
          <w:color w:val="auto"/>
          <w:highlight w:val="none"/>
        </w:rPr>
        <w:t>凡有意参加投标者，请于202</w:t>
      </w:r>
      <w:r>
        <w:rPr>
          <w:rFonts w:hint="eastAsia"/>
          <w:color w:val="auto"/>
          <w:highlight w:val="none"/>
          <w:lang w:val="en-US" w:eastAsia="zh-CN"/>
        </w:rPr>
        <w:t>3</w:t>
      </w:r>
      <w:r>
        <w:rPr>
          <w:rFonts w:hint="eastAsia"/>
          <w:color w:val="auto"/>
          <w:highlight w:val="none"/>
        </w:rPr>
        <w:t>年</w:t>
      </w:r>
      <w:r>
        <w:rPr>
          <w:rFonts w:hint="eastAsia"/>
          <w:color w:val="auto"/>
          <w:highlight w:val="none"/>
          <w:lang w:val="en-US" w:eastAsia="zh-CN"/>
        </w:rPr>
        <w:t>2</w:t>
      </w:r>
      <w:r>
        <w:rPr>
          <w:rFonts w:hint="eastAsia"/>
          <w:color w:val="auto"/>
          <w:highlight w:val="none"/>
        </w:rPr>
        <w:t>月</w:t>
      </w:r>
      <w:r>
        <w:rPr>
          <w:rFonts w:hint="eastAsia"/>
          <w:color w:val="auto"/>
          <w:highlight w:val="none"/>
          <w:lang w:val="en-US" w:eastAsia="zh-CN"/>
        </w:rPr>
        <w:t>23</w:t>
      </w:r>
      <w:r>
        <w:rPr>
          <w:rFonts w:hint="eastAsia"/>
          <w:color w:val="auto"/>
          <w:highlight w:val="none"/>
        </w:rPr>
        <w:t>日</w:t>
      </w:r>
      <w:r>
        <w:rPr>
          <w:rFonts w:hint="eastAsia"/>
          <w:color w:val="auto"/>
          <w:highlight w:val="none"/>
          <w:lang w:val="en-US" w:eastAsia="zh-CN"/>
        </w:rPr>
        <w:t>09</w:t>
      </w:r>
      <w:r>
        <w:rPr>
          <w:rFonts w:hint="eastAsia"/>
          <w:color w:val="auto"/>
          <w:highlight w:val="none"/>
        </w:rPr>
        <w:t>:00时起至202</w:t>
      </w:r>
      <w:r>
        <w:rPr>
          <w:rFonts w:hint="eastAsia"/>
          <w:color w:val="auto"/>
          <w:highlight w:val="none"/>
          <w:lang w:val="en-US" w:eastAsia="zh-CN"/>
        </w:rPr>
        <w:t>3</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w:t>
      </w:r>
      <w:r>
        <w:rPr>
          <w:rFonts w:hint="eastAsia"/>
          <w:color w:val="auto"/>
          <w:highlight w:val="none"/>
        </w:rPr>
        <w:t>日17：30时（北京时间，下同）</w:t>
      </w:r>
      <w:r>
        <w:rPr>
          <w:color w:val="auto"/>
          <w:highlight w:val="none"/>
        </w:rPr>
        <w:t>登录云南省公共资源交易中心网站（网址：</w:t>
      </w:r>
      <w:r>
        <w:rPr>
          <w:rFonts w:hint="eastAsia"/>
          <w:color w:val="auto"/>
          <w:highlight w:val="none"/>
          <w:lang w:eastAsia="zh-CN"/>
        </w:rPr>
        <w:t>https://ggzy.yn.gov.cn/ynggfwpt-home-web/#/homePage</w:t>
      </w:r>
      <w:r>
        <w:rPr>
          <w:color w:val="auto"/>
          <w:highlight w:val="none"/>
        </w:rPr>
        <w:t>），凭企业数字证书（CA）在网上获取</w:t>
      </w:r>
      <w:r>
        <w:rPr>
          <w:rFonts w:hint="eastAsia"/>
          <w:color w:val="auto"/>
          <w:highlight w:val="none"/>
        </w:rPr>
        <w:t>招标</w:t>
      </w:r>
      <w:r>
        <w:rPr>
          <w:color w:val="auto"/>
          <w:highlight w:val="none"/>
        </w:rPr>
        <w:t>文件及其它招标资料。</w:t>
      </w:r>
      <w:r>
        <w:rPr>
          <w:rFonts w:hint="eastAsia"/>
          <w:color w:val="auto"/>
          <w:highlight w:val="none"/>
        </w:rPr>
        <w:t>未办理企业数字证书（CA）的企业需要按照云南省公共资源交易电子认证的要求，办理企业数字证书（CA），并在云南省公共资源交易中心网完成注册通过后，便可获取招标文件，此为获取招标文件的唯一途径。数字证书（CA）办理流程详见云南省公共资源交易中心网站的相关要求，交易平台技术支持服务电话：010-86483801；在线服务QQ：4009618998。</w:t>
      </w:r>
    </w:p>
    <w:p>
      <w:pPr>
        <w:pStyle w:val="9"/>
        <w:ind w:firstLine="482"/>
        <w:rPr>
          <w:color w:val="auto"/>
          <w:highlight w:val="none"/>
        </w:rPr>
      </w:pPr>
      <w:bookmarkStart w:id="61" w:name="_Toc27822"/>
      <w:r>
        <w:rPr>
          <w:rFonts w:hint="eastAsia"/>
          <w:color w:val="auto"/>
          <w:highlight w:val="none"/>
        </w:rPr>
        <w:t>5.投标文件的</w:t>
      </w:r>
      <w:bookmarkEnd w:id="54"/>
      <w:r>
        <w:rPr>
          <w:rFonts w:hint="eastAsia"/>
          <w:color w:val="auto"/>
          <w:highlight w:val="none"/>
        </w:rPr>
        <w:t>递交</w:t>
      </w:r>
      <w:bookmarkEnd w:id="55"/>
      <w:bookmarkEnd w:id="56"/>
      <w:bookmarkEnd w:id="57"/>
      <w:bookmarkEnd w:id="58"/>
      <w:bookmarkEnd w:id="59"/>
      <w:bookmarkEnd w:id="60"/>
      <w:bookmarkEnd w:id="61"/>
    </w:p>
    <w:p>
      <w:pPr>
        <w:spacing w:line="560" w:lineRule="exact"/>
        <w:ind w:firstLine="480" w:firstLineChars="200"/>
        <w:rPr>
          <w:color w:val="auto"/>
          <w:highlight w:val="none"/>
        </w:rPr>
      </w:pPr>
      <w:bookmarkStart w:id="62" w:name="_Toc39820886"/>
      <w:r>
        <w:rPr>
          <w:color w:val="auto"/>
          <w:highlight w:val="none"/>
        </w:rPr>
        <w:t>5.1 投标文件递交的截止时间（投标截止时间）为：202</w:t>
      </w:r>
      <w:r>
        <w:rPr>
          <w:rFonts w:hint="eastAsia"/>
          <w:color w:val="auto"/>
          <w:highlight w:val="none"/>
          <w:lang w:val="en-US" w:eastAsia="zh-CN"/>
        </w:rPr>
        <w:t>3</w:t>
      </w:r>
      <w:r>
        <w:rPr>
          <w:color w:val="auto"/>
          <w:highlight w:val="none"/>
        </w:rPr>
        <w:t>年</w:t>
      </w:r>
      <w:r>
        <w:rPr>
          <w:rFonts w:hint="eastAsia"/>
          <w:color w:val="auto"/>
          <w:highlight w:val="none"/>
          <w:lang w:val="en-US" w:eastAsia="zh-CN"/>
        </w:rPr>
        <w:t>3</w:t>
      </w:r>
      <w:r>
        <w:rPr>
          <w:color w:val="auto"/>
          <w:highlight w:val="none"/>
        </w:rPr>
        <w:t>月</w:t>
      </w:r>
      <w:r>
        <w:rPr>
          <w:rFonts w:hint="eastAsia"/>
          <w:color w:val="auto"/>
          <w:highlight w:val="none"/>
          <w:lang w:val="en-US" w:eastAsia="zh-CN"/>
        </w:rPr>
        <w:t>2</w:t>
      </w:r>
      <w:bookmarkStart w:id="79" w:name="_GoBack"/>
      <w:bookmarkEnd w:id="79"/>
      <w:r>
        <w:rPr>
          <w:rFonts w:hint="eastAsia"/>
          <w:color w:val="auto"/>
          <w:highlight w:val="none"/>
          <w:lang w:val="en-US" w:eastAsia="zh-CN"/>
        </w:rPr>
        <w:t>3</w:t>
      </w:r>
      <w:r>
        <w:rPr>
          <w:color w:val="auto"/>
          <w:highlight w:val="none"/>
        </w:rPr>
        <w:t>日 9 时</w:t>
      </w:r>
      <w:r>
        <w:rPr>
          <w:rFonts w:hint="eastAsia"/>
          <w:color w:val="auto"/>
          <w:highlight w:val="none"/>
        </w:rPr>
        <w:t xml:space="preserve"> 0</w:t>
      </w:r>
      <w:r>
        <w:rPr>
          <w:color w:val="auto"/>
          <w:highlight w:val="none"/>
        </w:rPr>
        <w:t>0分。</w:t>
      </w:r>
    </w:p>
    <w:bookmarkEnd w:id="62"/>
    <w:p>
      <w:pPr>
        <w:spacing w:line="560" w:lineRule="exact"/>
        <w:ind w:firstLine="480" w:firstLineChars="200"/>
        <w:rPr>
          <w:color w:val="auto"/>
          <w:highlight w:val="none"/>
        </w:rPr>
      </w:pPr>
      <w:r>
        <w:rPr>
          <w:color w:val="auto"/>
          <w:highlight w:val="none"/>
        </w:rPr>
        <w:t>5</w:t>
      </w:r>
      <w:r>
        <w:rPr>
          <w:rFonts w:hint="eastAsia"/>
          <w:color w:val="auto"/>
          <w:highlight w:val="none"/>
        </w:rPr>
        <w:t>.</w:t>
      </w:r>
      <w:r>
        <w:rPr>
          <w:color w:val="auto"/>
          <w:highlight w:val="none"/>
        </w:rPr>
        <w:t>2</w:t>
      </w:r>
      <w:r>
        <w:rPr>
          <w:rFonts w:hint="eastAsia"/>
          <w:color w:val="auto"/>
          <w:highlight w:val="none"/>
        </w:rPr>
        <w:t>在招标文件递交的截止时间（投标截止时间，下同）前，需在网上递交投标文件，具体要求：</w:t>
      </w:r>
    </w:p>
    <w:p>
      <w:pPr>
        <w:spacing w:line="560" w:lineRule="exact"/>
        <w:ind w:firstLine="480" w:firstLineChars="200"/>
        <w:rPr>
          <w:color w:val="auto"/>
          <w:highlight w:val="none"/>
        </w:rPr>
      </w:pPr>
      <w:r>
        <w:rPr>
          <w:rFonts w:hint="eastAsia"/>
          <w:color w:val="auto"/>
          <w:highlight w:val="none"/>
        </w:rPr>
        <w:t>一、根据《云南省发展和改革委员会关于贯彻落实积极应对疫情创新做好招投标工作保障经济平稳运行有关要求的通知》（云发改办招投标〔2020〕108号）、《云南省公共资源交易中心关于推行网上智能开标的通知》的相关要求，本项目开标方式为网上智能开标远程解密，投标人登录云南省公共资源交易平台，按照《网上智能开标远程解密操作指南（投标人）》完成远程解密、查看开标一览表等相关操作。本项目解密时间为１小时，若投标人未在规定时间完成以上解密，则视为撤销其投标文件，不再进入评标阶段。</w:t>
      </w:r>
    </w:p>
    <w:p>
      <w:pPr>
        <w:spacing w:line="560" w:lineRule="exact"/>
        <w:ind w:firstLine="480" w:firstLineChars="200"/>
        <w:rPr>
          <w:color w:val="auto"/>
          <w:highlight w:val="none"/>
        </w:rPr>
      </w:pPr>
      <w:r>
        <w:rPr>
          <w:rFonts w:hint="eastAsia"/>
          <w:color w:val="auto"/>
          <w:highlight w:val="none"/>
        </w:rPr>
        <w:t>因开标系统、开标现场网络、设备及其他特殊原因，导致不能正常解密投标文件的，经核实和上报相关部门同意后，可再次下达网上解密指令来延长解密时间。</w:t>
      </w:r>
    </w:p>
    <w:p>
      <w:pPr>
        <w:spacing w:line="560" w:lineRule="exact"/>
        <w:ind w:firstLine="480" w:firstLineChars="200"/>
        <w:rPr>
          <w:color w:val="auto"/>
          <w:highlight w:val="none"/>
        </w:rPr>
      </w:pPr>
      <w:r>
        <w:rPr>
          <w:rFonts w:hint="eastAsia"/>
          <w:color w:val="auto"/>
          <w:highlight w:val="none"/>
        </w:rPr>
        <w:t>开标过程中如有问题，可以在线提出异议，由代理机构给予对应的回复。在规定的统一提出异议时间内不提出异议的，则视为对开标结果无异议。</w:t>
      </w:r>
    </w:p>
    <w:p>
      <w:pPr>
        <w:spacing w:line="560" w:lineRule="exact"/>
        <w:ind w:firstLine="480" w:firstLineChars="200"/>
        <w:rPr>
          <w:color w:val="auto"/>
          <w:highlight w:val="none"/>
        </w:rPr>
      </w:pPr>
      <w:r>
        <w:rPr>
          <w:rFonts w:hint="eastAsia"/>
          <w:color w:val="auto"/>
          <w:highlight w:val="none"/>
        </w:rPr>
        <w:t>二、到规定解密截止时间后已解密的投标人不足三家的，按规定重新招标。</w:t>
      </w:r>
    </w:p>
    <w:p>
      <w:pPr>
        <w:spacing w:line="560" w:lineRule="exact"/>
        <w:ind w:firstLine="480" w:firstLineChars="200"/>
        <w:rPr>
          <w:color w:val="auto"/>
          <w:highlight w:val="none"/>
        </w:rPr>
      </w:pPr>
      <w:r>
        <w:rPr>
          <w:rFonts w:hint="eastAsia"/>
          <w:color w:val="auto"/>
          <w:highlight w:val="none"/>
        </w:rPr>
        <w:t>技术操作咨询：北京筑龙信息技术有限责任公司</w:t>
      </w:r>
    </w:p>
    <w:p>
      <w:pPr>
        <w:spacing w:line="560" w:lineRule="exact"/>
        <w:ind w:firstLine="480" w:firstLineChars="200"/>
        <w:rPr>
          <w:color w:val="auto"/>
          <w:highlight w:val="none"/>
        </w:rPr>
      </w:pPr>
      <w:r>
        <w:rPr>
          <w:rFonts w:hint="eastAsia"/>
          <w:color w:val="auto"/>
          <w:highlight w:val="none"/>
        </w:rPr>
        <w:t>服务热线：010-86483801，QQ：4009618998。</w:t>
      </w:r>
    </w:p>
    <w:p>
      <w:pPr>
        <w:pStyle w:val="9"/>
        <w:ind w:firstLine="482"/>
        <w:rPr>
          <w:color w:val="auto"/>
          <w:highlight w:val="none"/>
        </w:rPr>
      </w:pPr>
      <w:bookmarkStart w:id="63" w:name="_Toc39820888"/>
      <w:bookmarkStart w:id="64" w:name="_Toc2980"/>
      <w:bookmarkStart w:id="65" w:name="_Toc27289"/>
      <w:bookmarkStart w:id="66" w:name="_Toc31594"/>
      <w:bookmarkStart w:id="67" w:name="_Toc1604"/>
      <w:bookmarkStart w:id="68" w:name="_Toc11629"/>
      <w:bookmarkStart w:id="69" w:name="_Toc495849215"/>
      <w:bookmarkStart w:id="70" w:name="_Toc45549405"/>
      <w:r>
        <w:rPr>
          <w:rFonts w:hint="eastAsia"/>
          <w:color w:val="auto"/>
          <w:highlight w:val="none"/>
        </w:rPr>
        <w:t>6.公告媒介</w:t>
      </w:r>
      <w:bookmarkEnd w:id="63"/>
      <w:bookmarkEnd w:id="64"/>
      <w:bookmarkEnd w:id="65"/>
      <w:bookmarkEnd w:id="66"/>
      <w:bookmarkEnd w:id="67"/>
      <w:bookmarkEnd w:id="68"/>
      <w:bookmarkEnd w:id="69"/>
      <w:bookmarkEnd w:id="70"/>
    </w:p>
    <w:p>
      <w:pPr>
        <w:pStyle w:val="8"/>
        <w:wordWrap w:val="0"/>
        <w:ind w:firstLine="480"/>
        <w:rPr>
          <w:color w:val="auto"/>
          <w:highlight w:val="none"/>
        </w:rPr>
      </w:pPr>
      <w:r>
        <w:rPr>
          <w:rFonts w:hint="eastAsia"/>
          <w:color w:val="auto"/>
          <w:highlight w:val="none"/>
        </w:rPr>
        <w:t>本次招标公告同时在中国招标投标公共服务平台（</w:t>
      </w:r>
      <w:r>
        <w:rPr>
          <w:color w:val="auto"/>
          <w:highlight w:val="none"/>
        </w:rPr>
        <w:t>http://www.cebpubservice.com/）</w:t>
      </w:r>
      <w:r>
        <w:rPr>
          <w:rFonts w:hint="eastAsia"/>
          <w:color w:val="auto"/>
          <w:highlight w:val="none"/>
        </w:rPr>
        <w:t>、</w:t>
      </w:r>
      <w:r>
        <w:rPr>
          <w:rFonts w:hint="eastAsia"/>
          <w:color w:val="auto"/>
          <w:highlight w:val="none"/>
          <w:lang w:eastAsia="zh-CN"/>
        </w:rPr>
        <w:t>云南省公共资源交易中心</w:t>
      </w:r>
      <w:r>
        <w:rPr>
          <w:color w:val="auto"/>
          <w:highlight w:val="none"/>
        </w:rPr>
        <w:t>(</w:t>
      </w:r>
      <w:r>
        <w:rPr>
          <w:rFonts w:hint="eastAsia"/>
          <w:color w:val="auto"/>
          <w:highlight w:val="none"/>
          <w:lang w:eastAsia="zh-CN"/>
        </w:rPr>
        <w:t>https://ggzy.yn.gov.cn/ynggfwpt-home-web/#/homePage</w:t>
      </w:r>
      <w:r>
        <w:rPr>
          <w:color w:val="auto"/>
          <w:highlight w:val="none"/>
        </w:rPr>
        <w:t>)上发布</w:t>
      </w:r>
      <w:r>
        <w:rPr>
          <w:rFonts w:hint="eastAsia"/>
          <w:color w:val="auto"/>
          <w:highlight w:val="none"/>
        </w:rPr>
        <w:t>。</w:t>
      </w:r>
    </w:p>
    <w:p>
      <w:pPr>
        <w:pStyle w:val="9"/>
        <w:ind w:firstLine="482"/>
        <w:rPr>
          <w:color w:val="auto"/>
          <w:highlight w:val="none"/>
        </w:rPr>
      </w:pPr>
      <w:bookmarkStart w:id="71" w:name="_Toc2596"/>
      <w:bookmarkStart w:id="72" w:name="_Toc16919"/>
      <w:bookmarkStart w:id="73" w:name="_Toc495849217"/>
      <w:bookmarkStart w:id="74" w:name="_Toc15372"/>
      <w:bookmarkStart w:id="75" w:name="_Toc45549406"/>
      <w:bookmarkStart w:id="76" w:name="_Toc39820889"/>
      <w:bookmarkStart w:id="77" w:name="_Toc19949"/>
      <w:bookmarkStart w:id="78" w:name="_Toc8373"/>
      <w:r>
        <w:rPr>
          <w:rFonts w:hint="eastAsia"/>
          <w:color w:val="auto"/>
          <w:highlight w:val="none"/>
        </w:rPr>
        <w:t>7.联系方式</w:t>
      </w:r>
      <w:bookmarkEnd w:id="71"/>
      <w:bookmarkEnd w:id="72"/>
      <w:bookmarkEnd w:id="73"/>
      <w:bookmarkEnd w:id="74"/>
      <w:bookmarkEnd w:id="75"/>
      <w:bookmarkEnd w:id="76"/>
      <w:bookmarkEnd w:id="77"/>
      <w:bookmarkEnd w:id="78"/>
    </w:p>
    <w:p>
      <w:pPr>
        <w:pStyle w:val="8"/>
        <w:ind w:left="480" w:leftChars="200" w:firstLine="0" w:firstLineChars="0"/>
        <w:rPr>
          <w:color w:val="auto"/>
          <w:highlight w:val="none"/>
        </w:rPr>
      </w:pPr>
      <w:r>
        <w:rPr>
          <w:rFonts w:hint="eastAsia"/>
          <w:color w:val="auto"/>
          <w:highlight w:val="none"/>
        </w:rPr>
        <w:t>招 标 人：怒江州交通运输局</w:t>
      </w:r>
      <w:r>
        <w:rPr>
          <w:color w:val="auto"/>
          <w:highlight w:val="none"/>
        </w:rPr>
        <w:t xml:space="preserve"> </w:t>
      </w:r>
    </w:p>
    <w:p>
      <w:pPr>
        <w:pStyle w:val="8"/>
        <w:ind w:left="480" w:leftChars="200" w:firstLine="0" w:firstLineChars="0"/>
        <w:rPr>
          <w:color w:val="auto"/>
          <w:highlight w:val="none"/>
        </w:rPr>
      </w:pPr>
      <w:r>
        <w:rPr>
          <w:rFonts w:hint="eastAsia"/>
          <w:color w:val="auto"/>
          <w:highlight w:val="none"/>
        </w:rPr>
        <w:t xml:space="preserve">地 </w:t>
      </w:r>
      <w:r>
        <w:rPr>
          <w:color w:val="auto"/>
          <w:highlight w:val="none"/>
        </w:rPr>
        <w:t xml:space="preserve">   </w:t>
      </w:r>
      <w:r>
        <w:rPr>
          <w:rFonts w:hint="eastAsia"/>
          <w:color w:val="auto"/>
          <w:highlight w:val="none"/>
        </w:rPr>
        <w:t xml:space="preserve">址：泸水市龙江路87号 </w:t>
      </w:r>
    </w:p>
    <w:p>
      <w:pPr>
        <w:pStyle w:val="8"/>
        <w:ind w:firstLine="480"/>
        <w:rPr>
          <w:rFonts w:hint="default" w:eastAsia="宋体"/>
          <w:color w:val="auto"/>
          <w:highlight w:val="none"/>
          <w:lang w:val="en-US" w:eastAsia="zh-CN"/>
        </w:rPr>
      </w:pPr>
      <w:r>
        <w:rPr>
          <w:rFonts w:hint="eastAsia"/>
          <w:color w:val="auto"/>
          <w:highlight w:val="none"/>
        </w:rPr>
        <w:t>联 系 人：</w:t>
      </w:r>
      <w:r>
        <w:rPr>
          <w:rFonts w:hint="eastAsia"/>
          <w:color w:val="auto"/>
          <w:highlight w:val="none"/>
          <w:lang w:val="en-US" w:eastAsia="zh-CN"/>
        </w:rPr>
        <w:t>段胜虎</w:t>
      </w:r>
    </w:p>
    <w:p>
      <w:pPr>
        <w:pStyle w:val="8"/>
        <w:ind w:firstLine="480"/>
        <w:rPr>
          <w:rFonts w:hint="eastAsia"/>
          <w:color w:val="auto"/>
          <w:highlight w:val="none"/>
        </w:rPr>
      </w:pPr>
      <w:r>
        <w:rPr>
          <w:rFonts w:hint="eastAsia"/>
          <w:color w:val="auto"/>
          <w:highlight w:val="none"/>
        </w:rPr>
        <w:t>联系电话：</w:t>
      </w:r>
      <w:r>
        <w:rPr>
          <w:rFonts w:hint="eastAsia"/>
          <w:color w:val="auto"/>
          <w:highlight w:val="none"/>
          <w:lang w:val="en-US" w:eastAsia="zh-CN"/>
        </w:rPr>
        <w:t>14787468964</w:t>
      </w:r>
      <w:r>
        <w:rPr>
          <w:rFonts w:hint="eastAsia"/>
          <w:color w:val="auto"/>
          <w:highlight w:val="none"/>
        </w:rPr>
        <w:t xml:space="preserve"> </w:t>
      </w:r>
    </w:p>
    <w:p>
      <w:pPr>
        <w:pStyle w:val="8"/>
        <w:ind w:firstLine="480"/>
        <w:rPr>
          <w:rFonts w:hint="eastAsia"/>
          <w:color w:val="auto"/>
          <w:highlight w:val="none"/>
        </w:rPr>
      </w:pPr>
    </w:p>
    <w:p>
      <w:pPr>
        <w:pStyle w:val="8"/>
        <w:ind w:firstLine="480"/>
        <w:rPr>
          <w:color w:val="auto"/>
          <w:highlight w:val="none"/>
        </w:rPr>
      </w:pPr>
      <w:r>
        <w:rPr>
          <w:rFonts w:hint="eastAsia"/>
          <w:color w:val="auto"/>
          <w:highlight w:val="none"/>
        </w:rPr>
        <w:t>代理机构：云南云岭工程造价咨询有限公司</w:t>
      </w:r>
    </w:p>
    <w:p>
      <w:pPr>
        <w:pStyle w:val="8"/>
        <w:ind w:firstLine="480"/>
        <w:rPr>
          <w:color w:val="auto"/>
          <w:highlight w:val="none"/>
        </w:rPr>
      </w:pPr>
      <w:r>
        <w:rPr>
          <w:rFonts w:hint="eastAsia"/>
          <w:color w:val="auto"/>
          <w:highlight w:val="none"/>
        </w:rPr>
        <w:t>公司地址：昆明市盘龙区小坝路</w:t>
      </w:r>
      <w:r>
        <w:rPr>
          <w:color w:val="auto"/>
          <w:highlight w:val="none"/>
        </w:rPr>
        <w:t>2</w:t>
      </w:r>
      <w:r>
        <w:rPr>
          <w:rFonts w:hint="eastAsia"/>
          <w:color w:val="auto"/>
          <w:highlight w:val="none"/>
        </w:rPr>
        <w:t>号金尚俊园C座</w:t>
      </w:r>
      <w:r>
        <w:rPr>
          <w:rFonts w:hint="eastAsia"/>
          <w:color w:val="auto"/>
          <w:highlight w:val="none"/>
          <w:lang w:val="en-US" w:eastAsia="zh-CN"/>
        </w:rPr>
        <w:t>24-26楼</w:t>
      </w:r>
    </w:p>
    <w:p>
      <w:pPr>
        <w:pStyle w:val="8"/>
        <w:ind w:firstLine="480"/>
        <w:rPr>
          <w:rFonts w:hint="default" w:eastAsia="宋体"/>
          <w:color w:val="auto"/>
          <w:highlight w:val="none"/>
          <w:lang w:val="en-US" w:eastAsia="zh-CN"/>
        </w:rPr>
      </w:pPr>
      <w:r>
        <w:rPr>
          <w:rFonts w:hint="eastAsia"/>
          <w:color w:val="auto"/>
          <w:highlight w:val="none"/>
        </w:rPr>
        <w:t>联 系 人：曹</w:t>
      </w:r>
      <w:r>
        <w:rPr>
          <w:rFonts w:hint="eastAsia"/>
          <w:color w:val="auto"/>
          <w:highlight w:val="none"/>
          <w:lang w:val="en-US" w:eastAsia="zh-CN"/>
        </w:rPr>
        <w:t>慕华</w:t>
      </w:r>
      <w:r>
        <w:rPr>
          <w:rFonts w:hint="eastAsia"/>
          <w:color w:val="auto"/>
          <w:highlight w:val="none"/>
        </w:rPr>
        <w:t>、赵</w:t>
      </w:r>
      <w:r>
        <w:rPr>
          <w:rFonts w:hint="eastAsia"/>
          <w:color w:val="auto"/>
          <w:highlight w:val="none"/>
          <w:lang w:val="en-US" w:eastAsia="zh-CN"/>
        </w:rPr>
        <w:t>朱巍</w:t>
      </w:r>
    </w:p>
    <w:p>
      <w:pPr>
        <w:pStyle w:val="8"/>
        <w:ind w:firstLine="480"/>
        <w:rPr>
          <w:rFonts w:hint="eastAsia"/>
          <w:color w:val="auto"/>
          <w:highlight w:val="none"/>
        </w:rPr>
      </w:pPr>
      <w:r>
        <w:rPr>
          <w:rFonts w:hint="eastAsia"/>
          <w:color w:val="auto"/>
          <w:highlight w:val="none"/>
        </w:rPr>
        <w:t>联系电话：13888182723、18669087672</w:t>
      </w:r>
    </w:p>
    <w:p>
      <w:pPr>
        <w:pStyle w:val="8"/>
        <w:ind w:firstLine="480"/>
        <w:rPr>
          <w:rFonts w:hint="eastAsia"/>
          <w:color w:val="auto"/>
          <w:highlight w:val="none"/>
        </w:rPr>
      </w:pPr>
    </w:p>
    <w:p>
      <w:pPr>
        <w:jc w:val="right"/>
      </w:pPr>
      <w:r>
        <w:rPr>
          <w:rFonts w:hint="eastAsia"/>
          <w:color w:val="auto"/>
          <w:highlight w:val="none"/>
          <w:lang w:val="en-US" w:eastAsia="zh-CN"/>
        </w:rPr>
        <w:t>2023年2月23日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C653F"/>
    <w:multiLevelType w:val="singleLevel"/>
    <w:tmpl w:val="D92C653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154D0F7F"/>
    <w:rsid w:val="088E234A"/>
    <w:rsid w:val="0C1D7AA6"/>
    <w:rsid w:val="154D0F7F"/>
    <w:rsid w:val="1C4B7AE2"/>
    <w:rsid w:val="21EC0212"/>
    <w:rsid w:val="28006936"/>
    <w:rsid w:val="3B0A4A1B"/>
    <w:rsid w:val="46B15213"/>
    <w:rsid w:val="664663E8"/>
    <w:rsid w:val="788E4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autoSpaceDE w:val="0"/>
      <w:autoSpaceDN w:val="0"/>
      <w:adjustRightInd w:val="0"/>
      <w:spacing w:before="100" w:beforeAutospacing="1" w:after="100" w:afterAutospacing="1" w:line="360" w:lineRule="auto"/>
      <w:jc w:val="center"/>
      <w:outlineLvl w:val="0"/>
    </w:pPr>
    <w:rPr>
      <w:rFonts w:ascii="黑体" w:hAnsi="Arial" w:eastAsia="黑体"/>
      <w:bCs/>
      <w:sz w:val="44"/>
      <w:szCs w:val="44"/>
      <w:lang w:val="zh-CN"/>
    </w:rPr>
  </w:style>
  <w:style w:type="paragraph" w:styleId="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01标题1"/>
    <w:next w:val="8"/>
    <w:qFormat/>
    <w:uiPriority w:val="0"/>
    <w:pPr>
      <w:spacing w:before="100" w:beforeAutospacing="1" w:after="100" w:afterAutospacing="1" w:line="360" w:lineRule="auto"/>
      <w:jc w:val="center"/>
      <w:outlineLvl w:val="0"/>
    </w:pPr>
    <w:rPr>
      <w:rFonts w:ascii="宋体" w:hAnsi="宋体" w:eastAsia="黑体" w:cs="宋体"/>
      <w:b/>
      <w:bCs/>
      <w:kern w:val="44"/>
      <w:sz w:val="36"/>
      <w:szCs w:val="44"/>
      <w:lang w:val="en-US" w:eastAsia="zh-CN" w:bidi="ar-SA"/>
    </w:rPr>
  </w:style>
  <w:style w:type="paragraph" w:customStyle="1" w:styleId="8">
    <w:name w:val="05正文"/>
    <w:basedOn w:val="1"/>
    <w:qFormat/>
    <w:uiPriority w:val="0"/>
    <w:pPr>
      <w:widowControl w:val="0"/>
      <w:spacing w:line="560" w:lineRule="exact"/>
      <w:ind w:firstLine="200" w:firstLineChars="200"/>
      <w:jc w:val="both"/>
    </w:pPr>
  </w:style>
  <w:style w:type="paragraph" w:customStyle="1" w:styleId="9">
    <w:name w:val="02标题2"/>
    <w:next w:val="8"/>
    <w:qFormat/>
    <w:uiPriority w:val="0"/>
    <w:pPr>
      <w:spacing w:line="560" w:lineRule="exact"/>
      <w:ind w:firstLine="200" w:firstLineChars="200"/>
      <w:outlineLvl w:val="1"/>
    </w:pPr>
    <w:rPr>
      <w:rFonts w:ascii="宋体" w:hAnsi="宋体" w:eastAsia="宋体" w:cs="Times New Roman"/>
      <w:b/>
      <w:kern w:val="44"/>
      <w:sz w:val="24"/>
      <w:szCs w:val="32"/>
      <w:lang w:val="en-US" w:eastAsia="zh-CN" w:bidi="ar-SA"/>
    </w:rPr>
  </w:style>
  <w:style w:type="paragraph" w:customStyle="1" w:styleId="10">
    <w:name w:val="03标题3"/>
    <w:next w:val="8"/>
    <w:qFormat/>
    <w:uiPriority w:val="0"/>
    <w:pPr>
      <w:spacing w:line="560" w:lineRule="exact"/>
      <w:ind w:firstLine="482" w:firstLineChars="200"/>
      <w:outlineLvl w:val="2"/>
    </w:pPr>
    <w:rPr>
      <w:rFonts w:ascii="宋体" w:hAnsi="宋体" w:eastAsia="宋体" w:cs="Times New Roman"/>
      <w:b/>
      <w:kern w:val="44"/>
      <w:sz w:val="24"/>
      <w:szCs w:val="21"/>
      <w:lang w:val="en-US" w:eastAsia="zh-CN" w:bidi="ar-SA"/>
    </w:rPr>
  </w:style>
  <w:style w:type="paragraph" w:customStyle="1" w:styleId="11">
    <w:name w:val="04标题4"/>
    <w:basedOn w:val="10"/>
    <w:next w:val="8"/>
    <w:qFormat/>
    <w:uiPriority w:val="0"/>
    <w:pPr>
      <w:outlineLvl w:val="3"/>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2023-02-22T06:38:00Z</dcterms:created>
  <dc:creator>郑红玉</dc:creator>
  <cp:lastModifiedBy>郑红玉</cp:lastModifiedBy>
  <dcterms:modified xsi:type="dcterms:W3CDTF">2023-02-22T06:39:27Z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486267F0137C444C92D583ADCD9625AB</vt:lpwstr>
  </property>
</Properties>
</file>