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AF42A">
      <w:pPr>
        <w:spacing w:line="740" w:lineRule="exact"/>
        <w:ind w:firstLine="0"/>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楚雄州牟定县</w:t>
      </w:r>
    </w:p>
    <w:p w14:paraId="512A1B0A">
      <w:pPr>
        <w:tabs>
          <w:tab w:val="left" w:pos="180"/>
        </w:tabs>
        <w:spacing w:line="600" w:lineRule="auto"/>
        <w:ind w:left="0" w:leftChars="0" w:firstLine="0" w:firstLineChars="0"/>
        <w:jc w:val="center"/>
        <w:rPr>
          <w:rFonts w:hint="eastAsia" w:ascii="黑体" w:hAnsi="黑体" w:eastAsia="黑体" w:cs="黑体"/>
          <w:b/>
          <w:bCs/>
          <w:color w:val="000000" w:themeColor="text1"/>
          <w:sz w:val="44"/>
          <w:szCs w:val="44"/>
          <w:highlight w:val="none"/>
          <w14:textFill>
            <w14:solidFill>
              <w14:schemeClr w14:val="tx1"/>
            </w14:solidFill>
          </w14:textFill>
        </w:rPr>
      </w:pPr>
      <w:r>
        <w:rPr>
          <w:rFonts w:hint="eastAsia" w:ascii="宋体" w:hAnsi="宋体" w:cs="宋体"/>
          <w:b/>
          <w:bCs/>
          <w:color w:val="auto"/>
          <w:sz w:val="44"/>
          <w:szCs w:val="44"/>
          <w:highlight w:val="none"/>
          <w:lang w:eastAsia="zh-CN"/>
        </w:rPr>
        <w:t>餐厨垃圾收运处理及综合利用项目特许经营</w:t>
      </w:r>
    </w:p>
    <w:p w14:paraId="057E782A">
      <w:pPr>
        <w:spacing w:line="400" w:lineRule="exact"/>
        <w:rPr>
          <w:rFonts w:hint="eastAsia" w:ascii="黑体" w:hAnsi="黑体" w:eastAsia="黑体" w:cs="黑体"/>
          <w:color w:val="000000" w:themeColor="text1"/>
          <w:highlight w:val="none"/>
          <w14:textFill>
            <w14:solidFill>
              <w14:schemeClr w14:val="tx1"/>
            </w14:solidFill>
          </w14:textFill>
        </w:rPr>
      </w:pPr>
    </w:p>
    <w:p w14:paraId="62E95CFA">
      <w:pPr>
        <w:pStyle w:val="127"/>
        <w:rPr>
          <w:rFonts w:hint="eastAsia" w:ascii="黑体" w:hAnsi="黑体" w:eastAsia="黑体" w:cs="黑体"/>
        </w:rPr>
      </w:pPr>
    </w:p>
    <w:p w14:paraId="133B3A58">
      <w:pPr>
        <w:spacing w:line="400" w:lineRule="exact"/>
        <w:rPr>
          <w:rFonts w:hint="eastAsia" w:ascii="黑体" w:hAnsi="黑体" w:eastAsia="黑体" w:cs="黑体"/>
          <w:color w:val="000000" w:themeColor="text1"/>
          <w:highlight w:val="none"/>
          <w14:textFill>
            <w14:solidFill>
              <w14:schemeClr w14:val="tx1"/>
            </w14:solidFill>
          </w14:textFill>
        </w:rPr>
      </w:pPr>
    </w:p>
    <w:p w14:paraId="7B669E7E">
      <w:pPr>
        <w:jc w:val="center"/>
        <w:rPr>
          <w:rFonts w:hint="eastAsia" w:ascii="黑体" w:hAnsi="黑体" w:eastAsia="黑体" w:cs="黑体"/>
          <w:color w:val="000000" w:themeColor="text1"/>
          <w:highlight w:val="none"/>
          <w14:textFill>
            <w14:solidFill>
              <w14:schemeClr w14:val="tx1"/>
            </w14:solidFill>
          </w14:textFill>
        </w:rPr>
      </w:pPr>
      <w:r>
        <w:rPr>
          <w:rFonts w:hint="eastAsia" w:ascii="黑体" w:hAnsi="黑体" w:eastAsia="黑体" w:cs="黑体"/>
          <w:color w:val="000000" w:themeColor="text1"/>
          <w:sz w:val="72"/>
          <w:szCs w:val="72"/>
          <w:highlight w:val="none"/>
          <w14:textFill>
            <w14:solidFill>
              <w14:schemeClr w14:val="tx1"/>
            </w14:solidFill>
          </w14:textFill>
        </w:rPr>
        <w:t>招 标 文 件</w:t>
      </w:r>
    </w:p>
    <w:p w14:paraId="67D754AA">
      <w:pPr>
        <w:spacing w:line="400" w:lineRule="exact"/>
        <w:rPr>
          <w:rFonts w:hint="eastAsia" w:ascii="黑体" w:hAnsi="黑体" w:eastAsia="黑体" w:cs="黑体"/>
          <w:color w:val="000000" w:themeColor="text1"/>
          <w:highlight w:val="none"/>
          <w14:textFill>
            <w14:solidFill>
              <w14:schemeClr w14:val="tx1"/>
            </w14:solidFill>
          </w14:textFill>
        </w:rPr>
      </w:pPr>
    </w:p>
    <w:p w14:paraId="7077EB2D">
      <w:pPr>
        <w:spacing w:line="400" w:lineRule="exact"/>
        <w:jc w:val="center"/>
        <w:rPr>
          <w:rFonts w:hint="default" w:ascii="黑体" w:hAnsi="黑体" w:eastAsia="黑体" w:cs="黑体"/>
          <w:b/>
          <w:bCs/>
          <w:color w:val="000000" w:themeColor="text1"/>
          <w:sz w:val="24"/>
          <w:szCs w:val="24"/>
          <w:highlight w:val="none"/>
          <w:lang w:val="en-US" w:eastAsia="zh-CN"/>
          <w14:textFill>
            <w14:solidFill>
              <w14:schemeClr w14:val="tx1"/>
            </w14:solidFill>
          </w14:textFill>
        </w:rPr>
      </w:pPr>
      <w:r>
        <w:rPr>
          <w:rFonts w:hint="eastAsia" w:ascii="黑体" w:hAnsi="黑体" w:eastAsia="黑体" w:cs="黑体"/>
          <w:b/>
          <w:bCs/>
          <w:color w:val="000000" w:themeColor="text1"/>
          <w:sz w:val="24"/>
          <w:szCs w:val="24"/>
          <w:highlight w:val="none"/>
          <w:lang w:eastAsia="zh-CN"/>
          <w14:textFill>
            <w14:solidFill>
              <w14:schemeClr w14:val="tx1"/>
            </w14:solidFill>
          </w14:textFill>
        </w:rPr>
        <w:t>项目</w:t>
      </w:r>
      <w:r>
        <w:rPr>
          <w:rFonts w:hint="eastAsia" w:ascii="黑体" w:hAnsi="黑体" w:eastAsia="黑体" w:cs="黑体"/>
          <w:b/>
          <w:bCs/>
          <w:color w:val="000000" w:themeColor="text1"/>
          <w:sz w:val="24"/>
          <w:szCs w:val="24"/>
          <w:highlight w:val="none"/>
          <w14:textFill>
            <w14:solidFill>
              <w14:schemeClr w14:val="tx1"/>
            </w14:solidFill>
          </w14:textFill>
        </w:rPr>
        <w:t>编号：</w:t>
      </w: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CYZB</w:t>
      </w:r>
      <w:r>
        <w:rPr>
          <w:rFonts w:hint="eastAsia" w:ascii="黑体" w:hAnsi="黑体" w:eastAsia="黑体" w:cs="黑体"/>
          <w:b/>
          <w:bCs/>
          <w:color w:val="000000" w:themeColor="text1"/>
          <w:sz w:val="24"/>
          <w:szCs w:val="24"/>
          <w:highlight w:val="none"/>
          <w:lang w:eastAsia="zh-CN"/>
          <w14:textFill>
            <w14:solidFill>
              <w14:schemeClr w14:val="tx1"/>
            </w14:solidFill>
          </w14:textFill>
        </w:rPr>
        <w:t>202</w:t>
      </w: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5</w:t>
      </w:r>
      <w:r>
        <w:rPr>
          <w:rFonts w:hint="eastAsia" w:ascii="黑体" w:hAnsi="黑体" w:eastAsia="黑体" w:cs="黑体"/>
          <w:b/>
          <w:bCs/>
          <w:color w:val="000000" w:themeColor="text1"/>
          <w:sz w:val="24"/>
          <w:szCs w:val="24"/>
          <w:highlight w:val="none"/>
          <w:lang w:eastAsia="zh-CN"/>
          <w14:textFill>
            <w14:solidFill>
              <w14:schemeClr w14:val="tx1"/>
            </w14:solidFill>
          </w14:textFill>
        </w:rPr>
        <w:t>-</w:t>
      </w: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018</w:t>
      </w:r>
    </w:p>
    <w:p w14:paraId="0D76D949">
      <w:pPr>
        <w:rPr>
          <w:rFonts w:hint="eastAsia" w:ascii="黑体" w:hAnsi="黑体" w:eastAsia="黑体" w:cs="黑体"/>
          <w:lang w:val="en-US" w:eastAsia="zh-CN"/>
        </w:rPr>
      </w:pPr>
    </w:p>
    <w:p w14:paraId="6508611C">
      <w:pPr>
        <w:jc w:val="center"/>
        <w:rPr>
          <w:rFonts w:hint="eastAsia" w:ascii="黑体" w:hAnsi="黑体" w:eastAsia="黑体" w:cs="黑体"/>
          <w:lang w:eastAsia="zh-CN"/>
        </w:rPr>
      </w:pPr>
      <w:r>
        <w:rPr>
          <w:rFonts w:hint="eastAsia" w:ascii="黑体" w:hAnsi="黑体" w:eastAsia="黑体" w:cs="黑体"/>
          <w:lang w:val="en-US" w:eastAsia="zh-CN"/>
        </w:rPr>
        <w:t xml:space="preserve">  </w:t>
      </w:r>
      <w:r>
        <w:rPr>
          <w:rFonts w:hint="eastAsia" w:ascii="黑体" w:hAnsi="黑体" w:eastAsia="黑体" w:cs="黑体"/>
          <w:lang w:eastAsia="zh-CN"/>
        </w:rPr>
        <w:drawing>
          <wp:inline distT="0" distB="0" distL="114300" distR="114300">
            <wp:extent cx="2693670" cy="1629410"/>
            <wp:effectExtent l="0" t="0" r="11430" b="8890"/>
            <wp:docPr id="1" name="图片 1" descr="牟定门头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牟定门头0_00"/>
                    <pic:cNvPicPr>
                      <a:picLocks noChangeAspect="1"/>
                    </pic:cNvPicPr>
                  </pic:nvPicPr>
                  <pic:blipFill>
                    <a:blip r:embed="rId20"/>
                    <a:stretch>
                      <a:fillRect/>
                    </a:stretch>
                  </pic:blipFill>
                  <pic:spPr>
                    <a:xfrm>
                      <a:off x="0" y="0"/>
                      <a:ext cx="2693670" cy="1629410"/>
                    </a:xfrm>
                    <a:prstGeom prst="rect">
                      <a:avLst/>
                    </a:prstGeom>
                    <a:noFill/>
                    <a:ln>
                      <a:noFill/>
                    </a:ln>
                  </pic:spPr>
                </pic:pic>
              </a:graphicData>
            </a:graphic>
          </wp:inline>
        </w:drawing>
      </w:r>
    </w:p>
    <w:p w14:paraId="20CDC4AC">
      <w:pPr>
        <w:tabs>
          <w:tab w:val="left" w:pos="180"/>
        </w:tabs>
        <w:spacing w:line="600" w:lineRule="auto"/>
        <w:jc w:val="center"/>
        <w:rPr>
          <w:rFonts w:hint="eastAsia" w:ascii="黑体" w:hAnsi="黑体" w:eastAsia="黑体" w:cs="黑体"/>
          <w:sz w:val="21"/>
          <w:szCs w:val="21"/>
          <w:lang w:eastAsia="zh-CN"/>
        </w:rPr>
      </w:pPr>
      <w:r>
        <w:rPr>
          <w:rFonts w:hint="eastAsia" w:ascii="黑体" w:hAnsi="黑体" w:eastAsia="黑体" w:cs="黑体"/>
          <w:b/>
          <w:bCs/>
          <w:color w:val="000000"/>
          <w:sz w:val="21"/>
          <w:szCs w:val="21"/>
          <w:lang w:val="en-US" w:eastAsia="zh-CN"/>
        </w:rPr>
        <w:t>公开、公平、公正、守法、诚信</w:t>
      </w:r>
    </w:p>
    <w:p w14:paraId="22321DE6">
      <w:pPr>
        <w:spacing w:line="400" w:lineRule="exact"/>
        <w:rPr>
          <w:rFonts w:hint="eastAsia" w:ascii="黑体" w:hAnsi="黑体" w:eastAsia="黑体" w:cs="黑体"/>
          <w:color w:val="000000" w:themeColor="text1"/>
          <w:highlight w:val="none"/>
          <w14:textFill>
            <w14:solidFill>
              <w14:schemeClr w14:val="tx1"/>
            </w14:solidFill>
          </w14:textFill>
        </w:rPr>
      </w:pPr>
    </w:p>
    <w:p w14:paraId="7E634C4F">
      <w:pPr>
        <w:spacing w:line="400" w:lineRule="exact"/>
        <w:rPr>
          <w:rFonts w:hint="eastAsia" w:ascii="黑体" w:hAnsi="黑体" w:eastAsia="黑体" w:cs="黑体"/>
          <w:color w:val="000000" w:themeColor="text1"/>
          <w:highlight w:val="none"/>
          <w14:textFill>
            <w14:solidFill>
              <w14:schemeClr w14:val="tx1"/>
            </w14:solidFill>
          </w14:textFill>
        </w:rPr>
      </w:pPr>
    </w:p>
    <w:p w14:paraId="3E286F8E">
      <w:pPr>
        <w:spacing w:line="400" w:lineRule="exact"/>
        <w:rPr>
          <w:rFonts w:hint="eastAsia" w:ascii="黑体" w:hAnsi="黑体" w:eastAsia="黑体" w:cs="黑体"/>
          <w:color w:val="000000" w:themeColor="text1"/>
          <w:highlight w:val="none"/>
          <w14:textFill>
            <w14:solidFill>
              <w14:schemeClr w14:val="tx1"/>
            </w14:solidFill>
          </w14:textFill>
        </w:rPr>
      </w:pPr>
    </w:p>
    <w:p w14:paraId="2B1D4071">
      <w:pPr>
        <w:pStyle w:val="317"/>
        <w:rPr>
          <w:rFonts w:hint="eastAsia"/>
        </w:rPr>
      </w:pPr>
    </w:p>
    <w:p w14:paraId="139168B6">
      <w:pPr>
        <w:spacing w:line="400" w:lineRule="exact"/>
        <w:rPr>
          <w:rFonts w:hint="eastAsia" w:ascii="黑体" w:hAnsi="黑体" w:eastAsia="黑体" w:cs="黑体"/>
          <w:color w:val="000000" w:themeColor="text1"/>
          <w:highlight w:val="none"/>
          <w14:textFill>
            <w14:solidFill>
              <w14:schemeClr w14:val="tx1"/>
            </w14:solidFill>
          </w14:textFill>
        </w:rPr>
      </w:pPr>
    </w:p>
    <w:p w14:paraId="599CDD22">
      <w:pPr>
        <w:spacing w:line="400" w:lineRule="exact"/>
        <w:rPr>
          <w:rFonts w:hint="eastAsia" w:ascii="黑体" w:hAnsi="黑体" w:eastAsia="黑体" w:cs="黑体"/>
          <w:color w:val="000000" w:themeColor="text1"/>
          <w:highlight w:val="none"/>
          <w14:textFill>
            <w14:solidFill>
              <w14:schemeClr w14:val="tx1"/>
            </w14:solidFill>
          </w14:textFill>
        </w:rPr>
      </w:pPr>
    </w:p>
    <w:p w14:paraId="54EC9CB2">
      <w:pPr>
        <w:spacing w:before="156" w:beforeLines="50"/>
        <w:ind w:firstLine="2880" w:firstLineChars="900"/>
        <w:jc w:val="both"/>
        <w:rPr>
          <w:rFonts w:hint="eastAsia" w:ascii="黑体" w:hAnsi="黑体" w:eastAsia="黑体" w:cs="黑体"/>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招标人：</w:t>
      </w:r>
      <w:r>
        <w:rPr>
          <w:rFonts w:hint="eastAsia" w:ascii="黑体" w:hAnsi="黑体" w:eastAsia="黑体" w:cs="黑体"/>
          <w:color w:val="000000" w:themeColor="text1"/>
          <w:sz w:val="32"/>
          <w:szCs w:val="32"/>
          <w:highlight w:val="none"/>
          <w:lang w:eastAsia="zh-CN"/>
          <w14:textFill>
            <w14:solidFill>
              <w14:schemeClr w14:val="tx1"/>
            </w14:solidFill>
          </w14:textFill>
        </w:rPr>
        <w:t>牟定县住房和城乡建设局</w:t>
      </w:r>
    </w:p>
    <w:p w14:paraId="7006EA27">
      <w:pPr>
        <w:pStyle w:val="127"/>
        <w:rPr>
          <w:rFonts w:hint="eastAsia" w:ascii="黑体" w:hAnsi="黑体" w:eastAsia="黑体" w:cs="黑体"/>
          <w:sz w:val="32"/>
          <w:szCs w:val="32"/>
          <w:lang w:val="en-US" w:eastAsia="zh-CN"/>
        </w:rPr>
      </w:pPr>
    </w:p>
    <w:p w14:paraId="7B9848C5">
      <w:pPr>
        <w:spacing w:before="156" w:beforeLines="50"/>
        <w:jc w:val="center"/>
        <w:rPr>
          <w:rFonts w:hint="eastAsia" w:ascii="黑体" w:hAnsi="黑体" w:eastAsia="黑体" w:cs="黑体"/>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  招标代理</w:t>
      </w:r>
      <w:r>
        <w:rPr>
          <w:rFonts w:hint="eastAsia" w:ascii="黑体" w:hAnsi="黑体" w:eastAsia="黑体" w:cs="黑体"/>
          <w:color w:val="000000" w:themeColor="text1"/>
          <w:sz w:val="32"/>
          <w:szCs w:val="32"/>
          <w:highlight w:val="none"/>
          <w:lang w:eastAsia="zh-CN"/>
          <w14:textFill>
            <w14:solidFill>
              <w14:schemeClr w14:val="tx1"/>
            </w14:solidFill>
          </w14:textFill>
        </w:rPr>
        <w:t>机构</w:t>
      </w:r>
      <w:r>
        <w:rPr>
          <w:rFonts w:hint="eastAsia" w:ascii="黑体" w:hAnsi="黑体" w:eastAsia="黑体" w:cs="黑体"/>
          <w:color w:val="000000" w:themeColor="text1"/>
          <w:sz w:val="32"/>
          <w:szCs w:val="32"/>
          <w:highlight w:val="none"/>
          <w14:textFill>
            <w14:solidFill>
              <w14:schemeClr w14:val="tx1"/>
            </w14:solidFill>
          </w14:textFill>
        </w:rPr>
        <w:t>：</w:t>
      </w:r>
      <w:r>
        <w:rPr>
          <w:rFonts w:hint="eastAsia" w:ascii="黑体" w:hAnsi="黑体" w:eastAsia="黑体" w:cs="黑体"/>
          <w:color w:val="000000" w:themeColor="text1"/>
          <w:sz w:val="32"/>
          <w:szCs w:val="32"/>
          <w:highlight w:val="none"/>
          <w:lang w:eastAsia="zh-CN"/>
          <w14:textFill>
            <w14:solidFill>
              <w14:schemeClr w14:val="tx1"/>
            </w14:solidFill>
          </w14:textFill>
        </w:rPr>
        <w:t>云南诚昱招标代理有限公司</w:t>
      </w:r>
    </w:p>
    <w:p w14:paraId="669F6DF9">
      <w:pPr>
        <w:spacing w:before="156" w:beforeLines="50"/>
        <w:jc w:val="center"/>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二0二</w:t>
      </w:r>
      <w:r>
        <w:rPr>
          <w:rFonts w:hint="eastAsia" w:ascii="黑体" w:hAnsi="黑体" w:eastAsia="黑体" w:cs="黑体"/>
          <w:color w:val="000000" w:themeColor="text1"/>
          <w:sz w:val="32"/>
          <w:szCs w:val="32"/>
          <w:highlight w:val="none"/>
          <w:lang w:eastAsia="zh-CN"/>
          <w14:textFill>
            <w14:solidFill>
              <w14:schemeClr w14:val="tx1"/>
            </w14:solidFill>
          </w14:textFill>
        </w:rPr>
        <w:t>六</w:t>
      </w:r>
      <w:r>
        <w:rPr>
          <w:rFonts w:hint="eastAsia" w:ascii="黑体" w:hAnsi="黑体" w:eastAsia="黑体" w:cs="黑体"/>
          <w:color w:val="000000" w:themeColor="text1"/>
          <w:sz w:val="32"/>
          <w:szCs w:val="32"/>
          <w:highlight w:val="none"/>
          <w14:textFill>
            <w14:solidFill>
              <w14:schemeClr w14:val="tx1"/>
            </w14:solidFill>
          </w14:textFill>
        </w:rPr>
        <w:t>年</w:t>
      </w:r>
      <w:r>
        <w:rPr>
          <w:rFonts w:hint="eastAsia" w:ascii="黑体" w:hAnsi="黑体" w:eastAsia="黑体" w:cs="黑体"/>
          <w:color w:val="000000" w:themeColor="text1"/>
          <w:sz w:val="32"/>
          <w:szCs w:val="32"/>
          <w:highlight w:val="none"/>
          <w:lang w:eastAsia="zh-CN"/>
          <w14:textFill>
            <w14:solidFill>
              <w14:schemeClr w14:val="tx1"/>
            </w14:solidFill>
          </w14:textFill>
        </w:rPr>
        <w:t>四</w:t>
      </w:r>
      <w:r>
        <w:rPr>
          <w:rFonts w:hint="eastAsia" w:ascii="黑体" w:hAnsi="黑体" w:eastAsia="黑体" w:cs="黑体"/>
          <w:color w:val="000000" w:themeColor="text1"/>
          <w:sz w:val="32"/>
          <w:szCs w:val="32"/>
          <w:highlight w:val="none"/>
          <w14:textFill>
            <w14:solidFill>
              <w14:schemeClr w14:val="tx1"/>
            </w14:solidFill>
          </w14:textFill>
        </w:rPr>
        <w:t>月</w:t>
      </w:r>
    </w:p>
    <w:p w14:paraId="01176A60">
      <w:pPr>
        <w:snapToGrid w:val="0"/>
        <w:spacing w:line="360" w:lineRule="auto"/>
        <w:ind w:firstLine="1040" w:firstLineChars="325"/>
        <w:rPr>
          <w:rFonts w:hint="eastAsia" w:ascii="宋体" w:hAnsi="宋体" w:cs="宋体"/>
          <w:b/>
          <w:color w:val="auto"/>
          <w:sz w:val="32"/>
          <w:szCs w:val="32"/>
          <w:highlight w:val="none"/>
        </w:rPr>
      </w:pPr>
    </w:p>
    <w:p w14:paraId="49C257A3">
      <w:pPr>
        <w:spacing w:line="560" w:lineRule="exact"/>
        <w:ind w:firstLine="880" w:firstLineChars="200"/>
        <w:jc w:val="center"/>
        <w:outlineLvl w:val="0"/>
        <w:rPr>
          <w:rFonts w:hint="eastAsia" w:ascii="宋体" w:hAnsi="宋体" w:cs="宋体"/>
          <w:b/>
          <w:color w:val="auto"/>
          <w:sz w:val="44"/>
          <w:szCs w:val="44"/>
          <w:highlight w:val="none"/>
        </w:rPr>
      </w:pPr>
      <w:bookmarkStart w:id="0" w:name="_Toc31489"/>
      <w:bookmarkStart w:id="1" w:name="_Toc6308"/>
      <w:bookmarkStart w:id="2" w:name="_Toc3150"/>
      <w:bookmarkStart w:id="3" w:name="_Toc22270"/>
      <w:r>
        <w:rPr>
          <w:rFonts w:hint="eastAsia" w:ascii="宋体" w:hAnsi="宋体" w:cs="宋体"/>
          <w:b/>
          <w:color w:val="auto"/>
          <w:sz w:val="44"/>
          <w:szCs w:val="44"/>
          <w:highlight w:val="none"/>
        </w:rPr>
        <w:t>目</w:t>
      </w:r>
      <w:r>
        <w:rPr>
          <w:rFonts w:hint="eastAsia" w:ascii="宋体" w:hAnsi="宋体" w:cs="宋体"/>
          <w:b/>
          <w:color w:val="auto"/>
          <w:sz w:val="44"/>
          <w:szCs w:val="44"/>
          <w:highlight w:val="none"/>
          <w:lang w:val="en-US" w:eastAsia="zh-CN"/>
        </w:rPr>
        <w:t xml:space="preserve"> </w:t>
      </w:r>
      <w:r>
        <w:rPr>
          <w:rFonts w:hint="eastAsia" w:ascii="宋体" w:hAnsi="宋体" w:cs="宋体"/>
          <w:b/>
          <w:color w:val="auto"/>
          <w:sz w:val="44"/>
          <w:szCs w:val="44"/>
          <w:highlight w:val="none"/>
        </w:rPr>
        <w:t>录</w:t>
      </w:r>
      <w:bookmarkEnd w:id="0"/>
      <w:bookmarkEnd w:id="1"/>
      <w:bookmarkEnd w:id="2"/>
      <w:bookmarkEnd w:id="3"/>
    </w:p>
    <w:p w14:paraId="0E0B199C">
      <w:pPr>
        <w:pStyle w:val="38"/>
        <w:tabs>
          <w:tab w:val="right" w:leader="dot" w:pos="9638"/>
        </w:tabs>
        <w:rPr>
          <w:rFonts w:hint="eastAsia" w:eastAsia="宋体"/>
          <w:color w:val="auto"/>
          <w:highlight w:val="none"/>
          <w:lang w:val="en-US" w:eastAsia="zh-CN"/>
        </w:rPr>
      </w:pPr>
      <w:r>
        <w:rPr>
          <w:rFonts w:hint="eastAsia" w:ascii="宋体" w:hAnsi="宋体" w:cs="宋体"/>
          <w:color w:val="auto"/>
          <w:sz w:val="24"/>
          <w:szCs w:val="24"/>
          <w:highlight w:val="none"/>
        </w:rPr>
        <w:fldChar w:fldCharType="begin"/>
      </w:r>
      <w:r>
        <w:rPr>
          <w:rStyle w:val="60"/>
          <w:rFonts w:hint="eastAsia" w:ascii="宋体" w:hAnsi="宋体" w:cs="宋体"/>
          <w:color w:val="auto"/>
          <w:sz w:val="24"/>
          <w:szCs w:val="24"/>
          <w:highlight w:val="none"/>
        </w:rPr>
        <w:instrText xml:space="preserve"> TOC \o "1-3" \h \z \u </w:instrText>
      </w:r>
      <w:r>
        <w:rPr>
          <w:rFonts w:hint="eastAsia" w:ascii="宋体" w:hAnsi="宋体" w:cs="宋体"/>
          <w:color w:val="auto"/>
          <w:sz w:val="24"/>
          <w:szCs w:val="24"/>
          <w:highlight w:val="none"/>
        </w:rPr>
        <w:fldChar w:fldCharType="separate"/>
      </w:r>
      <w:r>
        <w:fldChar w:fldCharType="begin"/>
      </w:r>
      <w:r>
        <w:instrText xml:space="preserve"> HYPERLINK \l "_Toc16665" </w:instrText>
      </w:r>
      <w:r>
        <w:fldChar w:fldCharType="separate"/>
      </w:r>
      <w:r>
        <w:rPr>
          <w:rFonts w:hint="eastAsia" w:eastAsia="宋体"/>
          <w:color w:val="auto"/>
          <w:highlight w:val="none"/>
        </w:rPr>
        <w:t>第一章</w:t>
      </w:r>
      <w:r>
        <w:rPr>
          <w:rFonts w:hint="eastAsia"/>
          <w:color w:val="auto"/>
          <w:highlight w:val="none"/>
          <w:lang w:val="en-US" w:eastAsia="zh-CN"/>
        </w:rPr>
        <w:t xml:space="preserve">  </w:t>
      </w:r>
      <w:r>
        <w:rPr>
          <w:rFonts w:hint="eastAsia" w:eastAsia="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_Toc16665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43D86BAC">
      <w:pPr>
        <w:pStyle w:val="38"/>
        <w:tabs>
          <w:tab w:val="right" w:leader="dot" w:pos="9638"/>
        </w:tabs>
        <w:rPr>
          <w:color w:val="auto"/>
          <w:highlight w:val="none"/>
        </w:rPr>
      </w:pPr>
      <w:r>
        <w:fldChar w:fldCharType="begin"/>
      </w:r>
      <w:r>
        <w:instrText xml:space="preserve"> HYPERLINK \l "_Toc32595" </w:instrText>
      </w:r>
      <w:r>
        <w:fldChar w:fldCharType="separate"/>
      </w:r>
      <w:r>
        <w:rPr>
          <w:rFonts w:hint="eastAsia" w:ascii="宋体" w:hAnsi="宋体" w:eastAsia="宋体" w:cs="宋体"/>
          <w:color w:val="auto"/>
          <w:highlight w:val="none"/>
        </w:rPr>
        <w:t>第二章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_Toc32595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62296153">
      <w:pPr>
        <w:pStyle w:val="38"/>
        <w:tabs>
          <w:tab w:val="right" w:leader="dot" w:pos="9638"/>
        </w:tabs>
        <w:rPr>
          <w:color w:val="auto"/>
          <w:highlight w:val="none"/>
        </w:rPr>
      </w:pPr>
      <w:r>
        <w:fldChar w:fldCharType="begin"/>
      </w:r>
      <w:r>
        <w:instrText xml:space="preserve"> HYPERLINK \l "_Toc20696" </w:instrText>
      </w:r>
      <w:r>
        <w:fldChar w:fldCharType="separate"/>
      </w:r>
      <w:r>
        <w:rPr>
          <w:rFonts w:hint="eastAsia" w:eastAsia="宋体"/>
          <w:color w:val="auto"/>
          <w:highlight w:val="none"/>
        </w:rPr>
        <w:t>第三章</w:t>
      </w:r>
      <w:r>
        <w:rPr>
          <w:rFonts w:hint="eastAsia"/>
          <w:color w:val="auto"/>
          <w:highlight w:val="none"/>
          <w:lang w:val="en-US" w:eastAsia="zh-CN"/>
        </w:rPr>
        <w:t xml:space="preserve">  </w:t>
      </w:r>
      <w:r>
        <w:rPr>
          <w:rFonts w:hint="eastAsia" w:eastAsia="宋体"/>
          <w:color w:val="auto"/>
          <w:highlight w:val="none"/>
        </w:rPr>
        <w:t>评标办法</w:t>
      </w:r>
      <w:r>
        <w:rPr>
          <w:color w:val="auto"/>
          <w:highlight w:val="none"/>
        </w:rPr>
        <w:tab/>
      </w:r>
      <w:r>
        <w:rPr>
          <w:color w:val="auto"/>
          <w:highlight w:val="none"/>
        </w:rPr>
        <w:fldChar w:fldCharType="begin"/>
      </w:r>
      <w:r>
        <w:rPr>
          <w:color w:val="auto"/>
          <w:highlight w:val="none"/>
        </w:rPr>
        <w:instrText xml:space="preserve"> PAGEREF _Toc20696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3BDEA856">
      <w:pPr>
        <w:pStyle w:val="38"/>
        <w:tabs>
          <w:tab w:val="right" w:leader="dot" w:pos="9638"/>
        </w:tabs>
        <w:rPr>
          <w:color w:val="auto"/>
          <w:highlight w:val="none"/>
        </w:rPr>
      </w:pPr>
      <w:r>
        <w:fldChar w:fldCharType="begin"/>
      </w:r>
      <w:r>
        <w:instrText xml:space="preserve"> HYPERLINK \l "_Toc25305" </w:instrText>
      </w:r>
      <w:r>
        <w:fldChar w:fldCharType="separate"/>
      </w:r>
      <w:r>
        <w:rPr>
          <w:rFonts w:hint="eastAsia" w:ascii="宋体" w:hAnsi="宋体" w:eastAsia="宋体" w:cs="宋体"/>
          <w:color w:val="auto"/>
          <w:highlight w:val="none"/>
        </w:rPr>
        <w:t>第四章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_Toc25305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70914F82">
      <w:pPr>
        <w:pStyle w:val="38"/>
        <w:tabs>
          <w:tab w:val="right" w:leader="dot" w:pos="9638"/>
        </w:tabs>
        <w:rPr>
          <w:color w:val="auto"/>
          <w:highlight w:val="none"/>
        </w:rPr>
      </w:pPr>
      <w:r>
        <w:fldChar w:fldCharType="begin"/>
      </w:r>
      <w:r>
        <w:instrText xml:space="preserve"> HYPERLINK \l "_Toc3966" </w:instrText>
      </w:r>
      <w:r>
        <w:fldChar w:fldCharType="separate"/>
      </w:r>
      <w:r>
        <w:rPr>
          <w:rFonts w:hint="eastAsia" w:ascii="宋体" w:hAnsi="宋体" w:eastAsia="宋体" w:cs="宋体"/>
          <w:color w:val="auto"/>
          <w:highlight w:val="none"/>
          <w:lang w:val="en-US" w:eastAsia="zh-CN"/>
        </w:rPr>
        <w:t>第五章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技术标准及要求</w:t>
      </w:r>
      <w:r>
        <w:rPr>
          <w:color w:val="auto"/>
          <w:highlight w:val="none"/>
        </w:rPr>
        <w:tab/>
      </w:r>
      <w:r>
        <w:rPr>
          <w:color w:val="auto"/>
          <w:highlight w:val="none"/>
        </w:rPr>
        <w:fldChar w:fldCharType="begin"/>
      </w:r>
      <w:r>
        <w:rPr>
          <w:color w:val="auto"/>
          <w:highlight w:val="none"/>
        </w:rPr>
        <w:instrText xml:space="preserve"> PAGEREF _Toc3966 \h </w:instrText>
      </w:r>
      <w:r>
        <w:rPr>
          <w:color w:val="auto"/>
          <w:highlight w:val="none"/>
        </w:rPr>
        <w:fldChar w:fldCharType="separate"/>
      </w:r>
      <w:r>
        <w:rPr>
          <w:color w:val="auto"/>
          <w:highlight w:val="none"/>
        </w:rPr>
        <w:t>106</w:t>
      </w:r>
      <w:r>
        <w:rPr>
          <w:color w:val="auto"/>
          <w:highlight w:val="none"/>
        </w:rPr>
        <w:fldChar w:fldCharType="end"/>
      </w:r>
      <w:r>
        <w:rPr>
          <w:color w:val="auto"/>
          <w:highlight w:val="none"/>
        </w:rPr>
        <w:fldChar w:fldCharType="end"/>
      </w:r>
    </w:p>
    <w:p w14:paraId="0BCE2B4A">
      <w:pPr>
        <w:pStyle w:val="38"/>
        <w:tabs>
          <w:tab w:val="right" w:leader="dot" w:pos="9638"/>
        </w:tabs>
        <w:rPr>
          <w:color w:val="auto"/>
          <w:highlight w:val="none"/>
        </w:rPr>
      </w:pPr>
      <w:r>
        <w:fldChar w:fldCharType="begin"/>
      </w:r>
      <w:r>
        <w:instrText xml:space="preserve"> HYPERLINK \l "_Toc10557" </w:instrText>
      </w:r>
      <w:r>
        <w:fldChar w:fldCharType="separate"/>
      </w:r>
      <w:r>
        <w:rPr>
          <w:rFonts w:hint="eastAsia" w:ascii="宋体" w:hAnsi="宋体" w:eastAsia="宋体" w:cs="宋体"/>
          <w:color w:val="auto"/>
          <w:highlight w:val="none"/>
          <w:lang w:val="en-US" w:eastAsia="zh-CN"/>
        </w:rPr>
        <w:t>第六章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投标文件格式</w:t>
      </w:r>
      <w:r>
        <w:rPr>
          <w:color w:val="auto"/>
          <w:highlight w:val="none"/>
        </w:rPr>
        <w:tab/>
      </w:r>
      <w:r>
        <w:rPr>
          <w:color w:val="auto"/>
          <w:highlight w:val="none"/>
        </w:rPr>
        <w:fldChar w:fldCharType="begin"/>
      </w:r>
      <w:r>
        <w:rPr>
          <w:color w:val="auto"/>
          <w:highlight w:val="none"/>
        </w:rPr>
        <w:instrText xml:space="preserve"> PAGEREF _Toc10557 \h </w:instrText>
      </w:r>
      <w:r>
        <w:rPr>
          <w:color w:val="auto"/>
          <w:highlight w:val="none"/>
        </w:rPr>
        <w:fldChar w:fldCharType="separate"/>
      </w:r>
      <w:r>
        <w:rPr>
          <w:color w:val="auto"/>
          <w:highlight w:val="none"/>
        </w:rPr>
        <w:t>113</w:t>
      </w:r>
      <w:r>
        <w:rPr>
          <w:color w:val="auto"/>
          <w:highlight w:val="none"/>
        </w:rPr>
        <w:fldChar w:fldCharType="end"/>
      </w:r>
      <w:r>
        <w:rPr>
          <w:color w:val="auto"/>
          <w:highlight w:val="none"/>
        </w:rPr>
        <w:fldChar w:fldCharType="end"/>
      </w:r>
    </w:p>
    <w:p w14:paraId="0CFB85EC">
      <w:pPr>
        <w:pStyle w:val="45"/>
        <w:tabs>
          <w:tab w:val="right" w:leader="dot" w:pos="9638"/>
        </w:tabs>
        <w:rPr>
          <w:rFonts w:hint="eastAsia" w:ascii="宋体" w:hAnsi="宋体" w:cs="宋体"/>
          <w:b/>
          <w:color w:val="auto"/>
          <w:sz w:val="24"/>
          <w:szCs w:val="24"/>
          <w:highlight w:val="none"/>
        </w:rPr>
        <w:sectPr>
          <w:pgSz w:w="11906" w:h="16838"/>
          <w:pgMar w:top="1418" w:right="1134" w:bottom="1418" w:left="1134" w:header="851" w:footer="992" w:gutter="0"/>
          <w:pgNumType w:start="1"/>
          <w:cols w:space="708" w:num="1"/>
          <w:titlePg/>
          <w:docGrid w:type="linesAndChars" w:linePitch="312" w:charSpace="0"/>
        </w:sectPr>
      </w:pPr>
      <w:r>
        <w:rPr>
          <w:rFonts w:hint="eastAsia" w:ascii="宋体" w:hAnsi="宋体" w:cs="宋体"/>
          <w:color w:val="auto"/>
          <w:szCs w:val="24"/>
          <w:highlight w:val="none"/>
        </w:rPr>
        <w:fldChar w:fldCharType="end"/>
      </w:r>
    </w:p>
    <w:p w14:paraId="7CD26FBD">
      <w:pPr>
        <w:pStyle w:val="325"/>
        <w:rPr>
          <w:rFonts w:hint="eastAsia" w:eastAsia="宋体"/>
          <w:color w:val="auto"/>
          <w:highlight w:val="none"/>
        </w:rPr>
      </w:pPr>
      <w:bookmarkStart w:id="4" w:name="_Toc496798287"/>
      <w:bookmarkStart w:id="5" w:name="_Toc16665"/>
      <w:bookmarkStart w:id="6" w:name="_Toc10366628"/>
      <w:bookmarkStart w:id="7" w:name="_Toc20660"/>
      <w:bookmarkStart w:id="8" w:name="_Toc6642"/>
      <w:r>
        <w:rPr>
          <w:rFonts w:hint="eastAsia" w:eastAsia="宋体"/>
          <w:color w:val="auto"/>
          <w:highlight w:val="none"/>
        </w:rPr>
        <w:t>第一章</w:t>
      </w:r>
      <w:bookmarkEnd w:id="4"/>
      <w:r>
        <w:rPr>
          <w:rFonts w:hint="eastAsia" w:eastAsia="宋体"/>
          <w:color w:val="auto"/>
          <w:highlight w:val="none"/>
          <w:lang w:val="en-US" w:eastAsia="zh-CN"/>
        </w:rPr>
        <w:t xml:space="preserve"> </w:t>
      </w:r>
      <w:r>
        <w:rPr>
          <w:rFonts w:hint="eastAsia" w:eastAsia="宋体"/>
          <w:color w:val="auto"/>
          <w:highlight w:val="none"/>
        </w:rPr>
        <w:t>招标公告</w:t>
      </w:r>
      <w:bookmarkEnd w:id="5"/>
      <w:bookmarkEnd w:id="6"/>
      <w:bookmarkEnd w:id="7"/>
      <w:bookmarkEnd w:id="8"/>
    </w:p>
    <w:p w14:paraId="36444723">
      <w:pPr>
        <w:widowControl/>
        <w:ind w:left="0" w:leftChars="0" w:firstLine="0" w:firstLineChars="0"/>
        <w:jc w:val="center"/>
        <w:rPr>
          <w:rFonts w:hint="eastAsia" w:ascii="宋体" w:hAnsi="宋体" w:eastAsia="宋体" w:cs="宋体"/>
          <w:b/>
          <w:bCs/>
          <w:color w:val="000000"/>
          <w:sz w:val="32"/>
          <w:szCs w:val="32"/>
          <w:lang w:eastAsia="zh-CN"/>
        </w:rPr>
      </w:pPr>
      <w:bookmarkStart w:id="9" w:name="_Toc15145_WPSOffice_Level2"/>
      <w:bookmarkStart w:id="10" w:name="_Toc24945_WPSOffice_Level2"/>
      <w:r>
        <w:rPr>
          <w:rFonts w:hint="eastAsia" w:ascii="宋体" w:hAnsi="宋体" w:cs="宋体"/>
          <w:b/>
          <w:bCs/>
          <w:color w:val="000000"/>
          <w:sz w:val="32"/>
          <w:szCs w:val="32"/>
          <w:lang w:eastAsia="zh-CN"/>
        </w:rPr>
        <w:t>一、楚雄州牟定县餐厨垃圾收运处理及综合利用项目特许经营</w:t>
      </w:r>
    </w:p>
    <w:p w14:paraId="48B916E3">
      <w:pPr>
        <w:widowControl/>
        <w:ind w:left="0" w:leftChars="0" w:firstLine="0" w:firstLineChars="0"/>
        <w:jc w:val="center"/>
        <w:rPr>
          <w:rFonts w:ascii="宋体" w:cs="Times New Roman"/>
          <w:color w:val="000000"/>
          <w:sz w:val="24"/>
          <w:szCs w:val="24"/>
        </w:rPr>
      </w:pPr>
      <w:r>
        <w:rPr>
          <w:rFonts w:hint="eastAsia" w:ascii="宋体" w:hAnsi="宋体" w:cs="宋体"/>
          <w:b/>
          <w:bCs/>
          <w:color w:val="000000"/>
          <w:sz w:val="32"/>
          <w:szCs w:val="32"/>
        </w:rPr>
        <w:t>公开招标公告</w:t>
      </w:r>
      <w:bookmarkEnd w:id="9"/>
      <w:bookmarkEnd w:id="10"/>
    </w:p>
    <w:p w14:paraId="0E426E31">
      <w:pPr>
        <w:autoSpaceDE w:val="0"/>
        <w:autoSpaceDN w:val="0"/>
        <w:adjustRightInd w:val="0"/>
        <w:spacing w:line="348" w:lineRule="auto"/>
        <w:ind w:left="0" w:leftChars="0" w:firstLine="0" w:firstLineChars="0"/>
        <w:rPr>
          <w:rFonts w:ascii="宋体" w:cs="Times New Roman"/>
          <w:b/>
          <w:bCs/>
          <w:color w:val="000000"/>
          <w:lang w:val="zh-CN"/>
        </w:rPr>
      </w:pPr>
      <w:bookmarkStart w:id="11" w:name="_Toc13174_WPSOffice_Level2"/>
      <w:bookmarkStart w:id="12" w:name="_Toc22838_WPSOffice_Level2"/>
      <w:r>
        <w:rPr>
          <w:rFonts w:hint="eastAsia" w:ascii="宋体" w:hAnsi="宋体" w:cs="宋体"/>
          <w:b/>
          <w:bCs/>
          <w:color w:val="000000"/>
          <w:lang w:val="zh-CN"/>
        </w:rPr>
        <w:t>（一）招标条件</w:t>
      </w:r>
      <w:bookmarkEnd w:id="11"/>
      <w:bookmarkEnd w:id="12"/>
    </w:p>
    <w:p w14:paraId="631AF2B4">
      <w:pPr>
        <w:spacing w:line="440" w:lineRule="exact"/>
        <w:ind w:firstLine="444" w:firstLineChars="202"/>
        <w:rPr>
          <w:rFonts w:hint="eastAsia" w:ascii="宋体" w:hAnsi="宋体" w:cs="宋体"/>
          <w:color w:val="000000"/>
          <w:lang w:val="zh-CN"/>
        </w:rPr>
      </w:pPr>
      <w:r>
        <w:rPr>
          <w:rFonts w:hint="eastAsia" w:ascii="宋体" w:hAnsi="宋体" w:cs="宋体"/>
          <w:color w:val="000000"/>
          <w:lang w:val="zh-CN"/>
        </w:rPr>
        <w:t>本招标项目根据《中华人民共和国招标投标法</w:t>
      </w:r>
      <w:r>
        <w:rPr>
          <w:rFonts w:hint="eastAsia" w:ascii="宋体" w:hAnsi="宋体" w:cs="宋体"/>
          <w:color w:val="000000"/>
          <w:lang w:val="zh-CN" w:eastAsia="zh-CN"/>
        </w:rPr>
        <w:t>》《</w:t>
      </w:r>
      <w:r>
        <w:rPr>
          <w:rFonts w:hint="eastAsia" w:ascii="宋体" w:hAnsi="宋体" w:cs="宋体"/>
          <w:color w:val="000000"/>
          <w:lang w:val="zh-CN"/>
        </w:rPr>
        <w:t>中华人民共和国招标投标法实施条例</w:t>
      </w:r>
      <w:r>
        <w:rPr>
          <w:rFonts w:hint="eastAsia" w:ascii="宋体" w:hAnsi="宋体" w:cs="宋体"/>
          <w:color w:val="000000"/>
          <w:lang w:val="zh-CN" w:eastAsia="zh-CN"/>
        </w:rPr>
        <w:t>》《</w:t>
      </w:r>
      <w:r>
        <w:rPr>
          <w:rFonts w:hint="eastAsia" w:ascii="宋体" w:hAnsi="宋体" w:cs="宋体"/>
          <w:color w:val="000000"/>
          <w:lang w:val="zh-CN"/>
        </w:rPr>
        <w:t>基础设施和公用事业特许经营管理办法</w:t>
      </w:r>
      <w:r>
        <w:rPr>
          <w:rFonts w:hint="eastAsia" w:ascii="宋体" w:hAnsi="宋体" w:cs="宋体"/>
          <w:color w:val="000000"/>
          <w:lang w:val="zh-CN" w:eastAsia="zh-CN"/>
        </w:rPr>
        <w:t>》《</w:t>
      </w:r>
      <w:r>
        <w:rPr>
          <w:rFonts w:hint="eastAsia" w:ascii="宋体" w:hAnsi="宋体" w:cs="宋体"/>
          <w:color w:val="000000"/>
          <w:lang w:val="zh-CN"/>
        </w:rPr>
        <w:t>关于规范实施政府和社会资本合作新机制的指导意见》（国办函〔2023〕115号）等有关法律法规和规范性文件</w:t>
      </w:r>
      <w:r>
        <w:rPr>
          <w:rFonts w:hint="eastAsia" w:ascii="宋体" w:hAnsi="宋体" w:cs="宋体"/>
          <w:color w:val="000000"/>
          <w:lang w:val="en-US" w:eastAsia="zh-CN"/>
        </w:rPr>
        <w:t>及《牟定县发展和改革局关于对楚雄州牟定县餐厨垃圾收运处理及综合利用项目特许经营的函》</w:t>
      </w:r>
      <w:r>
        <w:rPr>
          <w:rFonts w:hint="eastAsia" w:ascii="宋体" w:hAnsi="宋体" w:cs="宋体"/>
          <w:color w:val="000000"/>
          <w:lang w:val="zh-CN"/>
        </w:rPr>
        <w:t>牟发改函</w:t>
      </w:r>
      <w:r>
        <w:rPr>
          <w:rFonts w:hint="eastAsia" w:ascii="宋体" w:hAnsi="宋体" w:cs="宋体"/>
          <w:color w:val="000000"/>
        </w:rPr>
        <w:t>[202</w:t>
      </w:r>
      <w:r>
        <w:rPr>
          <w:rFonts w:hint="eastAsia" w:ascii="宋体" w:hAnsi="宋体" w:cs="宋体"/>
          <w:color w:val="000000"/>
          <w:lang w:val="en-US" w:eastAsia="zh-CN"/>
        </w:rPr>
        <w:t>6</w:t>
      </w:r>
      <w:r>
        <w:rPr>
          <w:rFonts w:hint="eastAsia" w:ascii="宋体" w:hAnsi="宋体" w:cs="宋体"/>
          <w:color w:val="000000"/>
        </w:rPr>
        <w:t>]</w:t>
      </w:r>
      <w:r>
        <w:rPr>
          <w:rFonts w:hint="eastAsia" w:ascii="宋体" w:hAnsi="宋体" w:cs="宋体"/>
          <w:color w:val="000000"/>
          <w:lang w:val="en-US" w:eastAsia="zh-CN"/>
        </w:rPr>
        <w:t>1</w:t>
      </w:r>
      <w:r>
        <w:rPr>
          <w:rFonts w:hint="eastAsia" w:ascii="宋体" w:hAnsi="宋体" w:cs="宋体"/>
          <w:color w:val="000000"/>
        </w:rPr>
        <w:t>号</w:t>
      </w:r>
      <w:r>
        <w:rPr>
          <w:rFonts w:hint="eastAsia" w:ascii="宋体" w:hAnsi="宋体" w:cs="宋体"/>
          <w:color w:val="000000"/>
          <w:lang w:val="zh-CN"/>
        </w:rPr>
        <w:t>批复实施。受牟定县</w:t>
      </w:r>
      <w:r>
        <w:rPr>
          <w:rFonts w:hint="eastAsia" w:ascii="宋体" w:hAnsi="宋体" w:cs="宋体"/>
          <w:color w:val="000000"/>
          <w:lang w:val="zh-CN" w:eastAsia="zh-CN"/>
        </w:rPr>
        <w:t>住房和城乡建设局</w:t>
      </w:r>
      <w:r>
        <w:rPr>
          <w:rFonts w:hint="eastAsia" w:ascii="宋体" w:hAnsi="宋体" w:cs="宋体"/>
          <w:color w:val="000000"/>
          <w:lang w:val="zh-CN"/>
        </w:rPr>
        <w:t>委托，</w:t>
      </w:r>
      <w:r>
        <w:rPr>
          <w:rFonts w:hint="eastAsia" w:ascii="宋体" w:hAnsi="宋体" w:cs="宋体"/>
          <w:color w:val="000000"/>
          <w:lang w:val="zh-CN" w:eastAsia="zh-CN"/>
        </w:rPr>
        <w:t>云南诚昱招标代理有限公司</w:t>
      </w:r>
      <w:r>
        <w:rPr>
          <w:rFonts w:hint="eastAsia" w:ascii="宋体" w:hAnsi="宋体" w:cs="宋体"/>
          <w:color w:val="000000"/>
          <w:lang w:val="zh-CN"/>
        </w:rPr>
        <w:t>对</w:t>
      </w:r>
      <w:r>
        <w:rPr>
          <w:rFonts w:hint="eastAsia" w:ascii="宋体" w:hAnsi="宋体" w:cs="宋体"/>
          <w:color w:val="000000"/>
          <w:lang w:val="zh-CN" w:eastAsia="zh-CN"/>
        </w:rPr>
        <w:t>楚雄州牟定县餐厨垃圾收运处理及综合利用项目特许经营</w:t>
      </w:r>
      <w:r>
        <w:rPr>
          <w:rFonts w:hint="eastAsia" w:ascii="宋体" w:hAnsi="宋体" w:cs="宋体"/>
          <w:color w:val="000000"/>
          <w:lang w:val="zh-CN"/>
        </w:rPr>
        <w:t>（以下简称“本项目”）（项目编号：</w:t>
      </w:r>
      <w:r>
        <w:rPr>
          <w:rFonts w:hint="eastAsia" w:ascii="宋体" w:hAnsi="宋体" w:cs="宋体"/>
          <w:color w:val="000000"/>
          <w:lang w:val="en-US" w:eastAsia="zh-CN"/>
        </w:rPr>
        <w:t>CYZB2026-018</w:t>
      </w:r>
      <w:r>
        <w:rPr>
          <w:rFonts w:hint="eastAsia" w:ascii="宋体" w:hAnsi="宋体" w:cs="宋体"/>
          <w:color w:val="000000"/>
          <w:lang w:val="zh-CN"/>
        </w:rPr>
        <w:t>）面向国内采用公开招标方式进行招标。项目已具备招标条件，特邀请有兴趣、符合条件的投标人参与投标，现将招标有关事宜公告如下：</w:t>
      </w:r>
    </w:p>
    <w:p w14:paraId="7D314F2C">
      <w:pPr>
        <w:autoSpaceDE w:val="0"/>
        <w:autoSpaceDN w:val="0"/>
        <w:adjustRightInd w:val="0"/>
        <w:spacing w:line="348" w:lineRule="auto"/>
        <w:ind w:left="0" w:leftChars="0" w:firstLine="0" w:firstLineChars="0"/>
        <w:rPr>
          <w:rFonts w:hint="eastAsia" w:ascii="宋体" w:hAnsi="宋体" w:cs="宋体"/>
          <w:b/>
          <w:bCs/>
          <w:color w:val="000000"/>
          <w:lang w:val="zh-CN"/>
        </w:rPr>
      </w:pPr>
      <w:bookmarkStart w:id="13" w:name="_Toc9432"/>
      <w:bookmarkStart w:id="14" w:name="_Toc6095"/>
      <w:bookmarkStart w:id="15" w:name="_Toc8104_WPSOffice_Level2"/>
      <w:bookmarkStart w:id="16" w:name="_Toc45896889"/>
      <w:bookmarkStart w:id="17" w:name="_Toc45896593"/>
      <w:bookmarkStart w:id="18" w:name="_Toc17087_WPSOffice_Level2"/>
      <w:r>
        <w:rPr>
          <w:rFonts w:hint="eastAsia" w:ascii="宋体" w:hAnsi="宋体" w:cs="宋体"/>
          <w:b/>
          <w:bCs/>
          <w:color w:val="000000"/>
          <w:lang w:val="zh-CN"/>
        </w:rPr>
        <w:t>（二）项目概况与招标范围</w:t>
      </w:r>
      <w:bookmarkEnd w:id="13"/>
      <w:bookmarkEnd w:id="14"/>
      <w:bookmarkEnd w:id="15"/>
      <w:bookmarkEnd w:id="16"/>
      <w:bookmarkEnd w:id="17"/>
      <w:bookmarkEnd w:id="18"/>
    </w:p>
    <w:p w14:paraId="1CD74C0B">
      <w:pPr>
        <w:spacing w:line="440" w:lineRule="exact"/>
        <w:ind w:firstLine="444" w:firstLineChars="202"/>
        <w:rPr>
          <w:rFonts w:hint="eastAsia" w:ascii="宋体" w:hAnsi="宋体" w:cs="宋体"/>
          <w:color w:val="000000"/>
          <w:lang w:val="zh-CN"/>
        </w:rPr>
      </w:pPr>
      <w:r>
        <w:rPr>
          <w:rFonts w:hint="eastAsia" w:ascii="宋体" w:hAnsi="宋体" w:cs="宋体"/>
          <w:color w:val="000000"/>
          <w:lang w:val="en-US" w:eastAsia="zh-CN"/>
        </w:rPr>
        <w:t>1.</w:t>
      </w:r>
      <w:r>
        <w:rPr>
          <w:rFonts w:hint="eastAsia" w:ascii="宋体" w:hAnsi="宋体" w:cs="宋体"/>
          <w:color w:val="000000"/>
          <w:lang w:val="zh-CN"/>
        </w:rPr>
        <w:t>项目名称：</w:t>
      </w:r>
      <w:r>
        <w:rPr>
          <w:rFonts w:hint="eastAsia" w:ascii="宋体" w:hAnsi="宋体" w:cs="宋体"/>
          <w:color w:val="000000"/>
          <w:lang w:val="zh-CN" w:eastAsia="zh-CN"/>
        </w:rPr>
        <w:t>楚雄州牟定县餐厨垃圾收运处理及综合利用项目特许经营</w:t>
      </w:r>
    </w:p>
    <w:p w14:paraId="34F66E92">
      <w:pPr>
        <w:spacing w:line="440" w:lineRule="exact"/>
        <w:ind w:firstLine="444" w:firstLineChars="202"/>
        <w:rPr>
          <w:rFonts w:hint="eastAsia" w:ascii="宋体" w:hAnsi="宋体" w:cs="宋体"/>
          <w:color w:val="000000"/>
          <w:lang w:val="zh-CN"/>
        </w:rPr>
      </w:pPr>
      <w:r>
        <w:rPr>
          <w:rFonts w:hint="eastAsia" w:ascii="宋体" w:hAnsi="宋体" w:cs="宋体"/>
          <w:color w:val="000000"/>
          <w:lang w:val="zh-CN"/>
        </w:rPr>
        <w:t>2.建设地点：</w:t>
      </w:r>
      <w:r>
        <w:rPr>
          <w:rFonts w:hint="eastAsia" w:ascii="宋体" w:hAnsi="宋体" w:cs="宋体"/>
          <w:color w:val="000000"/>
          <w:lang w:val="zh-CN" w:eastAsia="zh-CN"/>
        </w:rPr>
        <w:t>牟定县县城北侧金马社区旁</w:t>
      </w:r>
    </w:p>
    <w:p w14:paraId="1386DB6D">
      <w:pPr>
        <w:spacing w:line="440" w:lineRule="exact"/>
        <w:ind w:firstLine="444" w:firstLineChars="202"/>
        <w:rPr>
          <w:rFonts w:hint="eastAsia" w:ascii="宋体" w:hAnsi="宋体" w:cs="宋体"/>
          <w:color w:val="000000"/>
          <w:lang w:val="zh-CN"/>
        </w:rPr>
      </w:pPr>
      <w:r>
        <w:rPr>
          <w:rFonts w:hint="eastAsia" w:ascii="宋体" w:hAnsi="宋体" w:cs="宋体"/>
          <w:color w:val="000000"/>
          <w:lang w:val="en-US" w:eastAsia="zh-CN"/>
        </w:rPr>
        <w:t>3.</w:t>
      </w:r>
      <w:r>
        <w:rPr>
          <w:rFonts w:hint="eastAsia" w:ascii="宋体" w:hAnsi="宋体" w:cs="宋体"/>
          <w:color w:val="000000"/>
          <w:lang w:val="zh-CN"/>
        </w:rPr>
        <w:t>项目建设主要建设内容及规模</w:t>
      </w:r>
    </w:p>
    <w:p w14:paraId="76016FEA">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zh-CN"/>
        </w:rPr>
        <w:t>3.1</w:t>
      </w:r>
      <w:r>
        <w:rPr>
          <w:rFonts w:hint="eastAsia" w:ascii="宋体" w:hAnsi="宋体" w:cs="宋体"/>
          <w:color w:val="000000"/>
          <w:lang w:val="en-US" w:eastAsia="zh-CN"/>
        </w:rPr>
        <w:t>本项目主要依托</w:t>
      </w:r>
      <w:r>
        <w:rPr>
          <w:rFonts w:hint="eastAsia" w:ascii="宋体" w:hAnsi="宋体" w:cs="宋体"/>
          <w:color w:val="000000"/>
          <w:lang w:val="zh-CN" w:eastAsia="zh-CN"/>
        </w:rPr>
        <w:t>牟定县现有餐厨垃圾处理站进行提升改造，</w:t>
      </w:r>
      <w:r>
        <w:rPr>
          <w:rFonts w:hint="eastAsia" w:ascii="宋体" w:hAnsi="宋体" w:cs="宋体"/>
          <w:color w:val="000000"/>
          <w:lang w:val="en-US" w:eastAsia="zh-CN"/>
        </w:rPr>
        <w:t>后期扩建在旁边闲置空地处，项目建设的内容主要为：</w:t>
      </w:r>
    </w:p>
    <w:p w14:paraId="7A731A2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3.1.1对现有的餐厨垃圾处理站内的建筑和设施进行提升改造，同时新建办公楼、生产厂房、原材料和产品库房，其中现有建筑提升改造面积为1360.00㎡，办公楼的建筑面积为700.00㎡，生产厂房的建筑面积为2000.00㎡，原材料和产品库房的建筑面积为400.00㎡。</w:t>
      </w:r>
    </w:p>
    <w:p w14:paraId="6758E94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3.1.2室外辅助工程：主要为完善厂区道路、绿化、给排水管网、供电线路等室外工程，接入园区污水处理系统及供配电网络。</w:t>
      </w:r>
    </w:p>
    <w:p w14:paraId="6888E2B3">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3.1.3设备购置：主要包括</w:t>
      </w:r>
      <w:r>
        <w:rPr>
          <w:rFonts w:hint="eastAsia" w:ascii="宋体" w:hAnsi="宋体" w:cs="宋体"/>
          <w:color w:val="000000"/>
          <w:lang w:val="zh-CN" w:eastAsia="zh-CN"/>
        </w:rPr>
        <w:t>生产设备系统（厨余及餐厨垃圾制浆分拣预处理模块，核心处理功能模块、产物分离模块、产物储存模块、环保模块、自控模块）、环保设施（全流程喷洒除臭、负压抽吸系统、高效末端废气治理设施）、辅助设施（车辆运输系统、智慧管理平台）。</w:t>
      </w:r>
    </w:p>
    <w:p w14:paraId="7A82FD4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3.2项目建设规模</w:t>
      </w:r>
    </w:p>
    <w:p w14:paraId="08D712DE">
      <w:pPr>
        <w:spacing w:line="440" w:lineRule="exact"/>
        <w:ind w:firstLine="444" w:firstLineChars="202"/>
        <w:rPr>
          <w:rFonts w:hint="eastAsia" w:ascii="宋体" w:hAnsi="宋体" w:eastAsia="宋体" w:cs="宋体"/>
          <w:color w:val="000000"/>
          <w:lang w:val="en-US" w:eastAsia="zh-CN"/>
        </w:rPr>
      </w:pPr>
      <w:r>
        <w:rPr>
          <w:rFonts w:hint="eastAsia" w:ascii="宋体" w:hAnsi="宋体" w:eastAsia="宋体" w:cs="宋体"/>
          <w:color w:val="000000"/>
          <w:lang w:val="en-US" w:eastAsia="zh-CN"/>
        </w:rPr>
        <w:t>为体现项目的完整性，满足应急处理功能以及确保设施设备的可靠性，项目参照《餐厨垃圾处理技术规范》（CJJ184-2023）中Ⅳ类餐厨垃圾处理厂的规模进行确定：初期计划建设规模为餐厨垃圾总处理能力9.80吨/天，结合牟定县餐厨垃圾产生量及收集处理量预测，预计至 2034年（10年后）需继续增加投资，扩大规模至餐厨垃圾总处理能力50.00吨/天。</w:t>
      </w:r>
    </w:p>
    <w:p w14:paraId="7BF5DCE6">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3.3</w:t>
      </w:r>
      <w:r>
        <w:rPr>
          <w:rFonts w:hint="eastAsia" w:ascii="宋体" w:hAnsi="宋体" w:cs="宋体"/>
          <w:color w:val="000000"/>
          <w:lang w:val="zh-CN" w:eastAsia="zh-CN"/>
        </w:rPr>
        <w:t>项目计划总投资</w:t>
      </w:r>
      <w:r>
        <w:rPr>
          <w:rFonts w:hint="eastAsia" w:ascii="宋体" w:hAnsi="宋体" w:cs="宋体"/>
          <w:color w:val="000000"/>
          <w:lang w:val="en-US" w:eastAsia="zh-CN"/>
        </w:rPr>
        <w:t>:1200万元；其资金来源全部来源于特许经营企业投资</w:t>
      </w:r>
      <w:r>
        <w:rPr>
          <w:rFonts w:hint="eastAsia" w:ascii="宋体" w:hAnsi="宋体" w:cs="宋体"/>
          <w:color w:val="000000"/>
          <w:lang w:val="zh-CN" w:eastAsia="zh-CN"/>
        </w:rPr>
        <w:t>。</w:t>
      </w:r>
    </w:p>
    <w:p w14:paraId="25C5CFB5">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4.招标内容</w:t>
      </w:r>
    </w:p>
    <w:p w14:paraId="21BF2047">
      <w:pPr>
        <w:spacing w:line="440" w:lineRule="exact"/>
        <w:ind w:firstLine="444" w:firstLineChars="202"/>
        <w:rPr>
          <w:rFonts w:hint="eastAsia" w:ascii="宋体" w:hAnsi="宋体" w:cs="宋体"/>
          <w:color w:val="000000"/>
          <w:lang w:val="en-US" w:eastAsia="zh-CN"/>
        </w:rPr>
      </w:pPr>
      <w:bookmarkStart w:id="19" w:name="_Toc13251"/>
      <w:bookmarkStart w:id="20" w:name="_Toc1965"/>
      <w:bookmarkStart w:id="21" w:name="_Toc29735"/>
      <w:bookmarkStart w:id="22" w:name="_Toc16986"/>
      <w:bookmarkStart w:id="23" w:name="_Toc10479"/>
      <w:bookmarkStart w:id="24" w:name="_Toc404"/>
      <w:bookmarkStart w:id="25" w:name="_Toc28487"/>
      <w:bookmarkStart w:id="26" w:name="_Toc7599"/>
      <w:bookmarkStart w:id="27" w:name="_Toc28711"/>
      <w:bookmarkStart w:id="28" w:name="_Toc31038"/>
      <w:r>
        <w:rPr>
          <w:rFonts w:hint="eastAsia" w:ascii="宋体" w:hAnsi="宋体" w:cs="宋体"/>
          <w:color w:val="000000"/>
          <w:lang w:val="en-US" w:eastAsia="zh-CN"/>
        </w:rPr>
        <w:t>4.1项目实施方式</w:t>
      </w:r>
      <w:bookmarkEnd w:id="19"/>
      <w:bookmarkEnd w:id="20"/>
      <w:bookmarkEnd w:id="21"/>
      <w:bookmarkEnd w:id="22"/>
      <w:bookmarkEnd w:id="23"/>
      <w:bookmarkEnd w:id="24"/>
      <w:bookmarkEnd w:id="25"/>
      <w:bookmarkEnd w:id="26"/>
      <w:bookmarkEnd w:id="27"/>
      <w:bookmarkEnd w:id="28"/>
    </w:p>
    <w:p w14:paraId="5EA3D27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本项目作为全新建设的餐厨垃圾收运处理及综合利用基础设施项目，拟采用改建—运营—移交（ROT）模式实施特许经营。</w:t>
      </w:r>
    </w:p>
    <w:p w14:paraId="2736554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由牟定县人民政府授权牟定县住房和城乡建设局作为项目项目实施机构，通过公开招标方式选择具备餐厨垃圾处理技术储备、运营管理经验及投融资能力的社会资本；社会资本需在规定期限内成立项目公司，由项目实施机构与项目公司签订《特许经营协议》；项目公司在特许经营期内（含建设期和运营期），全权负责项目的投融资、设计、建设、运营维护及资源化利用；运营期内通过资源化副产品销售收益及合规的可行性缺口补助回收投资并获取合理回报；特许经营期限届满后，项目公司需将项目全部资产（含收运系统、处理设施、配套设备及土地使用权等）无偿、完好、无权属纠纷地移交给项目实施机构或政府指定的其他单位。</w:t>
      </w:r>
    </w:p>
    <w:p w14:paraId="6F62B3F8">
      <w:pPr>
        <w:spacing w:line="440" w:lineRule="exact"/>
        <w:ind w:firstLine="444" w:firstLineChars="202"/>
        <w:rPr>
          <w:rFonts w:hint="eastAsia" w:ascii="宋体" w:hAnsi="宋体" w:cs="宋体"/>
          <w:color w:val="000000"/>
          <w:lang w:val="en-US" w:eastAsia="zh-CN"/>
        </w:rPr>
      </w:pPr>
      <w:bookmarkStart w:id="29" w:name="_Toc27079"/>
      <w:bookmarkStart w:id="30" w:name="_Toc23497"/>
      <w:bookmarkStart w:id="31" w:name="_Toc31009"/>
      <w:bookmarkStart w:id="32" w:name="_Toc25193"/>
      <w:bookmarkStart w:id="33" w:name="_Toc22583"/>
      <w:bookmarkStart w:id="34" w:name="_Toc4787"/>
      <w:bookmarkStart w:id="35" w:name="_Toc30739"/>
      <w:bookmarkStart w:id="36" w:name="_Toc24199"/>
      <w:bookmarkStart w:id="37" w:name="_Toc22620"/>
      <w:r>
        <w:rPr>
          <w:rFonts w:hint="eastAsia" w:ascii="宋体" w:hAnsi="宋体" w:cs="宋体"/>
          <w:color w:val="000000"/>
          <w:lang w:val="en-US" w:eastAsia="zh-CN"/>
        </w:rPr>
        <w:t>4.2特许经营</w:t>
      </w:r>
      <w:bookmarkEnd w:id="29"/>
      <w:bookmarkEnd w:id="30"/>
      <w:bookmarkEnd w:id="31"/>
      <w:bookmarkEnd w:id="32"/>
      <w:bookmarkEnd w:id="33"/>
      <w:bookmarkEnd w:id="34"/>
      <w:bookmarkEnd w:id="35"/>
      <w:bookmarkEnd w:id="36"/>
      <w:bookmarkEnd w:id="37"/>
      <w:r>
        <w:rPr>
          <w:rFonts w:hint="eastAsia" w:ascii="宋体" w:hAnsi="宋体" w:cs="宋体"/>
          <w:color w:val="000000"/>
          <w:lang w:val="en-US" w:eastAsia="zh-CN"/>
        </w:rPr>
        <w:t>范围</w:t>
      </w:r>
    </w:p>
    <w:p w14:paraId="393091DA">
      <w:pPr>
        <w:spacing w:line="440" w:lineRule="exact"/>
        <w:ind w:firstLine="444" w:firstLineChars="202"/>
        <w:rPr>
          <w:rFonts w:hint="eastAsia" w:ascii="宋体" w:hAnsi="宋体" w:cs="宋体"/>
          <w:color w:val="000000"/>
          <w:lang w:val="en-US" w:eastAsia="zh-CN"/>
        </w:rPr>
      </w:pPr>
      <w:bookmarkStart w:id="38" w:name="_Toc15400"/>
      <w:bookmarkStart w:id="39" w:name="_Toc18127"/>
      <w:bookmarkStart w:id="40" w:name="_Toc16359"/>
      <w:bookmarkStart w:id="41" w:name="_Toc5686"/>
      <w:bookmarkStart w:id="42" w:name="_Toc11998"/>
      <w:bookmarkStart w:id="43" w:name="_Toc21911"/>
      <w:bookmarkStart w:id="44" w:name="_Toc23842"/>
      <w:r>
        <w:rPr>
          <w:rFonts w:hint="eastAsia" w:ascii="宋体" w:hAnsi="宋体" w:cs="宋体"/>
          <w:color w:val="000000"/>
          <w:lang w:val="en-US" w:eastAsia="zh-CN"/>
        </w:rPr>
        <w:t>4.2.1项目建设内容</w:t>
      </w:r>
    </w:p>
    <w:p w14:paraId="4BA0114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本项目特许经营范围内的建设内容涵盖“收运体系建设+处理设施建设+配套系统建设”三大板块，具体包括：</w:t>
      </w:r>
    </w:p>
    <w:p w14:paraId="5BAB4B60">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收运体系建设：建设覆盖服务范围内的餐厨垃圾收运站点（含暂存、分拣设施），配备符合标准的密闭式收运车辆（安装装卸计量、视频监控、卫星定位等在线监测设备），建设收运车辆停放及维修保养场地，搭建收运调度信息化管理平台；</w:t>
      </w:r>
    </w:p>
    <w:p w14:paraId="174FA806">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处理设施建设：建设餐厨垃圾无害化处理主厂房及辅助设施，安装餐厨垃圾预处理、亚临界相变液化技术、资源化利用等核心设备，配套建设废水、废气、废渣处理环保设施，确保污染物排放符合国家及云南省相关标准；</w:t>
      </w:r>
    </w:p>
    <w:p w14:paraId="105072D2">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（3）配套系统建设：建设项目所需的供水、供电、消防、安防、办公及生活辅助设施，完善场内道路、绿化等基础设施。</w:t>
      </w:r>
    </w:p>
    <w:p w14:paraId="18D3DF9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建设过程需严格遵循国家工程建设相关标准规范，依法办理用地、规划、环评、施工许可等审批手续，项目竣工后需通过相关部门验收合格方可投入使用。</w:t>
      </w:r>
    </w:p>
    <w:p w14:paraId="1ACCF1B3">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4.2.2项目运营内容</w:t>
      </w:r>
    </w:p>
    <w:p w14:paraId="310B97CA">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特许经营者需承担本项目全生命周期运营责任，核心运营内容包括：</w:t>
      </w:r>
    </w:p>
    <w:p w14:paraId="0458B583">
      <w:pPr>
        <w:spacing w:line="440" w:lineRule="exact"/>
        <w:ind w:firstLine="444" w:firstLineChars="202"/>
        <w:rPr>
          <w:rFonts w:hint="eastAsia" w:ascii="宋体" w:hAnsi="宋体" w:cs="宋体"/>
          <w:color w:val="FF0000"/>
          <w:lang w:val="en-US" w:eastAsia="zh-CN"/>
        </w:rPr>
      </w:pPr>
      <w:r>
        <w:rPr>
          <w:rFonts w:hint="eastAsia" w:ascii="宋体" w:hAnsi="宋体" w:cs="宋体"/>
          <w:color w:val="000000"/>
          <w:lang w:val="en-US" w:eastAsia="zh-CN"/>
        </w:rPr>
        <w:t>（1）</w:t>
      </w:r>
      <w:r>
        <w:rPr>
          <w:rFonts w:hint="eastAsia" w:ascii="宋体" w:hAnsi="宋体" w:cs="宋体"/>
          <w:color w:val="auto"/>
          <w:lang w:val="en-US" w:eastAsia="zh-CN"/>
        </w:rPr>
        <w:t>餐厨垃圾收运：</w:t>
      </w:r>
      <w:r>
        <w:rPr>
          <w:rFonts w:hint="eastAsia" w:ascii="宋体" w:hAnsi="宋体" w:cs="宋体"/>
          <w:color w:val="000000"/>
          <w:lang w:val="en-US" w:eastAsia="zh-CN"/>
        </w:rPr>
        <w:t>配齐专用收运设备，配备数量充足、标识统一的专用餐厨垃圾收运车辆，采用密闭运输方式，落实防臭、防流失、防渗漏等污染防控措施，根据收运需求合理设定收运频率，确保每日至少清运一次，实现日产日清。</w:t>
      </w:r>
    </w:p>
    <w:p w14:paraId="02EDA11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餐厨垃圾处理：严格按照国家及地方技术标准开展餐厨垃圾无害化处理，规范操作处理设备，保障设施稳定运行；建立处理台账，对每日处理量、处理工艺参数、污染物排放指标等进行实时记录，定期开展环境影响监测并报送相关部门；</w:t>
      </w:r>
    </w:p>
    <w:p w14:paraId="651C98A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（3）资源化利用：对处理过程中产生的生物柴油、有机肥、沼气等副产品进行规范化加工、存储及销售，确保副产品质量符合相关行业标准；建立副产品销售台账，明确产品去向及收益情况；</w:t>
      </w:r>
    </w:p>
    <w:p w14:paraId="39087724">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设施设备维护：负责项目所有资产（含收运车辆、处理设备、厂房设施、信息化系统等）的日常维护、维修及定期检修，制定设备维护计划，保障设施设备始终处于良好运行状态；对老化、落后设备及时进行更新改造，确保项目运营符合最新技术及环保要求；</w:t>
      </w:r>
    </w:p>
    <w:p w14:paraId="0B803BE1">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（5）应急管理：制定餐厨垃圾收运、处理突发事件应急预案并报项目实施机构备案，配备应急物资及队伍，服从政府部门应急调度，保障特殊情况下餐厨垃圾正常收运处理。</w:t>
      </w:r>
    </w:p>
    <w:p w14:paraId="43A17017">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4.2.3服务范围</w:t>
      </w:r>
    </w:p>
    <w:p w14:paraId="3F69D09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本项目的服务范围为牟定县整个县级辖区范围内，即：4个镇（共和镇、江坡镇、新桥镇、凤屯镇）、3个乡（安乐乡、戌街乡、蟠猫乡）。本项目特许经营范围为处置服务范围内的餐厨垃圾。授予项目公司处置服务范围内的餐厨垃圾独家的、排他的权利。</w:t>
      </w:r>
    </w:p>
    <w:p w14:paraId="67AF723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4.3特许经营主要内容</w:t>
      </w:r>
    </w:p>
    <w:p w14:paraId="25C001F1">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4.3.1收费渠道和方式</w:t>
      </w:r>
    </w:p>
    <w:p w14:paraId="0BEF331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收费渠道：采用“政府付费+资源化收益”双渠道模式。政府付费主要为餐厨垃圾处理基础服务费，由财政资金保障；资源化收益包括餐厨垃圾处理过程中产生的生物原油、甘油三酯、有机肥料等副产品销售收益。</w:t>
      </w:r>
    </w:p>
    <w:p w14:paraId="3BF9B7E3">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收费方式：基础服务费按年结算，每年3月底前支付（但特许经营者每月需向项目实施单位报送处理台账及费用明细审核。次年3月报送上一年度处理台账及费用明细汇总，经审核确认后，由财政部门拨付上一年度处理服务费。资源化收益由特许经营者自主核算收取。</w:t>
      </w:r>
    </w:p>
    <w:p w14:paraId="2B0C1880">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（3）特许经营者不得直接向餐厨垃圾产生单位收费，由政府统收统支。</w:t>
      </w:r>
    </w:p>
    <w:p w14:paraId="4BCE24C0">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（4）本项目最高投标限价</w:t>
      </w:r>
    </w:p>
    <w:p w14:paraId="130F656D">
      <w:pPr>
        <w:spacing w:line="440" w:lineRule="exact"/>
        <w:ind w:firstLine="444" w:firstLineChars="202"/>
        <w:rPr>
          <w:rFonts w:hint="eastAsia" w:ascii="宋体" w:hAnsi="宋体" w:cs="宋体"/>
          <w:color w:val="FF0000"/>
          <w:lang w:val="en-US" w:eastAsia="zh-CN"/>
        </w:rPr>
      </w:pPr>
      <w:r>
        <w:rPr>
          <w:rFonts w:hint="eastAsia" w:ascii="宋体" w:hAnsi="宋体" w:cs="宋体"/>
          <w:color w:val="FF0000"/>
          <w:lang w:val="en-US" w:eastAsia="zh-CN"/>
        </w:rPr>
        <w:t>最高投标限价：280元/吨（大写：贰佰捌拾元每吨），该费用为全包综合单价，涵盖餐厨垃圾收集、转运、场地及设备使用、无害化处理及资源化利用等全过程服务所需全部成本与合理收益。</w:t>
      </w:r>
    </w:p>
    <w:p w14:paraId="21D6D7BC">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4.3.2特许经营实施方式</w:t>
      </w:r>
    </w:p>
    <w:p w14:paraId="31D3F763">
      <w:pPr>
        <w:spacing w:line="360" w:lineRule="auto"/>
        <w:ind w:firstLine="440" w:firstLineChars="200"/>
        <w:jc w:val="left"/>
        <w:rPr>
          <w:rFonts w:hint="eastAsia" w:ascii="宋体" w:hAnsi="宋体" w:eastAsia="宋体" w:cs="宋体"/>
          <w:snapToGrid w:val="0"/>
          <w:color w:val="auto"/>
          <w:kern w:val="0"/>
          <w:sz w:val="22"/>
          <w:szCs w:val="22"/>
        </w:rPr>
      </w:pPr>
      <w:r>
        <w:rPr>
          <w:rFonts w:hint="eastAsia" w:ascii="宋体" w:hAnsi="宋体" w:eastAsia="宋体" w:cs="宋体"/>
          <w:snapToGrid w:val="0"/>
          <w:color w:val="auto"/>
          <w:kern w:val="0"/>
          <w:sz w:val="22"/>
          <w:szCs w:val="22"/>
          <w:lang w:val="en-US" w:eastAsia="zh-CN"/>
        </w:rPr>
        <w:t>采用“</w:t>
      </w:r>
      <w:r>
        <w:rPr>
          <w:rFonts w:ascii="宋体" w:hAnsi="宋体" w:cs="宋体"/>
          <w:snapToGrid w:val="0"/>
          <w:color w:val="auto"/>
          <w:kern w:val="0"/>
          <w:sz w:val="22"/>
          <w:szCs w:val="22"/>
        </w:rPr>
        <w:t>改建—运营—移交（ROT）</w:t>
      </w:r>
      <w:r>
        <w:rPr>
          <w:rFonts w:hint="eastAsia" w:ascii="宋体" w:hAnsi="宋体" w:eastAsia="宋体" w:cs="宋体"/>
          <w:snapToGrid w:val="0"/>
          <w:color w:val="auto"/>
          <w:kern w:val="0"/>
          <w:sz w:val="22"/>
          <w:szCs w:val="22"/>
          <w:lang w:val="en-US" w:eastAsia="zh-CN"/>
        </w:rPr>
        <w:t>”模式实施特许经营。特许经营者负责项目的投融资、设计、建设、运营和维护，在特许经营期限内享有项目运营权并获得相应收益，期限届满后将项目全部资产及相关权益无偿移交牟定县人民政府指定部门。项目建设需统筹衔接县域已建成的餐厨垃圾处理站设施，实现资源整合与高效利用。</w:t>
      </w:r>
    </w:p>
    <w:p w14:paraId="4B6522A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4.3.3特许经营期限</w:t>
      </w:r>
    </w:p>
    <w:p w14:paraId="6E30B8D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参照牟定县城乡生活垃圾分类收集转运处置一体化项目特许经营期限标准，结合餐厨垃圾处理项目建设周期及运营回报周期，确定本项目特许经营期限为40年，其中包含3个月建设期和39年9个月运营期。期限起止时间以正式签订的《特许经营协议》约定为准。</w:t>
      </w:r>
    </w:p>
    <w:bookmarkEnd w:id="38"/>
    <w:bookmarkEnd w:id="39"/>
    <w:bookmarkEnd w:id="40"/>
    <w:bookmarkEnd w:id="41"/>
    <w:bookmarkEnd w:id="42"/>
    <w:bookmarkEnd w:id="43"/>
    <w:bookmarkEnd w:id="44"/>
    <w:p w14:paraId="7D5DD3FC">
      <w:pPr>
        <w:spacing w:line="440" w:lineRule="exact"/>
        <w:ind w:firstLine="444" w:firstLineChars="202"/>
        <w:rPr>
          <w:rFonts w:hint="eastAsia" w:ascii="宋体" w:hAnsi="宋体" w:cs="宋体"/>
          <w:color w:val="000000"/>
          <w:lang w:val="en-US" w:eastAsia="zh-CN"/>
        </w:rPr>
      </w:pPr>
      <w:bookmarkStart w:id="45" w:name="_Toc164882053"/>
      <w:bookmarkStart w:id="46" w:name="_Toc166321328"/>
      <w:bookmarkStart w:id="47" w:name="_Toc164882189"/>
      <w:r>
        <w:rPr>
          <w:rFonts w:hint="eastAsia" w:ascii="宋体" w:hAnsi="宋体" w:cs="宋体"/>
          <w:color w:val="000000"/>
          <w:lang w:val="en-US" w:eastAsia="zh-CN"/>
        </w:rPr>
        <w:t>4.4项目运营维护标准</w:t>
      </w:r>
      <w:bookmarkEnd w:id="45"/>
      <w:bookmarkEnd w:id="46"/>
      <w:bookmarkEnd w:id="47"/>
    </w:p>
    <w:p w14:paraId="13B1598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4.4.1运营期内，项目公司应按照适用法律和谨慎运营惯例，提供运营维护服务，保障项目设施的正常使用。项目的运营维护必须符合《恶臭污染物排放标准》（GB14554-1993）、《工业企业厂界环境噪声排放标准（GB12348-2008）、《餐厨垃圾处理技术规范》（CJJ184-2023）、《污水综合排放标准》（GB8978-1996）等以及云南省、楚雄州相关法律法规和技术规范。运营日起，项目公司应管理和运营维护该期工程项目设施，使其处于良好地使用状态。</w:t>
      </w:r>
    </w:p>
    <w:p w14:paraId="41828A6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4.4.2其他废气标准：其他有组织废气、无组织废气分别执行《大气污染物综合排放标准》（GB16297-1996）表2二级标准，原则上按严格的标准确定本工程的烟气污染排放标准。</w:t>
      </w:r>
    </w:p>
    <w:p w14:paraId="3E11652E">
      <w:pPr>
        <w:spacing w:line="440" w:lineRule="exact"/>
        <w:ind w:firstLine="444" w:firstLineChars="202"/>
        <w:rPr>
          <w:rFonts w:hint="default" w:ascii="宋体" w:hAnsi="宋体" w:cs="宋体"/>
          <w:color w:val="000000"/>
          <w:lang w:val="en-US" w:eastAsia="zh-CN"/>
        </w:rPr>
      </w:pPr>
      <w:r>
        <w:rPr>
          <w:rFonts w:hint="eastAsia" w:ascii="宋体" w:hAnsi="宋体" w:cs="宋体"/>
          <w:color w:val="000000"/>
          <w:lang w:val="en-US" w:eastAsia="zh-CN"/>
        </w:rPr>
        <w:t>4.4.3其他标准：上述标准为主要运营标准，特许经营项目公司在运营过程中，还应满足本项目环评批复的标准或要求、政府行政部门对本项目行政监管的标准或要求及未来新出台的相关政策标准或要求（如有），且上述标准若在合作期内进行更新或修订，应按照更新或修订后的标准严格执行。</w:t>
      </w:r>
    </w:p>
    <w:p w14:paraId="727D913C">
      <w:pPr>
        <w:autoSpaceDE w:val="0"/>
        <w:autoSpaceDN w:val="0"/>
        <w:adjustRightInd w:val="0"/>
        <w:spacing w:line="348" w:lineRule="auto"/>
        <w:ind w:left="0" w:leftChars="0" w:firstLine="0" w:firstLineChars="0"/>
        <w:rPr>
          <w:rFonts w:hint="eastAsia" w:ascii="宋体" w:hAnsi="宋体" w:cs="宋体"/>
          <w:b/>
          <w:bCs/>
          <w:color w:val="000000"/>
          <w:lang w:val="zh-CN"/>
        </w:rPr>
      </w:pPr>
      <w:bookmarkStart w:id="48" w:name="_Toc5377_WPSOffice_Level2"/>
      <w:bookmarkStart w:id="49" w:name="_Toc31577"/>
      <w:bookmarkStart w:id="50" w:name="_Toc29546"/>
      <w:bookmarkStart w:id="51" w:name="_Toc45896594"/>
      <w:bookmarkStart w:id="52" w:name="_Toc45896890"/>
      <w:bookmarkStart w:id="53" w:name="_Toc10115_WPSOffice_Level2"/>
      <w:r>
        <w:rPr>
          <w:rFonts w:hint="eastAsia" w:ascii="宋体" w:hAnsi="宋体" w:cs="宋体"/>
          <w:b/>
          <w:bCs/>
          <w:color w:val="000000"/>
          <w:lang w:val="zh-CN"/>
        </w:rPr>
        <w:t>（三）投标人资格要求</w:t>
      </w:r>
      <w:bookmarkEnd w:id="48"/>
      <w:bookmarkEnd w:id="49"/>
      <w:bookmarkEnd w:id="50"/>
      <w:bookmarkEnd w:id="51"/>
      <w:bookmarkEnd w:id="52"/>
      <w:bookmarkEnd w:id="53"/>
      <w:bookmarkStart w:id="54" w:name="_Toc27651"/>
      <w:bookmarkStart w:id="55" w:name="_Toc29597"/>
    </w:p>
    <w:p w14:paraId="68EF51EC">
      <w:pPr>
        <w:spacing w:line="440" w:lineRule="exact"/>
        <w:ind w:firstLine="444" w:firstLineChars="202"/>
        <w:rPr>
          <w:rFonts w:hint="eastAsia" w:ascii="宋体" w:hAnsi="宋体" w:cs="宋体"/>
          <w:color w:val="auto"/>
          <w:lang w:val="en-US" w:eastAsia="zh-CN"/>
        </w:rPr>
      </w:pPr>
      <w:bookmarkStart w:id="56" w:name="_Toc18359"/>
      <w:bookmarkStart w:id="57" w:name="_Toc950"/>
      <w:bookmarkStart w:id="58" w:name="_Toc114"/>
      <w:bookmarkStart w:id="59" w:name="_Toc8102"/>
      <w:bookmarkStart w:id="60" w:name="_Toc3871"/>
      <w:bookmarkStart w:id="61" w:name="_Toc26876"/>
      <w:bookmarkStart w:id="62" w:name="_Toc25140"/>
      <w:bookmarkStart w:id="63" w:name="_Toc6078"/>
      <w:bookmarkStart w:id="64" w:name="_Toc3517"/>
      <w:bookmarkStart w:id="65" w:name="_Toc9732"/>
      <w:r>
        <w:rPr>
          <w:rFonts w:hint="eastAsia" w:ascii="宋体" w:hAnsi="宋体" w:cs="宋体"/>
          <w:color w:val="auto"/>
          <w:lang w:val="en-US" w:eastAsia="zh-CN"/>
        </w:rPr>
        <w:t>1.主体要求</w:t>
      </w:r>
      <w:bookmarkEnd w:id="56"/>
      <w:bookmarkEnd w:id="57"/>
      <w:bookmarkEnd w:id="58"/>
      <w:bookmarkEnd w:id="59"/>
      <w:bookmarkEnd w:id="60"/>
      <w:bookmarkEnd w:id="61"/>
      <w:bookmarkEnd w:id="62"/>
      <w:bookmarkEnd w:id="63"/>
      <w:bookmarkEnd w:id="64"/>
      <w:bookmarkEnd w:id="65"/>
    </w:p>
    <w:p w14:paraId="6FC62716">
      <w:pPr>
        <w:spacing w:line="440" w:lineRule="exact"/>
        <w:ind w:firstLine="444" w:firstLineChars="202"/>
        <w:rPr>
          <w:rFonts w:hint="eastAsia" w:ascii="宋体" w:hAnsi="宋体" w:cs="宋体"/>
          <w:color w:val="FF0000"/>
          <w:lang w:val="en-US" w:eastAsia="zh-CN"/>
        </w:rPr>
      </w:pPr>
      <w:r>
        <w:rPr>
          <w:rFonts w:hint="eastAsia" w:ascii="宋体" w:hAnsi="宋体" w:cs="宋体"/>
          <w:color w:val="auto"/>
          <w:lang w:val="en-US" w:eastAsia="zh-CN"/>
        </w:rPr>
        <w:t>投标人须为在中华人民共和国境内依法注册的企业（本项目按国办函〔2023〕115号文，应由民营企业独资或控股参与），且合法存续没有处于被吊销营业执照、责令关闭或者被撤销等不良状态。</w:t>
      </w:r>
    </w:p>
    <w:p w14:paraId="0B41EAB5">
      <w:pPr>
        <w:spacing w:line="440" w:lineRule="exact"/>
        <w:ind w:firstLine="444" w:firstLineChars="202"/>
        <w:rPr>
          <w:rFonts w:hint="eastAsia" w:ascii="宋体" w:hAnsi="宋体" w:cs="宋体"/>
          <w:color w:val="auto"/>
          <w:lang w:val="en-US" w:eastAsia="zh-CN"/>
        </w:rPr>
      </w:pPr>
      <w:r>
        <w:rPr>
          <w:rFonts w:hint="eastAsia" w:ascii="宋体" w:hAnsi="宋体" w:cs="宋体"/>
          <w:color w:val="auto"/>
          <w:lang w:val="en-US" w:eastAsia="zh-CN"/>
        </w:rPr>
        <w:t>2.本项目的特定资格要求</w:t>
      </w:r>
    </w:p>
    <w:p w14:paraId="48D44FDC">
      <w:pPr>
        <w:spacing w:line="440" w:lineRule="exact"/>
        <w:ind w:firstLine="444" w:firstLineChars="202"/>
        <w:rPr>
          <w:rFonts w:hint="eastAsia" w:ascii="宋体" w:hAnsi="宋体" w:cs="宋体"/>
          <w:color w:val="000000"/>
          <w:lang w:val="en-US" w:eastAsia="zh-CN"/>
        </w:rPr>
      </w:pPr>
      <w:r>
        <w:rPr>
          <w:rFonts w:hint="eastAsia" w:ascii="宋体" w:hAnsi="宋体" w:cs="宋体"/>
          <w:color w:val="auto"/>
          <w:lang w:val="en-US" w:eastAsia="zh-CN"/>
        </w:rPr>
        <w:t>本项目的特许经营者，民营企业持股需大于50%，达到（控股或独资）的要求。（需提供股权比例证明材料）。</w:t>
      </w:r>
    </w:p>
    <w:p w14:paraId="6AEC63D4">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3.投融资能力要求</w:t>
      </w:r>
    </w:p>
    <w:p w14:paraId="296779C5">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具备与本项目相匹配的投融资能力，提供不低于项目总投资1200万元的投融资证明材料，证明材料为存款证明或银行出具的贷款意向书（函）或授信额度等，累计额度应满足要求，投标人不同开户行的银行余额可以累加，投标人银行存款、授信额度、贷款意向书（函）的额度可累加。</w:t>
      </w:r>
    </w:p>
    <w:p w14:paraId="0A57E5F6">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4.</w:t>
      </w:r>
      <w:r>
        <w:rPr>
          <w:rFonts w:hint="eastAsia" w:ascii="宋体" w:hAnsi="宋体" w:cs="宋体"/>
          <w:color w:val="000000"/>
          <w:lang w:val="zh-CN" w:eastAsia="zh-CN"/>
        </w:rPr>
        <w:t>财务要求：</w:t>
      </w:r>
      <w:r>
        <w:rPr>
          <w:rFonts w:hint="eastAsia" w:ascii="宋体" w:hAnsi="宋体" w:cs="宋体"/>
          <w:color w:val="000000"/>
          <w:lang w:val="en-US" w:eastAsia="zh-CN"/>
        </w:rPr>
        <w:t>财务状况良好，无重大不良资产或不良投资项目。提供近三年（2022年至2024年连续三年）经会计师事务所或审计机构审计的财务报表（包括资产负债表、现金流量表、利润表），财务报表必须合并的以审计后合并财务报表为准（成立不满三年的公司，提供成立至今的财务报表或财务情况证明材料）</w:t>
      </w:r>
      <w:r>
        <w:rPr>
          <w:rFonts w:hint="eastAsia" w:ascii="宋体" w:hAnsi="宋体" w:cs="宋体"/>
          <w:color w:val="000000"/>
          <w:lang w:val="zh-CN" w:eastAsia="zh-CN"/>
        </w:rPr>
        <w:t>。</w:t>
      </w:r>
    </w:p>
    <w:p w14:paraId="47932E1E">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5.</w:t>
      </w:r>
      <w:r>
        <w:rPr>
          <w:rFonts w:hint="eastAsia" w:ascii="宋体" w:hAnsi="宋体" w:cs="宋体"/>
          <w:color w:val="000000"/>
          <w:lang w:val="zh-CN" w:eastAsia="zh-CN"/>
        </w:rPr>
        <w:t>信誉要求：</w:t>
      </w:r>
    </w:p>
    <w:p w14:paraId="7A9CB05B">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5</w:t>
      </w:r>
      <w:r>
        <w:rPr>
          <w:rFonts w:hint="eastAsia" w:ascii="宋体" w:hAnsi="宋体" w:cs="宋体"/>
          <w:color w:val="000000"/>
          <w:lang w:val="zh-CN" w:eastAsia="zh-CN"/>
        </w:rPr>
        <w:t>.1投标人当前没有处于被责令停产、投标资格取消、财产被接管或冻结、破产等状态；投标人近三年内未曾骗取中标或严重违约或发生重大工程质量、安全事故，没有被行政主管部门列入黑名单的情况（如未出现上述情况，投标人须做出承诺，并对其真实性负责）。</w:t>
      </w:r>
    </w:p>
    <w:p w14:paraId="68CD9D9A">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5</w:t>
      </w:r>
      <w:r>
        <w:rPr>
          <w:rFonts w:hint="eastAsia" w:ascii="宋体" w:hAnsi="宋体" w:cs="宋体"/>
          <w:color w:val="000000"/>
          <w:lang w:val="zh-CN" w:eastAsia="zh-CN"/>
        </w:rPr>
        <w:t>.2近三年（</w:t>
      </w:r>
      <w:r>
        <w:rPr>
          <w:rFonts w:hint="eastAsia" w:ascii="宋体" w:hAnsi="宋体" w:cs="宋体"/>
          <w:color w:val="000000"/>
          <w:lang w:val="en-US" w:eastAsia="zh-CN"/>
        </w:rPr>
        <w:t>2023年1月1日至今</w:t>
      </w:r>
      <w:r>
        <w:rPr>
          <w:rFonts w:hint="eastAsia" w:ascii="宋体" w:hAnsi="宋体" w:cs="宋体"/>
          <w:color w:val="000000"/>
          <w:lang w:val="zh-CN" w:eastAsia="zh-CN"/>
        </w:rPr>
        <w:t>）企业、企业法定代表人及拟派项目负责人</w:t>
      </w:r>
      <w:r>
        <w:rPr>
          <w:rFonts w:hint="eastAsia" w:ascii="宋体" w:hAnsi="宋体" w:cs="宋体"/>
          <w:color w:val="000000"/>
          <w:lang w:val="en-US" w:eastAsia="zh-CN"/>
        </w:rPr>
        <w:t>无行贿犯罪记录（</w:t>
      </w:r>
      <w:r>
        <w:rPr>
          <w:rFonts w:hint="eastAsia" w:ascii="宋体" w:hAnsi="宋体" w:cs="宋体"/>
          <w:color w:val="000000"/>
          <w:lang w:val="zh-CN" w:eastAsia="zh-CN"/>
        </w:rPr>
        <w:t>投标人自行在中国裁判文书网查询，提供承诺函</w:t>
      </w:r>
      <w:r>
        <w:rPr>
          <w:rFonts w:hint="eastAsia" w:ascii="宋体" w:hAnsi="宋体" w:cs="宋体"/>
          <w:color w:val="000000"/>
          <w:lang w:val="en-US" w:eastAsia="zh-CN"/>
        </w:rPr>
        <w:t>及查询结果截图，原件扫描件</w:t>
      </w:r>
      <w:r>
        <w:rPr>
          <w:rFonts w:hint="eastAsia" w:ascii="宋体" w:hAnsi="宋体" w:cs="宋体"/>
          <w:color w:val="000000"/>
          <w:lang w:val="zh-CN" w:eastAsia="zh-CN"/>
        </w:rPr>
        <w:t>）。</w:t>
      </w:r>
    </w:p>
    <w:p w14:paraId="7F4BFAE4">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5</w:t>
      </w:r>
      <w:r>
        <w:rPr>
          <w:rFonts w:hint="eastAsia" w:ascii="宋体" w:hAnsi="宋体" w:cs="宋体"/>
          <w:color w:val="000000"/>
          <w:lang w:val="zh-CN" w:eastAsia="zh-CN"/>
        </w:rPr>
        <w:t>.3近三年（</w:t>
      </w:r>
      <w:r>
        <w:rPr>
          <w:rFonts w:hint="eastAsia" w:ascii="宋体" w:hAnsi="宋体" w:cs="宋体"/>
          <w:color w:val="000000"/>
          <w:lang w:val="en-US" w:eastAsia="zh-CN"/>
        </w:rPr>
        <w:t>2023年1月1日至今</w:t>
      </w:r>
      <w:r>
        <w:rPr>
          <w:rFonts w:hint="eastAsia" w:ascii="宋体" w:hAnsi="宋体" w:cs="宋体"/>
          <w:color w:val="000000"/>
          <w:lang w:val="zh-CN" w:eastAsia="zh-CN"/>
        </w:rPr>
        <w:t>）企业、企业法定代表人及拟派项目负责人未被“信用中国”网站及中国执行信息公开网列为失信被执行人（投标人自行在“信用中国”网站及中国执行信息公开网查询，提供承诺函</w:t>
      </w:r>
      <w:r>
        <w:rPr>
          <w:rFonts w:hint="eastAsia" w:ascii="宋体" w:hAnsi="宋体" w:cs="宋体"/>
          <w:color w:val="000000"/>
          <w:lang w:val="en-US" w:eastAsia="zh-CN"/>
        </w:rPr>
        <w:t>及查询结果截图</w:t>
      </w:r>
      <w:r>
        <w:rPr>
          <w:rFonts w:hint="eastAsia" w:ascii="宋体" w:hAnsi="宋体" w:cs="宋体"/>
          <w:color w:val="000000"/>
          <w:lang w:val="zh-CN" w:eastAsia="zh-CN"/>
        </w:rPr>
        <w:t>）。</w:t>
      </w:r>
    </w:p>
    <w:p w14:paraId="45B21DE1">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5</w:t>
      </w:r>
      <w:r>
        <w:rPr>
          <w:rFonts w:hint="eastAsia" w:ascii="宋体" w:hAnsi="宋体" w:cs="宋体"/>
          <w:color w:val="000000"/>
          <w:lang w:val="zh-CN" w:eastAsia="zh-CN"/>
        </w:rPr>
        <w:t>.</w:t>
      </w:r>
      <w:r>
        <w:rPr>
          <w:rFonts w:hint="eastAsia" w:ascii="宋体" w:hAnsi="宋体" w:cs="宋体"/>
          <w:color w:val="000000"/>
          <w:lang w:val="en-US" w:eastAsia="zh-CN"/>
        </w:rPr>
        <w:t>4</w:t>
      </w:r>
      <w:r>
        <w:rPr>
          <w:rFonts w:hint="eastAsia" w:ascii="宋体" w:hAnsi="宋体" w:cs="宋体"/>
          <w:color w:val="000000"/>
          <w:lang w:val="zh-CN" w:eastAsia="zh-CN"/>
        </w:rPr>
        <w:t>诉讼及仲裁：投标人如实说明近三年（</w:t>
      </w:r>
      <w:r>
        <w:rPr>
          <w:rFonts w:hint="eastAsia" w:ascii="宋体" w:hAnsi="宋体" w:cs="宋体"/>
          <w:color w:val="000000"/>
          <w:lang w:val="en-US" w:eastAsia="zh-CN"/>
        </w:rPr>
        <w:t>2023年1月1日至今</w:t>
      </w:r>
      <w:r>
        <w:rPr>
          <w:rFonts w:hint="eastAsia" w:ascii="宋体" w:hAnsi="宋体" w:cs="宋体"/>
          <w:color w:val="000000"/>
          <w:lang w:val="zh-CN" w:eastAsia="zh-CN"/>
        </w:rPr>
        <w:t>）发生的诉讼及仲裁相关情况，并说明当前有无因投标申请人违约或不恰当履约引起的合同终止、纠纷、争议、仲裁和诉讼，并承诺涉及诉讼事件不影响申请人在本招标项目的履约能力。</w:t>
      </w:r>
    </w:p>
    <w:p w14:paraId="00F4AEA8">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5</w:t>
      </w:r>
      <w:r>
        <w:rPr>
          <w:rFonts w:hint="eastAsia" w:ascii="宋体" w:hAnsi="宋体" w:cs="宋体"/>
          <w:color w:val="000000"/>
          <w:lang w:val="zh-CN" w:eastAsia="zh-CN"/>
        </w:rPr>
        <w:t>.</w:t>
      </w:r>
      <w:r>
        <w:rPr>
          <w:rFonts w:hint="eastAsia" w:ascii="宋体" w:hAnsi="宋体" w:cs="宋体"/>
          <w:color w:val="000000"/>
          <w:lang w:val="en-US" w:eastAsia="zh-CN"/>
        </w:rPr>
        <w:t>5</w:t>
      </w:r>
      <w:r>
        <w:rPr>
          <w:rFonts w:hint="eastAsia" w:ascii="宋体" w:hAnsi="宋体" w:cs="宋体"/>
          <w:color w:val="000000"/>
          <w:lang w:val="zh-CN" w:eastAsia="zh-CN"/>
        </w:rPr>
        <w:t>各投标人应诚信投标，并签署《诚信投标承诺书》，确保投标文件提交的所有材料真实、准确、有效和完整，若投标人提供虚假材料，一经查实，即取消投标资格；对伪造、变造有关证件、材料、信息，骗取投标资格或中标的，将按照相关法律、法规进行严肃处罚。</w:t>
      </w:r>
    </w:p>
    <w:p w14:paraId="319F31BF">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en-US" w:eastAsia="zh-CN"/>
        </w:rPr>
        <w:t>6.</w:t>
      </w:r>
      <w:r>
        <w:rPr>
          <w:rFonts w:hint="eastAsia" w:ascii="宋体" w:hAnsi="宋体" w:cs="宋体"/>
          <w:color w:val="000000"/>
          <w:lang w:val="zh-CN" w:eastAsia="zh-CN"/>
        </w:rPr>
        <w:t>资格审查方式：本项目资格审查方式为资格后审。</w:t>
      </w:r>
    </w:p>
    <w:p w14:paraId="0C9866DF">
      <w:pPr>
        <w:spacing w:line="440" w:lineRule="exact"/>
        <w:ind w:firstLine="444" w:firstLineChars="202"/>
        <w:rPr>
          <w:rFonts w:hint="default" w:ascii="宋体" w:hAnsi="宋体" w:cs="宋体"/>
          <w:color w:val="000000"/>
          <w:lang w:val="en-US" w:eastAsia="zh-CN"/>
        </w:rPr>
      </w:pPr>
      <w:r>
        <w:rPr>
          <w:rFonts w:hint="eastAsia" w:ascii="宋体" w:hAnsi="宋体" w:cs="宋体"/>
          <w:color w:val="000000"/>
          <w:lang w:val="en-US" w:eastAsia="zh-CN"/>
        </w:rPr>
        <w:t>7.本项目不接受联合投标。</w:t>
      </w:r>
    </w:p>
    <w:bookmarkEnd w:id="54"/>
    <w:bookmarkEnd w:id="55"/>
    <w:p w14:paraId="42986565">
      <w:pPr>
        <w:autoSpaceDE w:val="0"/>
        <w:autoSpaceDN w:val="0"/>
        <w:adjustRightInd w:val="0"/>
        <w:spacing w:line="348" w:lineRule="auto"/>
        <w:ind w:left="0" w:leftChars="0" w:firstLine="0" w:firstLineChars="0"/>
        <w:rPr>
          <w:rFonts w:hint="eastAsia" w:ascii="宋体" w:hAnsi="宋体" w:cs="宋体"/>
          <w:b/>
          <w:bCs/>
          <w:color w:val="000000"/>
          <w:lang w:val="zh-CN"/>
        </w:rPr>
      </w:pPr>
      <w:bookmarkStart w:id="66" w:name="_Toc4043_WPSOffice_Level2"/>
      <w:bookmarkStart w:id="67" w:name="_Toc9497_WPSOffice_Level2"/>
      <w:r>
        <w:rPr>
          <w:rFonts w:hint="eastAsia" w:ascii="宋体" w:hAnsi="宋体" w:cs="宋体"/>
          <w:b/>
          <w:bCs/>
          <w:color w:val="000000"/>
          <w:lang w:val="zh-CN"/>
        </w:rPr>
        <w:t>（四）招标文件的获取</w:t>
      </w:r>
      <w:bookmarkEnd w:id="66"/>
      <w:bookmarkEnd w:id="67"/>
    </w:p>
    <w:p w14:paraId="34DF0F3C">
      <w:pPr>
        <w:spacing w:line="440" w:lineRule="exact"/>
        <w:ind w:firstLine="444" w:firstLineChars="202"/>
        <w:rPr>
          <w:kern w:val="2"/>
          <w:sz w:val="21"/>
          <w:szCs w:val="21"/>
          <w:lang w:val="zh-CN"/>
        </w:rPr>
      </w:pPr>
      <w:bookmarkStart w:id="68" w:name="_Toc17364"/>
      <w:bookmarkStart w:id="69" w:name="_Toc2710_WPSOffice_Level2"/>
      <w:bookmarkStart w:id="70" w:name="_Toc25385_WPSOffice_Level2"/>
      <w:r>
        <w:rPr>
          <w:rFonts w:hint="eastAsia" w:ascii="宋体" w:hAnsi="宋体" w:cs="宋体"/>
          <w:color w:val="000000"/>
          <w:lang w:val="en-US" w:eastAsia="zh-CN"/>
        </w:rPr>
        <w:t>1.</w:t>
      </w:r>
      <w:r>
        <w:rPr>
          <w:rFonts w:hint="eastAsia" w:ascii="宋体" w:hAnsi="宋体" w:cs="宋体"/>
          <w:color w:val="000000"/>
          <w:lang w:val="zh-CN" w:eastAsia="zh-CN"/>
        </w:rPr>
        <w:t>凡有意参加的投标者，请于</w:t>
      </w:r>
      <w:r>
        <w:rPr>
          <w:rFonts w:hint="eastAsia" w:ascii="宋体" w:hAnsi="宋体" w:cs="宋体"/>
          <w:color w:val="FF0000"/>
          <w:lang w:val="en-US" w:eastAsia="zh-CN"/>
        </w:rPr>
        <w:t>2026</w:t>
      </w:r>
      <w:r>
        <w:rPr>
          <w:rFonts w:hint="eastAsia" w:ascii="宋体" w:hAnsi="宋体" w:cs="宋体"/>
          <w:color w:val="FF0000"/>
          <w:lang w:val="zh-CN" w:eastAsia="zh-CN"/>
        </w:rPr>
        <w:t>年</w:t>
      </w:r>
      <w:r>
        <w:rPr>
          <w:rFonts w:hint="eastAsia" w:ascii="宋体" w:hAnsi="宋体" w:cs="宋体"/>
          <w:color w:val="FF0000"/>
          <w:lang w:val="en-US" w:eastAsia="zh-CN"/>
        </w:rPr>
        <w:t>04</w:t>
      </w:r>
      <w:r>
        <w:rPr>
          <w:rFonts w:hint="eastAsia" w:ascii="宋体" w:hAnsi="宋体" w:cs="宋体"/>
          <w:color w:val="FF0000"/>
          <w:lang w:val="zh-CN" w:eastAsia="zh-CN"/>
        </w:rPr>
        <w:t>月</w:t>
      </w:r>
      <w:r>
        <w:rPr>
          <w:rFonts w:hint="eastAsia" w:ascii="宋体" w:hAnsi="宋体" w:cs="宋体"/>
          <w:color w:val="FF0000"/>
          <w:lang w:val="en-US" w:eastAsia="zh-CN"/>
        </w:rPr>
        <w:t xml:space="preserve">  </w:t>
      </w:r>
      <w:r>
        <w:rPr>
          <w:rFonts w:hint="eastAsia" w:ascii="宋体" w:hAnsi="宋体" w:cs="宋体"/>
          <w:color w:val="FF0000"/>
          <w:lang w:val="zh-CN" w:eastAsia="zh-CN"/>
        </w:rPr>
        <w:t>日</w:t>
      </w:r>
      <w:r>
        <w:rPr>
          <w:rFonts w:hint="eastAsia" w:ascii="宋体" w:hAnsi="宋体" w:cs="宋体"/>
          <w:color w:val="FF0000"/>
          <w:lang w:val="en-US" w:eastAsia="zh-CN"/>
        </w:rPr>
        <w:t>00时00</w:t>
      </w:r>
      <w:r>
        <w:rPr>
          <w:rFonts w:hint="eastAsia" w:ascii="宋体" w:hAnsi="宋体" w:cs="宋体"/>
          <w:color w:val="FF0000"/>
          <w:lang w:val="zh-CN" w:eastAsia="zh-CN"/>
        </w:rPr>
        <w:t>分至</w:t>
      </w:r>
      <w:r>
        <w:rPr>
          <w:rFonts w:hint="eastAsia" w:ascii="宋体" w:hAnsi="宋体" w:cs="宋体"/>
          <w:color w:val="FF0000"/>
          <w:lang w:val="en-US" w:eastAsia="zh-CN"/>
        </w:rPr>
        <w:t>2026</w:t>
      </w:r>
      <w:r>
        <w:rPr>
          <w:rFonts w:hint="eastAsia" w:ascii="宋体" w:hAnsi="宋体" w:cs="宋体"/>
          <w:color w:val="FF0000"/>
          <w:lang w:val="zh-CN" w:eastAsia="zh-CN"/>
        </w:rPr>
        <w:t>年</w:t>
      </w:r>
      <w:r>
        <w:rPr>
          <w:rFonts w:hint="eastAsia" w:ascii="宋体" w:hAnsi="宋体" w:cs="宋体"/>
          <w:color w:val="FF0000"/>
          <w:lang w:val="en-US" w:eastAsia="zh-CN"/>
        </w:rPr>
        <w:t>04</w:t>
      </w:r>
      <w:r>
        <w:rPr>
          <w:rFonts w:hint="eastAsia" w:ascii="宋体" w:hAnsi="宋体" w:cs="宋体"/>
          <w:color w:val="FF0000"/>
          <w:lang w:val="zh-CN" w:eastAsia="zh-CN"/>
        </w:rPr>
        <w:t>月</w:t>
      </w:r>
      <w:r>
        <w:rPr>
          <w:rFonts w:hint="eastAsia" w:ascii="宋体" w:hAnsi="宋体" w:cs="宋体"/>
          <w:color w:val="FF0000"/>
          <w:lang w:val="en-US" w:eastAsia="zh-CN"/>
        </w:rPr>
        <w:t xml:space="preserve">  </w:t>
      </w:r>
      <w:r>
        <w:rPr>
          <w:rFonts w:hint="eastAsia" w:ascii="宋体" w:hAnsi="宋体" w:cs="宋体"/>
          <w:color w:val="FF0000"/>
          <w:lang w:val="zh-CN" w:eastAsia="zh-CN"/>
        </w:rPr>
        <w:t>日</w:t>
      </w:r>
      <w:r>
        <w:rPr>
          <w:rFonts w:hint="eastAsia" w:ascii="宋体" w:hAnsi="宋体" w:cs="宋体"/>
          <w:color w:val="FF0000"/>
          <w:lang w:val="en-US" w:eastAsia="zh-CN"/>
        </w:rPr>
        <w:t>23时59</w:t>
      </w:r>
      <w:r>
        <w:rPr>
          <w:rFonts w:hint="eastAsia" w:ascii="宋体" w:hAnsi="宋体" w:cs="宋体"/>
          <w:color w:val="FF0000"/>
          <w:lang w:val="zh-CN" w:eastAsia="zh-CN"/>
        </w:rPr>
        <w:t>分</w:t>
      </w:r>
      <w:r>
        <w:rPr>
          <w:rFonts w:hint="eastAsia" w:ascii="宋体" w:hAnsi="宋体" w:cs="宋体"/>
          <w:color w:val="000000"/>
          <w:lang w:val="zh-CN" w:eastAsia="zh-CN"/>
        </w:rPr>
        <w:t>登录全国公共资源交易平台（云南省）(</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)选择“楚雄州”</w:t>
      </w:r>
      <w:r>
        <w:rPr>
          <w:rFonts w:hint="eastAsia" w:ascii="宋体" w:hAnsi="宋体" w:cs="宋体"/>
          <w:color w:val="000000"/>
          <w:lang w:val="en-US" w:eastAsia="zh-CN"/>
        </w:rPr>
        <w:fldChar w:fldCharType="begin"/>
      </w:r>
      <w:r>
        <w:rPr>
          <w:rFonts w:hint="eastAsia" w:ascii="宋体" w:hAnsi="宋体" w:cs="宋体"/>
          <w:color w:val="000000"/>
          <w:lang w:val="en-US" w:eastAsia="zh-CN"/>
        </w:rPr>
        <w:instrText xml:space="preserve"> HYPERLINK "http://ggzy.yn.gov.cn/ynggfwpt-home-web/" \l "/homePage），凭企业数字证书（CA）在网上获取招标文件及其它招标资料（含招标电子技术标文件，格式为*.BTBJ；招标电子商务标文件，格式为*.SLZBS、图纸）。未办理企业数字证书（CA）的企业需要按照云南省公共资源交易电子认证的要求，办理企业数字证书（CA），并在全国公共资源交易平台（云南省）选择" </w:instrText>
      </w:r>
      <w:r>
        <w:rPr>
          <w:rFonts w:hint="eastAsia" w:ascii="宋体" w:hAnsi="宋体" w:cs="宋体"/>
          <w:color w:val="000000"/>
          <w:lang w:val="en-US" w:eastAsia="zh-CN"/>
        </w:rPr>
        <w:fldChar w:fldCharType="separate"/>
      </w:r>
      <w:r>
        <w:rPr>
          <w:rFonts w:hint="eastAsia" w:ascii="宋体" w:hAnsi="宋体" w:cs="宋体"/>
          <w:color w:val="000000"/>
          <w:lang w:val="zh-CN" w:eastAsia="zh-CN"/>
        </w:rPr>
        <w:t>，凭企业数字证书（CA）在网上获取招标文件及其它招标资料（含招标电子技术标文件，格式为*.</w:t>
      </w:r>
      <w:r>
        <w:rPr>
          <w:rFonts w:hint="eastAsia" w:ascii="宋体" w:hAnsi="宋体" w:cs="宋体"/>
          <w:color w:val="000000"/>
          <w:lang w:val="en-US" w:eastAsia="zh-CN"/>
        </w:rPr>
        <w:t>BT</w:t>
      </w:r>
      <w:r>
        <w:rPr>
          <w:rFonts w:hint="eastAsia" w:ascii="宋体" w:hAnsi="宋体" w:cs="宋体"/>
          <w:color w:val="000000"/>
          <w:lang w:val="zh-CN" w:eastAsia="zh-CN"/>
        </w:rPr>
        <w:t>BJ；招标电子商务标文件、图纸）。未办理企业数字证书（CA）的企业需要按照云南省公共资源交易电子认证的要求，办理企业数字证书（CA），并在全国公共资源交易平台（云南省）选择“楚雄州”完成注册通过后，便可获取招标文件，此为获取招标文件的唯一途径。</w:t>
      </w:r>
      <w:r>
        <w:rPr>
          <w:rFonts w:hint="eastAsia" w:ascii="宋体" w:hAnsi="宋体" w:cs="宋体"/>
          <w:color w:val="000000"/>
          <w:lang w:val="zh-CN" w:eastAsia="zh-CN"/>
        </w:rPr>
        <w:fldChar w:fldCharType="end"/>
      </w:r>
    </w:p>
    <w:p w14:paraId="322F787F">
      <w:pPr>
        <w:autoSpaceDE w:val="0"/>
        <w:autoSpaceDN w:val="0"/>
        <w:adjustRightInd w:val="0"/>
        <w:spacing w:line="348" w:lineRule="auto"/>
        <w:ind w:left="0" w:leftChars="0" w:firstLine="0" w:firstLineChars="0"/>
        <w:rPr>
          <w:rFonts w:hint="eastAsia" w:ascii="宋体" w:hAnsi="宋体" w:cs="宋体"/>
          <w:b/>
          <w:bCs/>
          <w:color w:val="000000"/>
          <w:lang w:val="zh-CN"/>
        </w:rPr>
      </w:pPr>
      <w:r>
        <w:rPr>
          <w:rFonts w:hint="eastAsia" w:ascii="宋体" w:hAnsi="宋体" w:cs="宋体"/>
          <w:b/>
          <w:bCs/>
          <w:color w:val="000000"/>
          <w:lang w:val="zh-CN" w:eastAsia="zh-CN"/>
        </w:rPr>
        <w:t>（五）</w:t>
      </w:r>
      <w:r>
        <w:rPr>
          <w:rFonts w:hint="eastAsia" w:ascii="宋体" w:hAnsi="宋体" w:cs="宋体"/>
          <w:b/>
          <w:bCs/>
          <w:color w:val="000000"/>
          <w:lang w:val="zh-CN"/>
        </w:rPr>
        <w:t>投标文件的递交</w:t>
      </w:r>
      <w:bookmarkEnd w:id="68"/>
      <w:bookmarkEnd w:id="69"/>
      <w:bookmarkEnd w:id="70"/>
    </w:p>
    <w:p w14:paraId="27C422BA">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1.本次招标项目投标文件递交截止时间（开标时间）为</w:t>
      </w:r>
      <w:r>
        <w:rPr>
          <w:rFonts w:hint="eastAsia" w:ascii="宋体" w:hAnsi="宋体" w:cs="宋体"/>
          <w:color w:val="FF0000"/>
          <w:lang w:val="en-US" w:eastAsia="zh-CN"/>
        </w:rPr>
        <w:t>2026年04月  日08时30分</w:t>
      </w:r>
      <w:r>
        <w:rPr>
          <w:rFonts w:hint="eastAsia" w:ascii="宋体" w:hAnsi="宋体" w:cs="宋体"/>
          <w:color w:val="000000"/>
          <w:lang w:val="en-US" w:eastAsia="zh-CN"/>
        </w:rPr>
        <w:t xml:space="preserve">，开标地点：牟定县公共资源交易中心。 </w:t>
      </w:r>
    </w:p>
    <w:p w14:paraId="4A51E286">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2.投标文件递交：投标人须在投标截止时间前登录</w:t>
      </w:r>
      <w:r>
        <w:rPr>
          <w:rFonts w:hint="eastAsia" w:ascii="宋体" w:hAnsi="宋体" w:cs="宋体"/>
          <w:color w:val="000000"/>
          <w:lang w:val="zh-CN" w:eastAsia="zh-CN"/>
        </w:rPr>
        <w:t>全国公共资源交易平台（云南省）(</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 xml:space="preserve">)选择“楚雄州” </w:t>
      </w:r>
      <w:r>
        <w:rPr>
          <w:rFonts w:hint="eastAsia" w:ascii="宋体" w:hAnsi="宋体" w:cs="宋体"/>
          <w:color w:val="000000"/>
          <w:lang w:val="en-US" w:eastAsia="zh-CN"/>
        </w:rPr>
        <w:t>，完成所有电子投标文件的上传，网上确认电子签名，并打印“上传投标文件回执”，投标截止时间前未完成投标文件传输的，视为撤回投标文件（如因修改重新上传投标文件后，需再次确认并打印回执）。</w:t>
      </w:r>
    </w:p>
    <w:p w14:paraId="3D438D6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3.开标方式：采用网上开标远程解密方式。</w:t>
      </w:r>
    </w:p>
    <w:p w14:paraId="1E19A035">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w:t>
      </w:r>
      <w:r>
        <w:rPr>
          <w:rFonts w:hint="eastAsia" w:ascii="宋体" w:hAnsi="宋体" w:cs="宋体"/>
          <w:color w:val="000000"/>
          <w:lang w:val="zh-CN" w:eastAsia="zh-CN"/>
        </w:rPr>
        <w:t>(</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w:t>
      </w:r>
      <w:r>
        <w:rPr>
          <w:rFonts w:hint="eastAsia" w:ascii="宋体" w:hAnsi="宋体" w:cs="宋体"/>
          <w:color w:val="000000"/>
          <w:lang w:val="en-US" w:eastAsia="zh-CN"/>
        </w:rPr>
        <w:t>选择 “楚雄州”，点击【智能开标系统】，进入网上开标大厅，至投标截止时间后方能找到对应项目，点击项目后方的【进入】按钮进入开标室页面，进行系统自动签到(温馨提示:登录及电子签名时需要用企业 CA 锁，解密时需要用投标文件加密的CA锁，为了不频繁更换 CA 锁影响解密及签名确认，故建议投标文件加密时采用企业CA锁进行加密)；</w:t>
      </w:r>
    </w:p>
    <w:p w14:paraId="50F8E54A">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5.开标系统下达网上解密指令后，投标单位点击上方【网上解密】进入网上解密界面，各投标单位必须在系统下达的时间内完成解密工作；</w:t>
      </w:r>
    </w:p>
    <w:p w14:paraId="0329615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6.开标过程中，待全部投标单位解密成功唱标后投标单位如有疑问，可以在线发起异议，点击右上角的【提出异议】按钮，填写异议详细内容之后进行提交，由招标人(招标代理机构)给予对应的回复；</w:t>
      </w:r>
    </w:p>
    <w:p w14:paraId="2E78301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7.各投标人应当提前熟悉和掌握网上开标远程解密详细操作，操作步骤可全国公共资源交易平台（云南省）</w:t>
      </w:r>
      <w:r>
        <w:rPr>
          <w:rFonts w:hint="eastAsia" w:ascii="宋体" w:hAnsi="宋体" w:cs="宋体"/>
          <w:color w:val="000000"/>
          <w:lang w:val="zh-CN" w:eastAsia="zh-CN"/>
        </w:rPr>
        <w:t>(</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w:t>
      </w:r>
      <w:r>
        <w:rPr>
          <w:rFonts w:hint="eastAsia" w:ascii="宋体" w:hAnsi="宋体" w:cs="宋体"/>
          <w:color w:val="000000"/>
          <w:lang w:val="en-US" w:eastAsia="zh-CN"/>
        </w:rPr>
        <w:t>选择“楚雄州”-办事指南，自行学习 《云南省公共资源交易电子化平台智能开标系统培训教材》；</w:t>
      </w:r>
    </w:p>
    <w:p w14:paraId="67D7C7E8">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8.开标当天投标人无法正常登录系统、无法正常解密的，应及时联系筑龙客服说明问题并请求远程协助检查确认问题，同时联系招标人(招标代理机构)说明情况；</w:t>
      </w:r>
    </w:p>
    <w:p w14:paraId="59197464">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9.有关电子化远程解密网上开标未尽事宜，登录</w:t>
      </w:r>
      <w:r>
        <w:rPr>
          <w:rFonts w:hint="eastAsia" w:ascii="宋体" w:hAnsi="宋体" w:cs="宋体"/>
          <w:color w:val="000000"/>
          <w:lang w:val="zh-CN" w:eastAsia="zh-CN"/>
        </w:rPr>
        <w:t>全国公共资源交易平台（云南省）(</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 xml:space="preserve">) </w:t>
      </w:r>
      <w:r>
        <w:rPr>
          <w:rFonts w:hint="eastAsia" w:ascii="宋体" w:hAnsi="宋体" w:cs="宋体"/>
          <w:color w:val="000000"/>
          <w:lang w:val="en-US" w:eastAsia="zh-CN"/>
        </w:rPr>
        <w:t>在首页交易指引自行学习交易规则、交易流程、操作指南等相关内容；</w:t>
      </w:r>
    </w:p>
    <w:p w14:paraId="134F92D5">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10.各投标人在本项目开标结束后、评标结果公示发布前可以对招标代理机构服务进行评价。</w:t>
      </w:r>
    </w:p>
    <w:p w14:paraId="4661BB8A">
      <w:pPr>
        <w:autoSpaceDE w:val="0"/>
        <w:autoSpaceDN w:val="0"/>
        <w:adjustRightInd w:val="0"/>
        <w:spacing w:line="348" w:lineRule="auto"/>
        <w:ind w:left="0" w:leftChars="0" w:firstLine="0" w:firstLineChars="0"/>
        <w:rPr>
          <w:rFonts w:hint="eastAsia" w:ascii="宋体" w:hAnsi="宋体" w:cs="宋体"/>
          <w:b/>
          <w:bCs/>
          <w:color w:val="000000"/>
          <w:lang w:val="zh-CN" w:eastAsia="zh-CN"/>
        </w:rPr>
      </w:pPr>
      <w:bookmarkStart w:id="71" w:name="_Toc19723_WPSOffice_Level2"/>
      <w:bookmarkStart w:id="72" w:name="_Toc9936"/>
      <w:bookmarkStart w:id="73" w:name="_Toc45896899"/>
      <w:bookmarkStart w:id="74" w:name="_Toc1669_WPSOffice_Level2"/>
      <w:bookmarkStart w:id="75" w:name="_Toc45896603"/>
      <w:bookmarkStart w:id="76" w:name="_Toc32561"/>
      <w:r>
        <w:rPr>
          <w:rFonts w:hint="eastAsia" w:ascii="宋体" w:hAnsi="宋体" w:cs="宋体"/>
          <w:b/>
          <w:bCs/>
          <w:color w:val="000000"/>
          <w:lang w:val="zh-CN" w:eastAsia="zh-CN"/>
        </w:rPr>
        <w:t>（六）异议（质疑）及投诉</w:t>
      </w:r>
    </w:p>
    <w:p w14:paraId="284DDFE1">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6EB8C4E9">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14:paraId="1F09F1E0">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5DA47885">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1EB490D8">
      <w:pPr>
        <w:spacing w:line="440" w:lineRule="exact"/>
        <w:ind w:firstLine="444" w:firstLineChars="202"/>
        <w:rPr>
          <w:rFonts w:ascii="宋体" w:hAnsi="宋体" w:cs="宋体"/>
          <w:color w:val="000000"/>
        </w:rPr>
      </w:pPr>
      <w:r>
        <w:rPr>
          <w:rFonts w:hint="eastAsia" w:ascii="宋体" w:hAnsi="宋体" w:cs="宋体"/>
          <w:color w:val="000000"/>
          <w:lang w:val="en-US"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p w14:paraId="12A9B8DD">
      <w:pPr>
        <w:autoSpaceDE w:val="0"/>
        <w:autoSpaceDN w:val="0"/>
        <w:adjustRightInd w:val="0"/>
        <w:spacing w:line="348" w:lineRule="auto"/>
        <w:ind w:left="0" w:leftChars="0" w:firstLine="0" w:firstLineChars="0"/>
        <w:rPr>
          <w:rFonts w:hint="eastAsia" w:ascii="宋体" w:hAnsi="宋体" w:cs="宋体"/>
          <w:b/>
          <w:bCs/>
          <w:color w:val="000000"/>
          <w:lang w:val="zh-CN" w:eastAsia="zh-CN"/>
        </w:rPr>
      </w:pPr>
      <w:r>
        <w:rPr>
          <w:rFonts w:hint="eastAsia" w:ascii="宋体" w:hAnsi="宋体" w:cs="宋体"/>
          <w:b/>
          <w:bCs/>
          <w:color w:val="000000"/>
          <w:lang w:val="zh-CN" w:eastAsia="zh-CN"/>
        </w:rPr>
        <w:t>（七）保证金减免</w:t>
      </w:r>
    </w:p>
    <w:p w14:paraId="42682C2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根据《云南省发展和改革委员会等部门关于鼓励减免政府投资项目投标保证金的通知》（云发改交易管理〔2023〕397号）要求，本项目保证金收取情况为：</w:t>
      </w:r>
    </w:p>
    <w:tbl>
      <w:tblPr>
        <w:tblStyle w:val="53"/>
        <w:tblW w:w="9658"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0"/>
        <w:gridCol w:w="1750"/>
        <w:gridCol w:w="1845"/>
        <w:gridCol w:w="1590"/>
        <w:gridCol w:w="1433"/>
      </w:tblGrid>
      <w:tr w14:paraId="2C2D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040" w:type="dxa"/>
            <w:vAlign w:val="center"/>
          </w:tcPr>
          <w:p w14:paraId="40F30D93">
            <w:pPr>
              <w:pStyle w:val="317"/>
              <w:widowControl w:val="0"/>
              <w:spacing w:line="240" w:lineRule="auto"/>
              <w:ind w:firstLine="945" w:firstLineChars="450"/>
              <w:jc w:val="both"/>
              <w:rPr>
                <w:rFonts w:hint="eastAsia" w:ascii="宋体" w:hAnsi="宋体" w:eastAsia="宋体" w:cs="宋体"/>
                <w:sz w:val="21"/>
                <w:szCs w:val="21"/>
              </w:rPr>
            </w:pPr>
            <w:r>
              <w:rPr>
                <w:rFonts w:hint="eastAsia" w:ascii="宋体" w:hAnsi="宋体" w:eastAsia="宋体" w:cs="宋体"/>
                <w:sz w:val="21"/>
                <w:szCs w:val="21"/>
              </w:rPr>
              <w:t>项目名称</w:t>
            </w:r>
          </w:p>
        </w:tc>
        <w:tc>
          <w:tcPr>
            <w:tcW w:w="1750" w:type="dxa"/>
            <w:vAlign w:val="center"/>
          </w:tcPr>
          <w:p w14:paraId="551187BE">
            <w:pPr>
              <w:pStyle w:val="317"/>
              <w:widowControl w:val="0"/>
              <w:spacing w:line="240" w:lineRule="auto"/>
              <w:ind w:right="-156" w:rightChars="-71" w:firstLine="0"/>
              <w:jc w:val="center"/>
              <w:rPr>
                <w:rFonts w:hint="eastAsia" w:ascii="宋体" w:hAnsi="宋体" w:eastAsia="宋体" w:cs="宋体"/>
                <w:sz w:val="21"/>
                <w:szCs w:val="21"/>
              </w:rPr>
            </w:pPr>
            <w:r>
              <w:rPr>
                <w:rFonts w:hint="eastAsia" w:ascii="宋体" w:hAnsi="宋体" w:eastAsia="宋体" w:cs="宋体"/>
                <w:sz w:val="21"/>
                <w:szCs w:val="21"/>
              </w:rPr>
              <w:t>应收保证金（元）</w:t>
            </w:r>
          </w:p>
        </w:tc>
        <w:tc>
          <w:tcPr>
            <w:tcW w:w="1845" w:type="dxa"/>
            <w:vAlign w:val="center"/>
          </w:tcPr>
          <w:p w14:paraId="309AFCA5">
            <w:pPr>
              <w:pStyle w:val="317"/>
              <w:widowControl w:val="0"/>
              <w:spacing w:line="240" w:lineRule="auto"/>
              <w:ind w:right="-52" w:rightChars="-24" w:firstLine="0"/>
              <w:jc w:val="center"/>
              <w:rPr>
                <w:rFonts w:hint="eastAsia" w:ascii="宋体" w:hAnsi="宋体" w:eastAsia="宋体" w:cs="宋体"/>
                <w:sz w:val="21"/>
                <w:szCs w:val="21"/>
              </w:rPr>
            </w:pPr>
            <w:r>
              <w:rPr>
                <w:rFonts w:hint="eastAsia" w:ascii="宋体" w:hAnsi="宋体" w:eastAsia="宋体" w:cs="宋体"/>
                <w:sz w:val="21"/>
                <w:szCs w:val="21"/>
              </w:rPr>
              <w:t>实收保证金（元）</w:t>
            </w:r>
          </w:p>
        </w:tc>
        <w:tc>
          <w:tcPr>
            <w:tcW w:w="1590" w:type="dxa"/>
            <w:vAlign w:val="center"/>
          </w:tcPr>
          <w:p w14:paraId="585A2BE0">
            <w:pPr>
              <w:pStyle w:val="317"/>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减免金额（元）</w:t>
            </w:r>
          </w:p>
        </w:tc>
        <w:tc>
          <w:tcPr>
            <w:tcW w:w="1433" w:type="dxa"/>
            <w:vAlign w:val="center"/>
          </w:tcPr>
          <w:p w14:paraId="5FE62B40">
            <w:pPr>
              <w:pStyle w:val="317"/>
              <w:widowControl w:val="0"/>
              <w:spacing w:line="240" w:lineRule="auto"/>
              <w:ind w:firstLine="0"/>
              <w:jc w:val="center"/>
              <w:rPr>
                <w:rFonts w:hint="eastAsia" w:ascii="宋体" w:hAnsi="宋体" w:eastAsia="宋体" w:cs="宋体"/>
                <w:sz w:val="21"/>
                <w:szCs w:val="21"/>
              </w:rPr>
            </w:pPr>
            <w:r>
              <w:rPr>
                <w:rFonts w:hint="eastAsia" w:ascii="宋体" w:hAnsi="宋体" w:eastAsia="宋体" w:cs="宋体"/>
                <w:sz w:val="21"/>
                <w:szCs w:val="21"/>
              </w:rPr>
              <w:t>减免比例（%）</w:t>
            </w:r>
          </w:p>
        </w:tc>
      </w:tr>
      <w:tr w14:paraId="2844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40" w:type="dxa"/>
          </w:tcPr>
          <w:p w14:paraId="5A7179C7">
            <w:pPr>
              <w:pStyle w:val="317"/>
              <w:widowControl w:val="0"/>
              <w:ind w:right="-129" w:rightChars="-59" w:firstLine="0"/>
              <w:jc w:val="left"/>
              <w:rPr>
                <w:rFonts w:hint="eastAsia" w:ascii="宋体" w:hAnsi="宋体" w:eastAsia="宋体" w:cs="宋体"/>
                <w:sz w:val="21"/>
                <w:szCs w:val="21"/>
              </w:rPr>
            </w:pPr>
            <w:r>
              <w:rPr>
                <w:rFonts w:hint="eastAsia" w:eastAsia="宋体" w:cs="宋体"/>
                <w:color w:val="000000"/>
                <w:sz w:val="21"/>
                <w:szCs w:val="21"/>
                <w:lang w:eastAsia="zh-CN"/>
              </w:rPr>
              <w:t>楚雄州牟定县餐厨垃圾收运处理及综合利用项目特许经营</w:t>
            </w:r>
          </w:p>
        </w:tc>
        <w:tc>
          <w:tcPr>
            <w:tcW w:w="1750" w:type="dxa"/>
            <w:vAlign w:val="center"/>
          </w:tcPr>
          <w:p w14:paraId="3F642AD4">
            <w:pPr>
              <w:widowControl/>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240000</w:t>
            </w:r>
            <w:r>
              <w:rPr>
                <w:rFonts w:hint="eastAsia" w:ascii="宋体" w:hAnsi="宋体" w:eastAsia="宋体" w:cs="宋体"/>
                <w:color w:val="000000"/>
                <w:kern w:val="0"/>
                <w:sz w:val="21"/>
                <w:szCs w:val="21"/>
                <w:lang w:bidi="ar"/>
              </w:rPr>
              <w:t>.00</w:t>
            </w:r>
          </w:p>
        </w:tc>
        <w:tc>
          <w:tcPr>
            <w:tcW w:w="1845" w:type="dxa"/>
            <w:vAlign w:val="center"/>
          </w:tcPr>
          <w:p w14:paraId="1FC9D73B">
            <w:pPr>
              <w:widowControl/>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w:t>
            </w:r>
            <w:r>
              <w:rPr>
                <w:rFonts w:hint="eastAsia" w:ascii="宋体" w:hAnsi="宋体" w:eastAsia="宋体" w:cs="宋体"/>
                <w:color w:val="000000"/>
                <w:kern w:val="0"/>
                <w:sz w:val="21"/>
                <w:szCs w:val="21"/>
                <w:lang w:bidi="ar"/>
              </w:rPr>
              <w:t>0000.00</w:t>
            </w:r>
          </w:p>
        </w:tc>
        <w:tc>
          <w:tcPr>
            <w:tcW w:w="1590" w:type="dxa"/>
            <w:vAlign w:val="center"/>
          </w:tcPr>
          <w:p w14:paraId="73C2FE3D">
            <w:pPr>
              <w:widowControl/>
              <w:jc w:val="center"/>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bidi="ar"/>
              </w:rPr>
              <w:t>40000.00</w:t>
            </w:r>
          </w:p>
        </w:tc>
        <w:tc>
          <w:tcPr>
            <w:tcW w:w="1433" w:type="dxa"/>
            <w:vAlign w:val="center"/>
          </w:tcPr>
          <w:p w14:paraId="49913F08">
            <w:pPr>
              <w:widowControl/>
              <w:jc w:val="center"/>
              <w:textAlignment w:val="center"/>
              <w:rPr>
                <w:rFonts w:hint="eastAsia" w:ascii="宋体" w:hAnsi="宋体" w:eastAsia="宋体" w:cs="宋体"/>
                <w:sz w:val="21"/>
                <w:szCs w:val="21"/>
                <w:lang w:eastAsia="zh-CN"/>
              </w:rPr>
            </w:pPr>
            <w:r>
              <w:rPr>
                <w:rFonts w:hint="eastAsia" w:ascii="宋体" w:hAnsi="宋体" w:eastAsia="宋体" w:cs="宋体"/>
                <w:color w:val="000000"/>
                <w:kern w:val="0"/>
                <w:sz w:val="21"/>
                <w:szCs w:val="21"/>
                <w:lang w:bidi="ar"/>
              </w:rPr>
              <w:t>5</w:t>
            </w:r>
            <w:r>
              <w:rPr>
                <w:rFonts w:hint="eastAsia" w:ascii="宋体" w:hAnsi="宋体" w:eastAsia="宋体" w:cs="宋体"/>
                <w:color w:val="000000"/>
                <w:kern w:val="0"/>
                <w:sz w:val="21"/>
                <w:szCs w:val="21"/>
                <w:lang w:val="en-US" w:eastAsia="zh-CN" w:bidi="ar"/>
              </w:rPr>
              <w:t>8</w:t>
            </w:r>
          </w:p>
        </w:tc>
      </w:tr>
    </w:tbl>
    <w:p w14:paraId="2857D975">
      <w:pPr>
        <w:autoSpaceDE w:val="0"/>
        <w:autoSpaceDN w:val="0"/>
        <w:adjustRightInd w:val="0"/>
        <w:spacing w:line="348" w:lineRule="auto"/>
        <w:ind w:left="0" w:leftChars="0" w:firstLine="0" w:firstLineChars="0"/>
        <w:rPr>
          <w:rFonts w:hint="eastAsia" w:ascii="宋体" w:hAnsi="宋体" w:cs="宋体"/>
          <w:b/>
          <w:bCs/>
          <w:color w:val="000000"/>
          <w:lang w:val="zh-CN" w:eastAsia="zh-CN"/>
        </w:rPr>
      </w:pPr>
      <w:r>
        <w:rPr>
          <w:rFonts w:hint="eastAsia" w:ascii="宋体" w:hAnsi="宋体" w:cs="宋体"/>
          <w:b/>
          <w:bCs/>
          <w:color w:val="000000"/>
          <w:lang w:val="zh-CN" w:eastAsia="zh-CN"/>
        </w:rPr>
        <w:t>（八）发布公告的媒介</w:t>
      </w:r>
    </w:p>
    <w:p w14:paraId="4E0E0660">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本次招标公告在中国招标投标公共服务平台(http://www.cebpubservice.com)和全国公共资源交易平台（云南省）云南省公共资源交易信息网（网址：</w:t>
      </w:r>
      <w:r>
        <w:rPr>
          <w:rFonts w:hint="eastAsia" w:ascii="宋体" w:hAnsi="宋体" w:cs="宋体"/>
          <w:color w:val="000000"/>
          <w:lang w:val="en-US" w:eastAsia="zh-CN"/>
        </w:rPr>
        <w:t>https://ggzy.yn.gov.cn/homePage#/homePage</w:t>
      </w:r>
      <w:r>
        <w:rPr>
          <w:rFonts w:hint="eastAsia" w:ascii="宋体" w:hAnsi="宋体" w:cs="宋体"/>
          <w:color w:val="000000"/>
          <w:lang w:val="zh-CN" w:eastAsia="zh-CN"/>
        </w:rPr>
        <w:t>）选择“楚雄州”上发布，招标人及招标代理机构对其他网站或媒体转载的公告及公告内容不承担任何责任。</w:t>
      </w:r>
    </w:p>
    <w:p w14:paraId="2DBC002C">
      <w:pPr>
        <w:autoSpaceDE w:val="0"/>
        <w:autoSpaceDN w:val="0"/>
        <w:adjustRightInd w:val="0"/>
        <w:spacing w:line="348" w:lineRule="auto"/>
        <w:ind w:left="0" w:leftChars="0" w:firstLine="0" w:firstLineChars="0"/>
        <w:rPr>
          <w:rFonts w:hint="eastAsia" w:ascii="宋体" w:hAnsi="宋体" w:cs="宋体"/>
          <w:b/>
          <w:bCs/>
          <w:color w:val="000000"/>
          <w:lang w:val="zh-CN" w:eastAsia="zh-CN"/>
        </w:rPr>
      </w:pPr>
      <w:r>
        <w:rPr>
          <w:rFonts w:hint="eastAsia" w:ascii="宋体" w:hAnsi="宋体" w:cs="宋体"/>
          <w:b/>
          <w:bCs/>
          <w:color w:val="000000"/>
          <w:lang w:val="zh-CN" w:eastAsia="zh-CN"/>
        </w:rPr>
        <w:t>（九）联系方式</w:t>
      </w:r>
      <w:bookmarkEnd w:id="71"/>
      <w:bookmarkEnd w:id="72"/>
      <w:bookmarkEnd w:id="73"/>
      <w:bookmarkEnd w:id="74"/>
      <w:bookmarkEnd w:id="75"/>
      <w:bookmarkEnd w:id="76"/>
    </w:p>
    <w:p w14:paraId="29E1A3F0">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招标人：牟定县住房和城乡建设局</w:t>
      </w:r>
    </w:p>
    <w:p w14:paraId="7DAB61C4">
      <w:pPr>
        <w:spacing w:line="440" w:lineRule="exact"/>
        <w:ind w:firstLine="444" w:firstLineChars="202"/>
        <w:rPr>
          <w:rFonts w:hint="default" w:ascii="宋体" w:hAnsi="宋体" w:cs="宋体"/>
          <w:color w:val="000000"/>
          <w:lang w:val="en-US" w:eastAsia="zh-CN"/>
        </w:rPr>
      </w:pPr>
      <w:r>
        <w:rPr>
          <w:rFonts w:hint="eastAsia" w:ascii="宋体" w:hAnsi="宋体" w:cs="宋体"/>
          <w:color w:val="000000"/>
          <w:lang w:val="zh-CN" w:eastAsia="zh-CN"/>
        </w:rPr>
        <w:t>地址：牟定县城中青路</w:t>
      </w:r>
      <w:r>
        <w:rPr>
          <w:rFonts w:hint="eastAsia" w:ascii="宋体" w:hAnsi="宋体" w:cs="宋体"/>
          <w:color w:val="000000"/>
          <w:lang w:val="en-US" w:eastAsia="zh-CN"/>
        </w:rPr>
        <w:t>5号</w:t>
      </w:r>
    </w:p>
    <w:p w14:paraId="6C31D63E">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联 系 人：</w:t>
      </w:r>
      <w:r>
        <w:rPr>
          <w:rFonts w:hint="eastAsia" w:ascii="宋体" w:hAnsi="宋体" w:cs="宋体"/>
          <w:color w:val="000000"/>
          <w:lang w:val="en-US" w:eastAsia="zh-CN"/>
        </w:rPr>
        <w:t xml:space="preserve">施成刚 </w:t>
      </w:r>
    </w:p>
    <w:p w14:paraId="3FB317E8">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电    话：</w:t>
      </w:r>
      <w:r>
        <w:rPr>
          <w:rFonts w:hint="eastAsia" w:ascii="宋体" w:hAnsi="宋体" w:cs="宋体"/>
          <w:color w:val="000000"/>
          <w:lang w:val="en-US" w:eastAsia="zh-CN"/>
        </w:rPr>
        <w:t xml:space="preserve">13529701789 </w:t>
      </w:r>
    </w:p>
    <w:p w14:paraId="530CD3BC">
      <w:pPr>
        <w:spacing w:line="440" w:lineRule="exact"/>
        <w:ind w:firstLine="444" w:firstLineChars="202"/>
        <w:rPr>
          <w:rFonts w:hint="eastAsia" w:ascii="宋体" w:hAnsi="宋体" w:cs="宋体"/>
          <w:color w:val="000000"/>
          <w:lang w:val="zh-CN" w:eastAsia="zh-CN"/>
        </w:rPr>
      </w:pPr>
    </w:p>
    <w:p w14:paraId="4ADB0321">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招标代理机构：云南诚昱招标代理有限公司</w:t>
      </w:r>
    </w:p>
    <w:p w14:paraId="10685CE5">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地 址：牟定县共和镇万寿路285号</w:t>
      </w:r>
    </w:p>
    <w:p w14:paraId="6AED1C60">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联 系 人：陈宗友</w:t>
      </w:r>
    </w:p>
    <w:p w14:paraId="5E3FF38E">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电    话：13887884040</w:t>
      </w:r>
    </w:p>
    <w:p w14:paraId="3B7B4D33">
      <w:pPr>
        <w:spacing w:line="440" w:lineRule="exact"/>
        <w:ind w:firstLine="444" w:firstLineChars="202"/>
        <w:rPr>
          <w:rFonts w:hint="eastAsia" w:ascii="宋体" w:hAnsi="宋体" w:cs="宋体"/>
          <w:color w:val="000000"/>
          <w:lang w:val="zh-CN" w:eastAsia="zh-CN"/>
        </w:rPr>
      </w:pPr>
    </w:p>
    <w:p w14:paraId="3B34B675">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行政监督单位：牟定县发展和改革局</w:t>
      </w:r>
    </w:p>
    <w:p w14:paraId="5033BFEF">
      <w:pPr>
        <w:spacing w:line="440" w:lineRule="exact"/>
        <w:ind w:firstLine="444" w:firstLineChars="202"/>
        <w:rPr>
          <w:rFonts w:hint="eastAsia" w:ascii="宋体" w:hAnsi="宋体" w:cs="宋体"/>
          <w:color w:val="000000"/>
          <w:lang w:val="zh-CN" w:eastAsia="zh-CN"/>
        </w:rPr>
      </w:pPr>
      <w:r>
        <w:rPr>
          <w:rFonts w:hint="eastAsia" w:ascii="宋体" w:hAnsi="宋体" w:cs="宋体"/>
          <w:color w:val="000000"/>
          <w:lang w:val="zh-CN" w:eastAsia="zh-CN"/>
        </w:rPr>
        <w:t>监督电话：0878-521</w:t>
      </w:r>
      <w:r>
        <w:rPr>
          <w:rFonts w:hint="eastAsia" w:ascii="宋体" w:hAnsi="宋体" w:cs="宋体"/>
          <w:color w:val="000000"/>
          <w:lang w:val="en-US" w:eastAsia="zh-CN"/>
        </w:rPr>
        <w:t>1</w:t>
      </w:r>
      <w:r>
        <w:rPr>
          <w:rFonts w:hint="eastAsia" w:ascii="宋体" w:hAnsi="宋体" w:cs="宋体"/>
          <w:color w:val="000000"/>
          <w:lang w:val="zh-CN" w:eastAsia="zh-CN"/>
        </w:rPr>
        <w:t>223</w:t>
      </w:r>
    </w:p>
    <w:p w14:paraId="53EFE82A">
      <w:pPr>
        <w:rPr>
          <w:rFonts w:hint="eastAsia"/>
          <w:color w:val="auto"/>
          <w:highlight w:val="none"/>
        </w:rPr>
      </w:pPr>
    </w:p>
    <w:p w14:paraId="0B132485">
      <w:pPr>
        <w:pStyle w:val="2"/>
        <w:pBdr>
          <w:bottom w:val="none" w:color="auto" w:sz="0" w:space="0"/>
        </w:pBdr>
        <w:spacing w:before="0" w:after="0"/>
        <w:jc w:val="center"/>
        <w:rPr>
          <w:rFonts w:hint="eastAsia" w:ascii="宋体" w:hAnsi="宋体" w:eastAsia="宋体" w:cs="宋体"/>
          <w:color w:val="auto"/>
          <w:sz w:val="32"/>
          <w:highlight w:val="none"/>
        </w:rPr>
      </w:pPr>
      <w:bookmarkStart w:id="77" w:name="_Toc32595"/>
      <w:bookmarkStart w:id="78" w:name="_Toc8899"/>
      <w:bookmarkStart w:id="79" w:name="_Toc29362"/>
      <w:r>
        <w:rPr>
          <w:rFonts w:hint="eastAsia" w:ascii="宋体" w:hAnsi="宋体" w:eastAsia="宋体" w:cs="宋体"/>
          <w:color w:val="auto"/>
          <w:sz w:val="32"/>
          <w:highlight w:val="none"/>
        </w:rPr>
        <w:br w:type="page"/>
      </w:r>
      <w:r>
        <w:rPr>
          <w:rFonts w:hint="eastAsia" w:ascii="宋体" w:hAnsi="宋体" w:eastAsia="宋体" w:cs="宋体"/>
          <w:color w:val="auto"/>
          <w:sz w:val="36"/>
          <w:szCs w:val="36"/>
          <w:highlight w:val="none"/>
        </w:rPr>
        <w:t>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投标人须知</w:t>
      </w:r>
      <w:bookmarkEnd w:id="77"/>
      <w:bookmarkEnd w:id="78"/>
      <w:bookmarkEnd w:id="79"/>
    </w:p>
    <w:p w14:paraId="59318B25">
      <w:pPr>
        <w:pStyle w:val="3"/>
        <w:pBdr>
          <w:bottom w:val="none" w:color="auto" w:sz="0" w:space="0"/>
        </w:pBdr>
        <w:spacing w:before="0" w:after="0" w:line="360" w:lineRule="auto"/>
        <w:jc w:val="left"/>
        <w:rPr>
          <w:rFonts w:hint="eastAsia" w:ascii="宋体" w:hAnsi="宋体" w:eastAsia="宋体" w:cs="宋体"/>
          <w:b/>
          <w:color w:val="auto"/>
          <w:highlight w:val="none"/>
        </w:rPr>
      </w:pPr>
      <w:bookmarkStart w:id="80" w:name="_Toc486525497"/>
      <w:bookmarkStart w:id="81" w:name="_Toc31409"/>
      <w:bookmarkStart w:id="82" w:name="_Toc19493"/>
      <w:bookmarkStart w:id="83" w:name="_Toc444183913"/>
      <w:bookmarkStart w:id="84" w:name="_Toc31060"/>
      <w:r>
        <w:rPr>
          <w:rFonts w:hint="eastAsia" w:ascii="宋体" w:hAnsi="宋体" w:eastAsia="宋体" w:cs="宋体"/>
          <w:b/>
          <w:color w:val="auto"/>
          <w:highlight w:val="none"/>
          <w:lang w:eastAsia="zh-CN"/>
        </w:rPr>
        <w:t>二、</w:t>
      </w:r>
      <w:r>
        <w:rPr>
          <w:rFonts w:hint="eastAsia" w:ascii="宋体" w:hAnsi="宋体" w:eastAsia="宋体" w:cs="宋体"/>
          <w:b/>
          <w:color w:val="auto"/>
          <w:highlight w:val="none"/>
        </w:rPr>
        <w:t>投标人须知前附表</w:t>
      </w:r>
      <w:bookmarkEnd w:id="80"/>
      <w:bookmarkEnd w:id="81"/>
      <w:bookmarkEnd w:id="82"/>
      <w:bookmarkEnd w:id="83"/>
      <w:bookmarkEnd w:id="84"/>
    </w:p>
    <w:tbl>
      <w:tblPr>
        <w:tblStyle w:val="52"/>
        <w:tblW w:w="97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997"/>
        <w:gridCol w:w="6718"/>
      </w:tblGrid>
      <w:tr w14:paraId="1583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3" w:type="dxa"/>
            <w:vAlign w:val="center"/>
          </w:tcPr>
          <w:p w14:paraId="47527C5A">
            <w:pPr>
              <w:spacing w:line="360" w:lineRule="auto"/>
              <w:ind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条款号</w:t>
            </w:r>
          </w:p>
        </w:tc>
        <w:tc>
          <w:tcPr>
            <w:tcW w:w="1997" w:type="dxa"/>
            <w:vAlign w:val="center"/>
          </w:tcPr>
          <w:p w14:paraId="47E5AAEC">
            <w:pPr>
              <w:spacing w:line="360" w:lineRule="auto"/>
              <w:ind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条款名称</w:t>
            </w:r>
          </w:p>
        </w:tc>
        <w:tc>
          <w:tcPr>
            <w:tcW w:w="6718" w:type="dxa"/>
            <w:vAlign w:val="center"/>
          </w:tcPr>
          <w:p w14:paraId="6AEE067C">
            <w:pPr>
              <w:spacing w:line="360" w:lineRule="auto"/>
              <w:ind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编列内容</w:t>
            </w:r>
          </w:p>
        </w:tc>
      </w:tr>
      <w:tr w14:paraId="4218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993" w:type="dxa"/>
            <w:vAlign w:val="center"/>
          </w:tcPr>
          <w:p w14:paraId="2386279C">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1.1.2</w:t>
            </w:r>
          </w:p>
        </w:tc>
        <w:tc>
          <w:tcPr>
            <w:tcW w:w="1997" w:type="dxa"/>
            <w:vAlign w:val="center"/>
          </w:tcPr>
          <w:p w14:paraId="62E165AD">
            <w:pPr>
              <w:spacing w:line="360" w:lineRule="auto"/>
              <w:ind w:firstLine="315"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招标人</w:t>
            </w:r>
          </w:p>
        </w:tc>
        <w:tc>
          <w:tcPr>
            <w:tcW w:w="6718" w:type="dxa"/>
            <w:vAlign w:val="center"/>
          </w:tcPr>
          <w:p w14:paraId="02D5AD23">
            <w:pPr>
              <w:spacing w:line="360" w:lineRule="auto"/>
              <w:ind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招标人：牟定县住房和城乡建设局</w:t>
            </w:r>
          </w:p>
          <w:p w14:paraId="161B6291">
            <w:pPr>
              <w:spacing w:line="360" w:lineRule="auto"/>
              <w:ind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地址：牟定县城中青路</w:t>
            </w:r>
            <w:r>
              <w:rPr>
                <w:rFonts w:hint="eastAsia" w:ascii="宋体" w:hAnsi="宋体" w:cs="宋体"/>
                <w:color w:val="auto"/>
                <w:sz w:val="21"/>
                <w:szCs w:val="21"/>
                <w:highlight w:val="none"/>
                <w:lang w:val="en-US" w:eastAsia="zh-CN"/>
              </w:rPr>
              <w:t>5号</w:t>
            </w:r>
          </w:p>
          <w:p w14:paraId="275E76D1">
            <w:pPr>
              <w:spacing w:line="360" w:lineRule="auto"/>
              <w:ind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联 系 人：</w:t>
            </w:r>
            <w:r>
              <w:rPr>
                <w:rFonts w:hint="eastAsia" w:ascii="宋体" w:hAnsi="宋体" w:cs="宋体"/>
                <w:color w:val="auto"/>
                <w:sz w:val="21"/>
                <w:szCs w:val="21"/>
                <w:highlight w:val="none"/>
                <w:lang w:val="en-US" w:eastAsia="zh-CN"/>
              </w:rPr>
              <w:t>施成刚</w:t>
            </w:r>
            <w:r>
              <w:rPr>
                <w:rFonts w:hint="eastAsia" w:ascii="宋体" w:hAnsi="宋体" w:eastAsia="宋体" w:cs="宋体"/>
                <w:color w:val="auto"/>
                <w:sz w:val="21"/>
                <w:szCs w:val="21"/>
                <w:highlight w:val="none"/>
                <w:lang w:val="en-US" w:eastAsia="zh-CN"/>
              </w:rPr>
              <w:t xml:space="preserve"> </w:t>
            </w:r>
          </w:p>
          <w:p w14:paraId="452E90B7">
            <w:pPr>
              <w:spacing w:line="360" w:lineRule="auto"/>
              <w:ind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电    话：</w:t>
            </w:r>
            <w:r>
              <w:rPr>
                <w:rFonts w:hint="eastAsia" w:ascii="宋体" w:hAnsi="宋体" w:cs="宋体"/>
                <w:color w:val="auto"/>
                <w:sz w:val="21"/>
                <w:szCs w:val="21"/>
                <w:highlight w:val="none"/>
                <w:lang w:val="en-US" w:eastAsia="zh-CN"/>
              </w:rPr>
              <w:t>13529701789</w:t>
            </w:r>
          </w:p>
        </w:tc>
      </w:tr>
      <w:tr w14:paraId="7151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93" w:type="dxa"/>
            <w:vAlign w:val="center"/>
          </w:tcPr>
          <w:p w14:paraId="2884F673">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1.1.3</w:t>
            </w:r>
          </w:p>
        </w:tc>
        <w:tc>
          <w:tcPr>
            <w:tcW w:w="1997" w:type="dxa"/>
            <w:vAlign w:val="center"/>
          </w:tcPr>
          <w:p w14:paraId="08D90F42">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招标代理机构</w:t>
            </w:r>
          </w:p>
        </w:tc>
        <w:tc>
          <w:tcPr>
            <w:tcW w:w="6718" w:type="dxa"/>
            <w:vAlign w:val="center"/>
          </w:tcPr>
          <w:p w14:paraId="559CE226">
            <w:pPr>
              <w:spacing w:line="360" w:lineRule="auto"/>
              <w:ind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名称：云南诚昱招标代理有限公司 </w:t>
            </w:r>
            <w:r>
              <w:rPr>
                <w:rFonts w:hint="eastAsia" w:ascii="宋体" w:hAnsi="宋体" w:eastAsia="宋体" w:cs="宋体"/>
                <w:color w:val="auto"/>
                <w:sz w:val="21"/>
                <w:szCs w:val="21"/>
                <w:highlight w:val="none"/>
                <w:lang w:val="zh-CN" w:eastAsia="zh-CN"/>
              </w:rPr>
              <w:t xml:space="preserve"> </w:t>
            </w:r>
          </w:p>
          <w:p w14:paraId="327A4782">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地址：</w:t>
            </w:r>
            <w:r>
              <w:rPr>
                <w:rFonts w:hint="eastAsia" w:ascii="宋体" w:hAnsi="宋体" w:eastAsia="宋体" w:cs="宋体"/>
                <w:color w:val="auto"/>
                <w:sz w:val="21"/>
                <w:szCs w:val="21"/>
                <w:highlight w:val="none"/>
                <w:lang w:val="en-US" w:eastAsia="zh-CN"/>
              </w:rPr>
              <w:t>牟定县共和镇万寿路285号</w:t>
            </w:r>
          </w:p>
          <w:p w14:paraId="078D0325">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联系人：</w:t>
            </w:r>
            <w:r>
              <w:rPr>
                <w:rFonts w:hint="eastAsia" w:ascii="宋体" w:hAnsi="宋体" w:eastAsia="宋体" w:cs="宋体"/>
                <w:color w:val="auto"/>
                <w:sz w:val="21"/>
                <w:szCs w:val="21"/>
                <w:highlight w:val="none"/>
                <w:lang w:val="en-US" w:eastAsia="zh-CN"/>
              </w:rPr>
              <w:t>陈宗友</w:t>
            </w:r>
          </w:p>
          <w:p w14:paraId="1CA37A18">
            <w:pPr>
              <w:spacing w:line="360" w:lineRule="auto"/>
              <w:ind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电话：13887884040  </w:t>
            </w:r>
          </w:p>
        </w:tc>
      </w:tr>
      <w:tr w14:paraId="6DED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993" w:type="dxa"/>
            <w:vAlign w:val="center"/>
          </w:tcPr>
          <w:p w14:paraId="636AA7EE">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1.1.4</w:t>
            </w:r>
          </w:p>
        </w:tc>
        <w:tc>
          <w:tcPr>
            <w:tcW w:w="1997" w:type="dxa"/>
            <w:vAlign w:val="center"/>
          </w:tcPr>
          <w:p w14:paraId="238A3BFD">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6718" w:type="dxa"/>
            <w:vAlign w:val="center"/>
          </w:tcPr>
          <w:p w14:paraId="50F771A3">
            <w:pPr>
              <w:spacing w:line="360" w:lineRule="auto"/>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楚雄州牟定县餐厨垃圾收运处理及综合利用项目特许经营</w:t>
            </w:r>
          </w:p>
        </w:tc>
      </w:tr>
      <w:tr w14:paraId="69FB0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3" w:type="dxa"/>
            <w:vAlign w:val="center"/>
          </w:tcPr>
          <w:p w14:paraId="504DB5EA">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1.1.5</w:t>
            </w:r>
          </w:p>
        </w:tc>
        <w:tc>
          <w:tcPr>
            <w:tcW w:w="1997" w:type="dxa"/>
            <w:vAlign w:val="center"/>
          </w:tcPr>
          <w:p w14:paraId="5A29DF9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项目地点</w:t>
            </w:r>
          </w:p>
        </w:tc>
        <w:tc>
          <w:tcPr>
            <w:tcW w:w="6718" w:type="dxa"/>
            <w:vAlign w:val="center"/>
          </w:tcPr>
          <w:p w14:paraId="4DCD8B32">
            <w:pPr>
              <w:spacing w:line="36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lang w:val="zh-CN" w:eastAsia="zh-CN"/>
              </w:rPr>
              <w:t>牟定县县城北侧金马社区旁</w:t>
            </w:r>
          </w:p>
        </w:tc>
      </w:tr>
      <w:tr w14:paraId="0286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993" w:type="dxa"/>
            <w:vAlign w:val="center"/>
          </w:tcPr>
          <w:p w14:paraId="027403B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1.2.1</w:t>
            </w:r>
          </w:p>
        </w:tc>
        <w:tc>
          <w:tcPr>
            <w:tcW w:w="1997" w:type="dxa"/>
            <w:vAlign w:val="center"/>
          </w:tcPr>
          <w:p w14:paraId="2A662D04">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资金来源</w:t>
            </w:r>
          </w:p>
        </w:tc>
        <w:tc>
          <w:tcPr>
            <w:tcW w:w="6718" w:type="dxa"/>
            <w:vAlign w:val="center"/>
          </w:tcPr>
          <w:p w14:paraId="566FF395">
            <w:pPr>
              <w:spacing w:line="360" w:lineRule="auto"/>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企业自筹及银行贷款</w:t>
            </w:r>
          </w:p>
        </w:tc>
      </w:tr>
      <w:tr w14:paraId="2693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625C9747">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1.2.2</w:t>
            </w:r>
          </w:p>
        </w:tc>
        <w:tc>
          <w:tcPr>
            <w:tcW w:w="1997" w:type="dxa"/>
            <w:vAlign w:val="center"/>
          </w:tcPr>
          <w:p w14:paraId="5C7CE7B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资金落实情况</w:t>
            </w:r>
          </w:p>
        </w:tc>
        <w:tc>
          <w:tcPr>
            <w:tcW w:w="6718" w:type="dxa"/>
            <w:vAlign w:val="center"/>
          </w:tcPr>
          <w:p w14:paraId="3E0BD231">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已落实</w:t>
            </w:r>
          </w:p>
        </w:tc>
      </w:tr>
      <w:tr w14:paraId="0F4B4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7D481EC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1.3.1</w:t>
            </w:r>
          </w:p>
        </w:tc>
        <w:tc>
          <w:tcPr>
            <w:tcW w:w="1997" w:type="dxa"/>
            <w:vAlign w:val="center"/>
          </w:tcPr>
          <w:p w14:paraId="4D9A346A">
            <w:pPr>
              <w:spacing w:line="360" w:lineRule="auto"/>
              <w:ind w:firstLine="315"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招标范围</w:t>
            </w:r>
          </w:p>
        </w:tc>
        <w:tc>
          <w:tcPr>
            <w:tcW w:w="6718" w:type="dxa"/>
            <w:vAlign w:val="center"/>
          </w:tcPr>
          <w:p w14:paraId="31C4D9DC">
            <w:pPr>
              <w:autoSpaceDE w:val="0"/>
              <w:autoSpaceDN w:val="0"/>
              <w:adjustRightInd w:val="0"/>
              <w:spacing w:line="348" w:lineRule="auto"/>
              <w:ind w:left="0" w:leftChars="0" w:firstLine="0" w:firstLineChars="0"/>
              <w:rPr>
                <w:rFonts w:hint="eastAsia" w:ascii="宋体" w:hAnsi="宋体" w:cs="宋体"/>
                <w:color w:val="auto"/>
                <w:sz w:val="21"/>
                <w:szCs w:val="21"/>
                <w:highlight w:val="none"/>
              </w:rPr>
            </w:pPr>
            <w:r>
              <w:rPr>
                <w:rFonts w:hint="eastAsia" w:ascii="宋体" w:hAnsi="宋体" w:eastAsia="宋体" w:cs="宋体"/>
                <w:color w:val="000000"/>
                <w:sz w:val="21"/>
                <w:szCs w:val="21"/>
                <w:lang w:val="en-US" w:eastAsia="zh-CN"/>
              </w:rPr>
              <w:t>同</w:t>
            </w:r>
            <w:r>
              <w:rPr>
                <w:rFonts w:hint="eastAsia" w:ascii="宋体" w:hAnsi="宋体" w:cs="宋体"/>
                <w:color w:val="000000"/>
                <w:sz w:val="21"/>
                <w:szCs w:val="21"/>
                <w:lang w:val="en-US" w:eastAsia="zh-CN"/>
              </w:rPr>
              <w:t>第一章</w:t>
            </w:r>
            <w:r>
              <w:rPr>
                <w:rFonts w:hint="eastAsia" w:ascii="宋体" w:hAnsi="宋体" w:eastAsia="宋体" w:cs="宋体"/>
                <w:color w:val="000000"/>
                <w:sz w:val="21"/>
                <w:szCs w:val="21"/>
                <w:lang w:val="en-US" w:eastAsia="zh-CN"/>
              </w:rPr>
              <w:t>招标公告</w:t>
            </w:r>
          </w:p>
        </w:tc>
      </w:tr>
      <w:tr w14:paraId="1EB8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5CE1C6E8">
            <w:pPr>
              <w:spacing w:line="360" w:lineRule="auto"/>
              <w:ind w:firstLine="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1.3.2</w:t>
            </w:r>
          </w:p>
        </w:tc>
        <w:tc>
          <w:tcPr>
            <w:tcW w:w="1997" w:type="dxa"/>
            <w:vAlign w:val="center"/>
          </w:tcPr>
          <w:p w14:paraId="07A3B019">
            <w:pPr>
              <w:spacing w:line="360" w:lineRule="auto"/>
              <w:ind w:firstLine="315" w:firstLineChars="150"/>
              <w:rPr>
                <w:rFonts w:hint="eastAsia" w:ascii="宋体" w:hAnsi="宋体" w:cs="宋体"/>
                <w:bCs/>
                <w:color w:val="auto"/>
                <w:sz w:val="21"/>
                <w:szCs w:val="21"/>
                <w:highlight w:val="none"/>
              </w:rPr>
            </w:pPr>
            <w:r>
              <w:rPr>
                <w:rFonts w:hint="eastAsia" w:ascii="宋体" w:hAnsi="宋体" w:eastAsia="宋体" w:cs="宋体"/>
                <w:color w:val="auto"/>
                <w:sz w:val="21"/>
                <w:szCs w:val="21"/>
                <w:highlight w:val="none"/>
                <w:lang w:val="zh-TW" w:eastAsia="zh-CN"/>
              </w:rPr>
              <w:t>特许经营期限</w:t>
            </w:r>
          </w:p>
        </w:tc>
        <w:tc>
          <w:tcPr>
            <w:tcW w:w="6718" w:type="dxa"/>
            <w:vAlign w:val="center"/>
          </w:tcPr>
          <w:p w14:paraId="6C8603B2">
            <w:pPr>
              <w:spacing w:line="400" w:lineRule="exact"/>
              <w:ind w:firstLine="0"/>
              <w:rPr>
                <w:rFonts w:hint="eastAsia" w:ascii="宋体" w:hAnsi="宋体" w:eastAsia="宋体" w:cs="宋体"/>
                <w:color w:val="auto"/>
                <w:sz w:val="21"/>
                <w:szCs w:val="21"/>
                <w:highlight w:val="none"/>
                <w:lang w:val="zh-TW" w:eastAsia="zh-CN"/>
              </w:rPr>
            </w:pPr>
            <w:r>
              <w:rPr>
                <w:rFonts w:hint="eastAsia" w:ascii="宋体" w:hAnsi="宋体" w:eastAsia="宋体" w:cs="宋体"/>
                <w:color w:val="000000"/>
                <w:sz w:val="21"/>
                <w:szCs w:val="21"/>
                <w:lang w:val="en-US" w:eastAsia="zh-CN"/>
              </w:rPr>
              <w:t>40年</w:t>
            </w:r>
            <w:r>
              <w:rPr>
                <w:rFonts w:hint="eastAsia" w:ascii="宋体" w:hAnsi="宋体" w:eastAsia="宋体" w:cs="宋体"/>
                <w:color w:val="000000"/>
                <w:sz w:val="21"/>
                <w:szCs w:val="21"/>
                <w:lang w:val="zh-TW" w:eastAsia="zh-CN"/>
              </w:rPr>
              <w:t>（含项目建设期</w:t>
            </w:r>
            <w:r>
              <w:rPr>
                <w:rFonts w:hint="eastAsia" w:ascii="宋体" w:hAnsi="宋体" w:eastAsia="宋体" w:cs="宋体"/>
                <w:color w:val="000000"/>
                <w:sz w:val="21"/>
                <w:szCs w:val="21"/>
                <w:lang w:val="en-US" w:eastAsia="zh-CN"/>
              </w:rPr>
              <w:t>3个月</w:t>
            </w:r>
            <w:r>
              <w:rPr>
                <w:rFonts w:hint="eastAsia" w:ascii="宋体" w:hAnsi="宋体" w:eastAsia="宋体" w:cs="宋体"/>
                <w:color w:val="000000"/>
                <w:sz w:val="21"/>
                <w:szCs w:val="21"/>
                <w:lang w:val="zh-TW" w:eastAsia="zh-CN"/>
              </w:rPr>
              <w:t>和运营期</w:t>
            </w:r>
            <w:r>
              <w:rPr>
                <w:rFonts w:hint="eastAsia" w:ascii="宋体" w:hAnsi="宋体" w:eastAsia="宋体" w:cs="宋体"/>
                <w:color w:val="000000"/>
                <w:sz w:val="21"/>
                <w:szCs w:val="21"/>
                <w:lang w:val="en-US" w:eastAsia="zh-CN"/>
              </w:rPr>
              <w:t>39年9个月</w:t>
            </w:r>
            <w:r>
              <w:rPr>
                <w:rFonts w:hint="eastAsia" w:ascii="宋体" w:hAnsi="宋体" w:eastAsia="宋体" w:cs="宋体"/>
                <w:color w:val="000000"/>
                <w:sz w:val="21"/>
                <w:szCs w:val="21"/>
                <w:lang w:val="zh-TW" w:eastAsia="zh-CN"/>
              </w:rPr>
              <w:t>）</w:t>
            </w:r>
            <w:r>
              <w:rPr>
                <w:rFonts w:hint="eastAsia" w:ascii="宋体" w:hAnsi="宋体" w:eastAsia="宋体" w:cs="宋体"/>
                <w:color w:val="auto"/>
                <w:sz w:val="21"/>
                <w:szCs w:val="21"/>
                <w:highlight w:val="none"/>
                <w:lang w:val="zh-TW" w:eastAsia="zh-CN"/>
              </w:rPr>
              <w:t>。</w:t>
            </w:r>
          </w:p>
        </w:tc>
      </w:tr>
      <w:tr w14:paraId="79DD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6A566E4A">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1.3.3</w:t>
            </w:r>
          </w:p>
        </w:tc>
        <w:tc>
          <w:tcPr>
            <w:tcW w:w="1997" w:type="dxa"/>
            <w:vAlign w:val="center"/>
          </w:tcPr>
          <w:p w14:paraId="17F5810B">
            <w:pPr>
              <w:spacing w:line="400" w:lineRule="exact"/>
              <w:ind w:firstLine="0"/>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项目运营标准</w:t>
            </w:r>
          </w:p>
        </w:tc>
        <w:tc>
          <w:tcPr>
            <w:tcW w:w="6718" w:type="dxa"/>
            <w:vAlign w:val="center"/>
          </w:tcPr>
          <w:p w14:paraId="1B2AA4E5">
            <w:pPr>
              <w:spacing w:line="400" w:lineRule="exact"/>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同</w:t>
            </w:r>
            <w:r>
              <w:rPr>
                <w:rFonts w:hint="eastAsia" w:ascii="宋体" w:hAnsi="宋体" w:eastAsia="宋体" w:cs="宋体"/>
                <w:color w:val="auto"/>
                <w:sz w:val="21"/>
                <w:szCs w:val="21"/>
                <w:highlight w:val="none"/>
                <w:lang w:val="en-US" w:eastAsia="zh-CN"/>
              </w:rPr>
              <w:t>第一章招标公告</w:t>
            </w:r>
          </w:p>
        </w:tc>
      </w:tr>
      <w:tr w14:paraId="06D2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3481A826">
            <w:pPr>
              <w:spacing w:line="360" w:lineRule="auto"/>
              <w:ind w:firstLine="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1.3.</w:t>
            </w:r>
            <w:r>
              <w:rPr>
                <w:rFonts w:hint="eastAsia" w:ascii="宋体" w:hAnsi="宋体" w:cs="宋体"/>
                <w:color w:val="auto"/>
                <w:sz w:val="21"/>
                <w:szCs w:val="21"/>
                <w:highlight w:val="none"/>
                <w:lang w:val="en-US" w:eastAsia="zh-CN"/>
              </w:rPr>
              <w:t>4</w:t>
            </w:r>
          </w:p>
        </w:tc>
        <w:tc>
          <w:tcPr>
            <w:tcW w:w="1997" w:type="dxa"/>
            <w:vAlign w:val="center"/>
          </w:tcPr>
          <w:p w14:paraId="030D368E">
            <w:pPr>
              <w:spacing w:line="360" w:lineRule="auto"/>
              <w:ind w:left="0" w:leftChars="0" w:firstLine="0" w:firstLineChars="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是否成立项目公司</w:t>
            </w:r>
          </w:p>
        </w:tc>
        <w:tc>
          <w:tcPr>
            <w:tcW w:w="6718" w:type="dxa"/>
            <w:vAlign w:val="center"/>
          </w:tcPr>
          <w:p w14:paraId="187AD2FC">
            <w:pPr>
              <w:spacing w:line="360" w:lineRule="auto"/>
              <w:ind w:firstLine="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是，根据《基础设施和公共事业特许经营管理办法》第十七条规定，在此载明本项目需要成立项目公司</w:t>
            </w:r>
            <w:r>
              <w:rPr>
                <w:rFonts w:hint="eastAsia"/>
                <w:color w:val="auto"/>
                <w:sz w:val="21"/>
                <w:szCs w:val="21"/>
                <w:highlight w:val="none"/>
                <w:lang w:val="en-US" w:eastAsia="zh-CN"/>
              </w:rPr>
              <w:t>。</w:t>
            </w:r>
          </w:p>
        </w:tc>
      </w:tr>
      <w:tr w14:paraId="58C9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4D078250">
            <w:pPr>
              <w:spacing w:line="36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1.3.</w:t>
            </w:r>
            <w:r>
              <w:rPr>
                <w:rFonts w:hint="eastAsia" w:ascii="宋体" w:hAnsi="宋体" w:cs="宋体"/>
                <w:color w:val="auto"/>
                <w:sz w:val="21"/>
                <w:szCs w:val="21"/>
                <w:highlight w:val="none"/>
                <w:lang w:val="en-US" w:eastAsia="zh-CN"/>
              </w:rPr>
              <w:t>5</w:t>
            </w:r>
          </w:p>
        </w:tc>
        <w:tc>
          <w:tcPr>
            <w:tcW w:w="1997" w:type="dxa"/>
            <w:vAlign w:val="center"/>
          </w:tcPr>
          <w:p w14:paraId="3154ECF8">
            <w:pPr>
              <w:spacing w:line="360" w:lineRule="auto"/>
              <w:ind w:firstLine="315"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标段划分</w:t>
            </w:r>
          </w:p>
        </w:tc>
        <w:tc>
          <w:tcPr>
            <w:tcW w:w="6718" w:type="dxa"/>
            <w:vAlign w:val="center"/>
          </w:tcPr>
          <w:p w14:paraId="783979D9">
            <w:pPr>
              <w:spacing w:line="360" w:lineRule="auto"/>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本次招标只设一个标段</w:t>
            </w:r>
          </w:p>
        </w:tc>
      </w:tr>
      <w:tr w14:paraId="2207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300CF860">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1.4.1</w:t>
            </w:r>
          </w:p>
        </w:tc>
        <w:tc>
          <w:tcPr>
            <w:tcW w:w="1997" w:type="dxa"/>
            <w:vAlign w:val="center"/>
          </w:tcPr>
          <w:p w14:paraId="3120E44E">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投标人资格要求</w:t>
            </w:r>
          </w:p>
        </w:tc>
        <w:tc>
          <w:tcPr>
            <w:tcW w:w="6718" w:type="dxa"/>
            <w:vAlign w:val="center"/>
          </w:tcPr>
          <w:p w14:paraId="5649F8B6">
            <w:pPr>
              <w:spacing w:line="336"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同</w:t>
            </w:r>
            <w:r>
              <w:rPr>
                <w:rFonts w:hint="eastAsia" w:ascii="宋体" w:hAnsi="宋体" w:eastAsia="宋体" w:cs="宋体"/>
                <w:color w:val="auto"/>
                <w:sz w:val="21"/>
                <w:szCs w:val="21"/>
                <w:highlight w:val="none"/>
                <w:lang w:val="en-US" w:eastAsia="zh-CN"/>
              </w:rPr>
              <w:t>第一章招标公告</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（三）</w:t>
            </w:r>
            <w:r>
              <w:rPr>
                <w:rFonts w:hint="eastAsia" w:ascii="宋体" w:hAnsi="宋体" w:cs="宋体"/>
                <w:color w:val="auto"/>
                <w:sz w:val="21"/>
                <w:szCs w:val="21"/>
                <w:highlight w:val="none"/>
              </w:rPr>
              <w:t>投标人资格要求”</w:t>
            </w:r>
          </w:p>
        </w:tc>
      </w:tr>
      <w:tr w14:paraId="1634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785866BE">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1.4.2</w:t>
            </w:r>
          </w:p>
        </w:tc>
        <w:tc>
          <w:tcPr>
            <w:tcW w:w="1997" w:type="dxa"/>
            <w:vAlign w:val="center"/>
          </w:tcPr>
          <w:p w14:paraId="72ED734B">
            <w:pPr>
              <w:spacing w:line="360" w:lineRule="auto"/>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w:t>
            </w:r>
          </w:p>
        </w:tc>
        <w:tc>
          <w:tcPr>
            <w:tcW w:w="6718" w:type="dxa"/>
            <w:vAlign w:val="center"/>
          </w:tcPr>
          <w:p w14:paraId="148368D1">
            <w:pPr>
              <w:spacing w:line="360" w:lineRule="auto"/>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接受联合体投标。</w:t>
            </w:r>
          </w:p>
        </w:tc>
      </w:tr>
      <w:tr w14:paraId="649C2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993" w:type="dxa"/>
            <w:vAlign w:val="center"/>
          </w:tcPr>
          <w:p w14:paraId="0D7E2DF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1.9.1</w:t>
            </w:r>
          </w:p>
        </w:tc>
        <w:tc>
          <w:tcPr>
            <w:tcW w:w="1997" w:type="dxa"/>
            <w:vAlign w:val="center"/>
          </w:tcPr>
          <w:p w14:paraId="740AD2CE">
            <w:pPr>
              <w:spacing w:line="360" w:lineRule="auto"/>
              <w:ind w:firstLine="315"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踏勘现场</w:t>
            </w:r>
          </w:p>
        </w:tc>
        <w:tc>
          <w:tcPr>
            <w:tcW w:w="6718" w:type="dxa"/>
            <w:shd w:val="clear" w:color="auto" w:fill="auto"/>
            <w:vAlign w:val="center"/>
          </w:tcPr>
          <w:p w14:paraId="768686A0">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□组织</w:t>
            </w:r>
          </w:p>
          <w:p w14:paraId="06CA6BF9">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■不统一组织。</w:t>
            </w:r>
          </w:p>
          <w:p w14:paraId="5AA2089C">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1.投标人应自行踏勘；</w:t>
            </w:r>
          </w:p>
          <w:p w14:paraId="77BB86DA">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2.投标人踏勘现场发生的费用自理；</w:t>
            </w:r>
          </w:p>
          <w:p w14:paraId="7CAE57DE">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3.投标人自行负责在踏勘现场中所发生的人员伤亡和财产损失。</w:t>
            </w:r>
          </w:p>
        </w:tc>
      </w:tr>
      <w:tr w14:paraId="6F0A6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993" w:type="dxa"/>
            <w:vAlign w:val="center"/>
          </w:tcPr>
          <w:p w14:paraId="47860630">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1.10.1</w:t>
            </w:r>
          </w:p>
        </w:tc>
        <w:tc>
          <w:tcPr>
            <w:tcW w:w="1997" w:type="dxa"/>
            <w:vAlign w:val="center"/>
          </w:tcPr>
          <w:p w14:paraId="0B62A18C">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投标预备会</w:t>
            </w:r>
          </w:p>
        </w:tc>
        <w:tc>
          <w:tcPr>
            <w:tcW w:w="6718" w:type="dxa"/>
            <w:vAlign w:val="center"/>
          </w:tcPr>
          <w:p w14:paraId="2B1F8582">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不召开</w:t>
            </w:r>
          </w:p>
        </w:tc>
      </w:tr>
      <w:tr w14:paraId="1D2C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993" w:type="dxa"/>
            <w:vAlign w:val="center"/>
          </w:tcPr>
          <w:p w14:paraId="443FEB4C">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1.10.2</w:t>
            </w:r>
          </w:p>
        </w:tc>
        <w:tc>
          <w:tcPr>
            <w:tcW w:w="1997" w:type="dxa"/>
            <w:vAlign w:val="center"/>
          </w:tcPr>
          <w:p w14:paraId="0FBC143D">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投标人提出问题的截止时间和方法</w:t>
            </w:r>
          </w:p>
        </w:tc>
        <w:tc>
          <w:tcPr>
            <w:tcW w:w="6718" w:type="dxa"/>
            <w:vAlign w:val="center"/>
          </w:tcPr>
          <w:p w14:paraId="72FBB2F5">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在投标截止时间10日前，所有获取了招标文件的潜在投标人凭企业数字证书（CA）登录</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input434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，通过网络在线方式向招标人或招标代理进行署名提问，招标人或招标代理需对所有潜在投标人进行统一回复。</w:t>
            </w:r>
          </w:p>
        </w:tc>
      </w:tr>
      <w:tr w14:paraId="58806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93" w:type="dxa"/>
            <w:vAlign w:val="center"/>
          </w:tcPr>
          <w:p w14:paraId="43881FDC">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1.10.3</w:t>
            </w:r>
          </w:p>
        </w:tc>
        <w:tc>
          <w:tcPr>
            <w:tcW w:w="1997" w:type="dxa"/>
            <w:vAlign w:val="center"/>
          </w:tcPr>
          <w:p w14:paraId="532557C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招标人澄清的时间和方法</w:t>
            </w:r>
          </w:p>
        </w:tc>
        <w:tc>
          <w:tcPr>
            <w:tcW w:w="6718" w:type="dxa"/>
            <w:vAlign w:val="center"/>
          </w:tcPr>
          <w:p w14:paraId="7311B06E">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投标截止时间至少15日前，由招标人以补遗书方式按程序报有关主管部门备案后，提交公共资源交易中心统一通过网络向潜在投标人发布，所有获取了招标文件的潜在投标人登录</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input438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凭企业身份认证数字证书（CA）查看澄清内容。</w:t>
            </w:r>
          </w:p>
        </w:tc>
      </w:tr>
      <w:tr w14:paraId="4DFE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93" w:type="dxa"/>
            <w:vAlign w:val="center"/>
          </w:tcPr>
          <w:p w14:paraId="73FB2DE2">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1.11</w:t>
            </w:r>
          </w:p>
        </w:tc>
        <w:tc>
          <w:tcPr>
            <w:tcW w:w="1997" w:type="dxa"/>
            <w:vAlign w:val="center"/>
          </w:tcPr>
          <w:p w14:paraId="443764CE">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分包</w:t>
            </w:r>
          </w:p>
        </w:tc>
        <w:tc>
          <w:tcPr>
            <w:tcW w:w="6718" w:type="dxa"/>
            <w:shd w:val="clear" w:color="auto" w:fill="auto"/>
            <w:vAlign w:val="center"/>
          </w:tcPr>
          <w:p w14:paraId="67EC8C9A">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input408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不允许</w:t>
            </w:r>
          </w:p>
          <w:p w14:paraId="284C96EF">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input409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允许,</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input412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end"/>
            </w:r>
          </w:p>
          <w:p w14:paraId="61813F82">
            <w:pPr>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tc>
      </w:tr>
      <w:tr w14:paraId="5E76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93" w:type="dxa"/>
            <w:vAlign w:val="center"/>
          </w:tcPr>
          <w:p w14:paraId="473079D4">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1.12</w:t>
            </w:r>
          </w:p>
        </w:tc>
        <w:tc>
          <w:tcPr>
            <w:tcW w:w="1997" w:type="dxa"/>
            <w:vAlign w:val="center"/>
          </w:tcPr>
          <w:p w14:paraId="1C5B976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偏离</w:t>
            </w:r>
          </w:p>
        </w:tc>
        <w:tc>
          <w:tcPr>
            <w:tcW w:w="6718" w:type="dxa"/>
            <w:vAlign w:val="center"/>
          </w:tcPr>
          <w:p w14:paraId="7D005CE5">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投标文件偏离招标文件的非实质性要求和条件的由评委处理</w:t>
            </w:r>
          </w:p>
        </w:tc>
      </w:tr>
      <w:tr w14:paraId="2986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93" w:type="dxa"/>
            <w:vAlign w:val="center"/>
          </w:tcPr>
          <w:p w14:paraId="74D9B67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2.2.1</w:t>
            </w:r>
          </w:p>
        </w:tc>
        <w:tc>
          <w:tcPr>
            <w:tcW w:w="1997" w:type="dxa"/>
            <w:vAlign w:val="center"/>
          </w:tcPr>
          <w:p w14:paraId="4A1D9485">
            <w:pPr>
              <w:keepNext/>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投标人要求澄清招标文件的截止时间</w:t>
            </w:r>
          </w:p>
        </w:tc>
        <w:tc>
          <w:tcPr>
            <w:tcW w:w="6718" w:type="dxa"/>
            <w:vAlign w:val="center"/>
          </w:tcPr>
          <w:p w14:paraId="65EEF008">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2的时间要求</w:t>
            </w:r>
          </w:p>
          <w:p w14:paraId="306FE18F">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投标人应仔细阅读和检查招标文件的全部内容。如发现缺页或附件不全，应及时向招标人提出，以便补齐。如有疑问，应在投标人须知前附表规定的时间前以在线不署名提交方式登录</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input440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，要求招标人对招标文件予以澄清。</w:t>
            </w:r>
          </w:p>
        </w:tc>
      </w:tr>
      <w:tr w14:paraId="0A02B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3" w:type="dxa"/>
            <w:vAlign w:val="center"/>
          </w:tcPr>
          <w:p w14:paraId="2D8142F9">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2.2.2</w:t>
            </w:r>
          </w:p>
        </w:tc>
        <w:tc>
          <w:tcPr>
            <w:tcW w:w="1997" w:type="dxa"/>
            <w:vAlign w:val="center"/>
          </w:tcPr>
          <w:p w14:paraId="60C12DF5">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投标截止时间</w:t>
            </w:r>
          </w:p>
        </w:tc>
        <w:tc>
          <w:tcPr>
            <w:tcW w:w="6718" w:type="dxa"/>
            <w:vAlign w:val="center"/>
          </w:tcPr>
          <w:p w14:paraId="0053B6B1">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以网上公告时间为准。</w:t>
            </w:r>
          </w:p>
        </w:tc>
      </w:tr>
      <w:tr w14:paraId="2602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3" w:type="dxa"/>
            <w:vAlign w:val="center"/>
          </w:tcPr>
          <w:p w14:paraId="2AE528A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2.2.3</w:t>
            </w:r>
          </w:p>
        </w:tc>
        <w:tc>
          <w:tcPr>
            <w:tcW w:w="1997" w:type="dxa"/>
            <w:vAlign w:val="center"/>
          </w:tcPr>
          <w:p w14:paraId="2C47DCF2">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投标人确认收到招标文件澄清的时间</w:t>
            </w:r>
          </w:p>
        </w:tc>
        <w:tc>
          <w:tcPr>
            <w:tcW w:w="6718" w:type="dxa"/>
            <w:vAlign w:val="center"/>
          </w:tcPr>
          <w:p w14:paraId="24157863">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投标人自行登录</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input442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获取澄清，无须回复确认已收到该澄清。</w:t>
            </w:r>
          </w:p>
        </w:tc>
      </w:tr>
      <w:tr w14:paraId="7F14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3" w:type="dxa"/>
            <w:vAlign w:val="center"/>
          </w:tcPr>
          <w:p w14:paraId="564B443F">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2.3.2</w:t>
            </w:r>
          </w:p>
        </w:tc>
        <w:tc>
          <w:tcPr>
            <w:tcW w:w="1997" w:type="dxa"/>
            <w:vAlign w:val="center"/>
          </w:tcPr>
          <w:p w14:paraId="336263C9">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投标人确认收到招标文件修改的时间</w:t>
            </w:r>
          </w:p>
        </w:tc>
        <w:tc>
          <w:tcPr>
            <w:tcW w:w="6718" w:type="dxa"/>
            <w:vAlign w:val="center"/>
          </w:tcPr>
          <w:p w14:paraId="4E7AA249">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投标人自行登录</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input443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收取修改内容，无须回复确认已收到该修改。</w:t>
            </w:r>
          </w:p>
        </w:tc>
      </w:tr>
      <w:tr w14:paraId="759C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93" w:type="dxa"/>
            <w:vAlign w:val="center"/>
          </w:tcPr>
          <w:p w14:paraId="75E2020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3.2</w:t>
            </w:r>
          </w:p>
        </w:tc>
        <w:tc>
          <w:tcPr>
            <w:tcW w:w="1997" w:type="dxa"/>
            <w:vAlign w:val="center"/>
          </w:tcPr>
          <w:p w14:paraId="65C1D802">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最高投标限价</w:t>
            </w:r>
          </w:p>
        </w:tc>
        <w:tc>
          <w:tcPr>
            <w:tcW w:w="6718" w:type="dxa"/>
            <w:vAlign w:val="center"/>
          </w:tcPr>
          <w:p w14:paraId="287E1A3F">
            <w:pPr>
              <w:spacing w:line="440" w:lineRule="exact"/>
              <w:ind w:left="0" w:leftChars="0" w:firstLine="0" w:firstLineChars="0"/>
              <w:rPr>
                <w:rFonts w:hint="eastAsia" w:ascii="宋体" w:hAnsi="宋体" w:cs="宋体"/>
                <w:color w:val="FF0000"/>
                <w:lang w:val="en-US" w:eastAsia="zh-CN"/>
              </w:rPr>
            </w:pPr>
            <w:r>
              <w:rPr>
                <w:rFonts w:hint="eastAsia" w:ascii="宋体" w:hAnsi="宋体" w:cs="宋体"/>
                <w:color w:val="FF0000"/>
                <w:lang w:val="en-US" w:eastAsia="zh-CN"/>
              </w:rPr>
              <w:t>最高投标限价：280元/吨（大写：贰佰捌拾元每吨），该费用为全包综合单价，涵盖餐厨垃圾收集、转运、场地及设备使用、无害化处理及资源化利用等全过程服务所需全部成本与合理收益。</w:t>
            </w:r>
          </w:p>
          <w:p w14:paraId="1D7F9C8B">
            <w:pPr>
              <w:numPr>
                <w:ilvl w:val="0"/>
                <w:numId w:val="0"/>
              </w:num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投标报价不得高于最高投标限价，否则按无效投标处理。</w:t>
            </w:r>
          </w:p>
        </w:tc>
      </w:tr>
      <w:tr w14:paraId="64801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993" w:type="dxa"/>
            <w:vAlign w:val="center"/>
          </w:tcPr>
          <w:p w14:paraId="5EE73296">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3.3.1</w:t>
            </w:r>
          </w:p>
        </w:tc>
        <w:tc>
          <w:tcPr>
            <w:tcW w:w="1997" w:type="dxa"/>
            <w:vAlign w:val="center"/>
          </w:tcPr>
          <w:p w14:paraId="0BEDEBB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投标有效期</w:t>
            </w:r>
          </w:p>
        </w:tc>
        <w:tc>
          <w:tcPr>
            <w:tcW w:w="6718" w:type="dxa"/>
            <w:vAlign w:val="center"/>
          </w:tcPr>
          <w:p w14:paraId="56A4B696">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90</w:t>
            </w:r>
            <w:r>
              <w:rPr>
                <w:rFonts w:hint="eastAsia" w:ascii="宋体" w:hAnsi="宋体" w:cs="宋体"/>
                <w:color w:val="auto"/>
                <w:sz w:val="21"/>
                <w:szCs w:val="21"/>
                <w:highlight w:val="none"/>
              </w:rPr>
              <w:t>日历天</w:t>
            </w:r>
          </w:p>
        </w:tc>
      </w:tr>
      <w:tr w14:paraId="226E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93" w:type="dxa"/>
            <w:vAlign w:val="center"/>
          </w:tcPr>
          <w:p w14:paraId="1A28675C">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3.4.1</w:t>
            </w:r>
          </w:p>
        </w:tc>
        <w:tc>
          <w:tcPr>
            <w:tcW w:w="1997" w:type="dxa"/>
            <w:vAlign w:val="center"/>
          </w:tcPr>
          <w:p w14:paraId="0AE24725">
            <w:pPr>
              <w:spacing w:line="360" w:lineRule="auto"/>
              <w:ind w:firstLine="0"/>
              <w:jc w:val="center"/>
              <w:rPr>
                <w:rFonts w:hint="eastAsia"/>
                <w:color w:val="auto"/>
                <w:sz w:val="21"/>
                <w:szCs w:val="21"/>
                <w:highlight w:val="none"/>
              </w:rPr>
            </w:pPr>
            <w:r>
              <w:rPr>
                <w:rFonts w:hint="eastAsia"/>
                <w:color w:val="auto"/>
                <w:sz w:val="21"/>
                <w:szCs w:val="21"/>
                <w:highlight w:val="none"/>
              </w:rPr>
              <w:t>投标保证金</w:t>
            </w:r>
          </w:p>
        </w:tc>
        <w:tc>
          <w:tcPr>
            <w:tcW w:w="6718" w:type="dxa"/>
            <w:vAlign w:val="center"/>
          </w:tcPr>
          <w:p w14:paraId="7CFE0DD2">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input141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不要求递交投标保证金</w:t>
            </w:r>
          </w:p>
          <w:p w14:paraId="0672291E">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input142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要求递交投标保证金</w:t>
            </w:r>
          </w:p>
          <w:p w14:paraId="0C5FCB35">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本项目为政府投资项目，招标金额为</w:t>
            </w:r>
            <w:r>
              <w:rPr>
                <w:rFonts w:hint="eastAsia" w:ascii="宋体" w:hAnsi="宋体" w:cs="宋体"/>
                <w:color w:val="auto"/>
                <w:sz w:val="21"/>
                <w:szCs w:val="21"/>
                <w:highlight w:val="none"/>
                <w:lang w:val="en-US" w:eastAsia="zh-CN"/>
              </w:rPr>
              <w:t>1200</w:t>
            </w:r>
            <w:r>
              <w:rPr>
                <w:rFonts w:hint="default" w:ascii="宋体" w:hAnsi="宋体" w:cs="宋体"/>
                <w:color w:val="auto"/>
                <w:sz w:val="21"/>
                <w:szCs w:val="21"/>
                <w:highlight w:val="none"/>
                <w:lang w:val="en-US" w:eastAsia="zh-CN"/>
              </w:rPr>
              <w:t>万元。根据投标保证金减免相关规定，对本项目投标保证金给予减免。投标人可采用保险保函、银行转账任一形式缴纳投标保证金。</w:t>
            </w:r>
          </w:p>
          <w:p w14:paraId="3817BDBB">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1</w:t>
            </w:r>
            <w:r>
              <w:rPr>
                <w:rFonts w:hint="default" w:ascii="宋体" w:hAnsi="宋体" w:cs="宋体"/>
                <w:color w:val="auto"/>
                <w:sz w:val="21"/>
                <w:szCs w:val="21"/>
                <w:highlight w:val="none"/>
                <w:lang w:val="en-US" w:eastAsia="zh-CN"/>
              </w:rPr>
              <w:t>）降低收取</w:t>
            </w:r>
            <w:r>
              <w:rPr>
                <w:rFonts w:hint="eastAsia" w:ascii="宋体" w:hAnsi="宋体" w:cs="宋体"/>
                <w:color w:val="auto"/>
                <w:sz w:val="21"/>
                <w:szCs w:val="21"/>
                <w:highlight w:val="none"/>
                <w:lang w:val="en-US" w:eastAsia="zh-CN"/>
              </w:rPr>
              <w:t>金</w:t>
            </w:r>
            <w:r>
              <w:rPr>
                <w:rFonts w:hint="default" w:ascii="宋体" w:hAnsi="宋体" w:cs="宋体"/>
                <w:color w:val="auto"/>
                <w:sz w:val="21"/>
                <w:szCs w:val="21"/>
                <w:highlight w:val="none"/>
                <w:lang w:val="en-US" w:eastAsia="zh-CN"/>
              </w:rPr>
              <w:t>额。按照投标保证金不得超过招标项目估算价的2%的规定，本项目应收取投标保证金金额为</w:t>
            </w:r>
            <w:r>
              <w:rPr>
                <w:rFonts w:hint="eastAsia" w:ascii="宋体" w:hAnsi="宋体" w:cs="宋体"/>
                <w:color w:val="auto"/>
                <w:sz w:val="21"/>
                <w:szCs w:val="21"/>
                <w:highlight w:val="none"/>
                <w:lang w:val="en-US" w:eastAsia="zh-CN"/>
              </w:rPr>
              <w:t>24.00</w:t>
            </w:r>
            <w:r>
              <w:rPr>
                <w:rFonts w:hint="default" w:ascii="宋体" w:hAnsi="宋体" w:cs="宋体"/>
                <w:color w:val="auto"/>
                <w:sz w:val="21"/>
                <w:szCs w:val="21"/>
                <w:highlight w:val="none"/>
                <w:lang w:val="en-US" w:eastAsia="zh-CN"/>
              </w:rPr>
              <w:t>万元。现落实减免投标保证金降幅不得低于现收取</w:t>
            </w:r>
            <w:r>
              <w:rPr>
                <w:rFonts w:hint="eastAsia" w:ascii="宋体" w:hAnsi="宋体" w:cs="宋体"/>
                <w:color w:val="auto"/>
                <w:sz w:val="21"/>
                <w:szCs w:val="21"/>
                <w:highlight w:val="none"/>
                <w:lang w:val="en-US" w:eastAsia="zh-CN"/>
              </w:rPr>
              <w:t>金</w:t>
            </w:r>
            <w:r>
              <w:rPr>
                <w:rFonts w:hint="default" w:ascii="宋体" w:hAnsi="宋体" w:cs="宋体"/>
                <w:color w:val="auto"/>
                <w:sz w:val="21"/>
                <w:szCs w:val="21"/>
                <w:highlight w:val="none"/>
                <w:lang w:val="en-US" w:eastAsia="zh-CN"/>
              </w:rPr>
              <w:t>额的50%的政策要求，实际收取</w:t>
            </w:r>
            <w:r>
              <w:rPr>
                <w:rFonts w:hint="eastAsia" w:ascii="宋体" w:hAnsi="宋体" w:cs="宋体"/>
                <w:color w:val="auto"/>
                <w:sz w:val="21"/>
                <w:szCs w:val="21"/>
                <w:highlight w:val="none"/>
                <w:lang w:val="en-US" w:eastAsia="zh-CN"/>
              </w:rPr>
              <w:t>10.00</w:t>
            </w:r>
            <w:r>
              <w:rPr>
                <w:rFonts w:hint="default" w:ascii="宋体" w:hAnsi="宋体" w:cs="宋体"/>
                <w:color w:val="auto"/>
                <w:sz w:val="21"/>
                <w:szCs w:val="21"/>
                <w:highlight w:val="none"/>
                <w:lang w:val="en-US" w:eastAsia="zh-CN"/>
              </w:rPr>
              <w:t>万元，降幅为</w:t>
            </w:r>
            <w:r>
              <w:rPr>
                <w:rFonts w:hint="eastAsia" w:ascii="宋体" w:hAnsi="宋体" w:cs="宋体"/>
                <w:color w:val="auto"/>
                <w:sz w:val="21"/>
                <w:szCs w:val="21"/>
                <w:highlight w:val="none"/>
                <w:lang w:val="en-US" w:eastAsia="zh-CN"/>
              </w:rPr>
              <w:t>58.00</w:t>
            </w:r>
            <w:r>
              <w:rPr>
                <w:rFonts w:hint="default" w:ascii="宋体" w:hAnsi="宋体" w:cs="宋体"/>
                <w:color w:val="auto"/>
                <w:sz w:val="21"/>
                <w:szCs w:val="21"/>
                <w:highlight w:val="none"/>
                <w:lang w:val="en-US" w:eastAsia="zh-CN"/>
              </w:rPr>
              <w:t>％。</w:t>
            </w:r>
          </w:p>
          <w:p w14:paraId="1574333B">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w:t>
            </w:r>
            <w:r>
              <w:rPr>
                <w:rFonts w:hint="default" w:ascii="宋体" w:hAnsi="宋体" w:cs="宋体"/>
                <w:color w:val="auto"/>
                <w:sz w:val="21"/>
                <w:szCs w:val="21"/>
                <w:highlight w:val="none"/>
                <w:lang w:val="en-US" w:eastAsia="zh-CN"/>
              </w:rPr>
              <w:t>）银行转账。投标人使用注册企业数字证书（CA）时提供的基本账户，向本项目交易保证金账户转账，收款银行及（动态）账号如下。</w:t>
            </w:r>
          </w:p>
          <w:p w14:paraId="0A699086">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户名：</w:t>
            </w:r>
            <w:r>
              <w:rPr>
                <w:rFonts w:hint="eastAsia" w:ascii="宋体" w:hAnsi="宋体" w:cs="宋体"/>
                <w:color w:val="auto"/>
                <w:sz w:val="21"/>
                <w:szCs w:val="21"/>
                <w:highlight w:val="none"/>
                <w:lang w:val="en-US" w:eastAsia="zh-CN"/>
              </w:rPr>
              <w:fldChar w:fldCharType="begin"/>
            </w:r>
            <w:r>
              <w:rPr>
                <w:rFonts w:hint="eastAsia" w:ascii="宋体" w:hAnsi="宋体" w:cs="宋体"/>
                <w:color w:val="auto"/>
                <w:sz w:val="21"/>
                <w:szCs w:val="21"/>
                <w:highlight w:val="none"/>
                <w:lang w:val="en-US" w:eastAsia="zh-CN"/>
              </w:rPr>
              <w:instrText xml:space="preserve"> AUTOTEXT  input469 \* MERGEFORMAT </w:instrText>
            </w:r>
            <w:r>
              <w:rPr>
                <w:rFonts w:hint="eastAsia" w:ascii="宋体" w:hAnsi="宋体" w:cs="宋体"/>
                <w:color w:val="auto"/>
                <w:sz w:val="21"/>
                <w:szCs w:val="21"/>
                <w:highlight w:val="none"/>
                <w:lang w:val="en-US" w:eastAsia="zh-CN"/>
              </w:rPr>
              <w:fldChar w:fldCharType="separate"/>
            </w:r>
            <w:r>
              <w:rPr>
                <w:rFonts w:hint="eastAsia" w:ascii="宋体" w:hAnsi="宋体" w:cs="宋体"/>
                <w:color w:val="auto"/>
                <w:sz w:val="21"/>
                <w:szCs w:val="21"/>
                <w:highlight w:val="none"/>
                <w:lang w:val="en-US" w:eastAsia="zh-CN"/>
              </w:rPr>
              <w:t>牟定县公共资源交易中心交易保证金专户</w:t>
            </w:r>
            <w:r>
              <w:rPr>
                <w:rFonts w:hint="eastAsia" w:ascii="宋体" w:hAnsi="宋体" w:cs="宋体"/>
                <w:color w:val="auto"/>
                <w:sz w:val="21"/>
                <w:szCs w:val="21"/>
                <w:highlight w:val="none"/>
                <w:lang w:val="en-US" w:eastAsia="zh-CN"/>
              </w:rPr>
              <w:fldChar w:fldCharType="end"/>
            </w:r>
          </w:p>
          <w:p w14:paraId="494AA55F">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银行：</w:t>
            </w:r>
            <w:r>
              <w:rPr>
                <w:rFonts w:hint="eastAsia" w:ascii="宋体" w:hAnsi="宋体" w:cs="宋体"/>
                <w:color w:val="auto"/>
                <w:sz w:val="21"/>
                <w:szCs w:val="21"/>
                <w:highlight w:val="none"/>
                <w:lang w:val="en-US" w:eastAsia="zh-CN"/>
              </w:rPr>
              <w:t>中国农业银行股份有限公司牟定县支行</w:t>
            </w:r>
          </w:p>
          <w:p w14:paraId="2F8D2A04">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账号：</w:t>
            </w:r>
          </w:p>
          <w:p w14:paraId="7433832D">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1EB45BB1">
            <w:pPr>
              <w:numPr>
                <w:ilvl w:val="0"/>
                <w:numId w:val="0"/>
              </w:numPr>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3</w:t>
            </w:r>
            <w:r>
              <w:rPr>
                <w:rFonts w:hint="default" w:ascii="宋体" w:hAnsi="宋体" w:cs="宋体"/>
                <w:color w:val="auto"/>
                <w:sz w:val="21"/>
                <w:szCs w:val="21"/>
                <w:highlight w:val="none"/>
                <w:lang w:val="en-US" w:eastAsia="zh-CN"/>
              </w:rPr>
              <w:t>）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5691C0F2">
            <w:pPr>
              <w:numPr>
                <w:ilvl w:val="0"/>
                <w:numId w:val="0"/>
              </w:numPr>
              <w:spacing w:line="360" w:lineRule="auto"/>
              <w:rPr>
                <w:rFonts w:hint="eastAsia" w:ascii="宋体" w:hAnsi="宋体" w:eastAsia="宋体" w:cs="宋体"/>
                <w:color w:val="auto"/>
                <w:sz w:val="21"/>
                <w:szCs w:val="21"/>
                <w:highlight w:val="none"/>
              </w:rPr>
            </w:pPr>
            <w:r>
              <w:rPr>
                <w:rFonts w:hint="default" w:ascii="宋体" w:hAnsi="宋体" w:cs="宋体"/>
                <w:color w:val="auto"/>
                <w:sz w:val="21"/>
                <w:szCs w:val="21"/>
                <w:highlight w:val="none"/>
                <w:lang w:val="en-US" w:eastAsia="zh-CN"/>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r>
              <w:rPr>
                <w:rFonts w:hint="eastAsia" w:ascii="宋体" w:hAnsi="宋体" w:eastAsia="宋体" w:cs="宋体"/>
                <w:color w:val="auto"/>
                <w:sz w:val="21"/>
                <w:szCs w:val="21"/>
                <w:highlight w:val="none"/>
              </w:rPr>
              <w:t xml:space="preserve">                                                                                           </w:t>
            </w:r>
          </w:p>
          <w:p w14:paraId="6776F952">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）注意事项：</w:t>
            </w:r>
          </w:p>
          <w:p w14:paraId="3911407F">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投标人投同一项目下两个及以上标段的，应按标段分别提交保证金。</w:t>
            </w:r>
          </w:p>
          <w:p w14:paraId="2507CA22">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若以银行转账、网银、电汇方式提交至交易中心专用账户的投标保证金，投标人须在云南省公共资源交易系统中进行绑定。</w:t>
            </w:r>
          </w:p>
          <w:p w14:paraId="35E87CBF">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投标人应充分考虑各种形式投标保证金提交时间，未在投标保证金缴纳截止时间前到账的投标保证金视为未提交。</w:t>
            </w:r>
          </w:p>
          <w:p w14:paraId="5506BE27">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因不可抗力因素导致投标人无法在投标截止时间前按时缴纳保证金、保函、保险等情况下，投标人需在开标时提供相关情况说明，经招标人核实同意后，可以认可投标人已按时缴纳保证金、保函、保险。后续保证金是否缴纳，请招标人自行确定。   </w:t>
            </w:r>
          </w:p>
        </w:tc>
      </w:tr>
      <w:tr w14:paraId="1A53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93" w:type="dxa"/>
            <w:vAlign w:val="center"/>
          </w:tcPr>
          <w:p w14:paraId="4936FAB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3.4.3</w:t>
            </w:r>
          </w:p>
        </w:tc>
        <w:tc>
          <w:tcPr>
            <w:tcW w:w="1997" w:type="dxa"/>
            <w:vAlign w:val="center"/>
          </w:tcPr>
          <w:p w14:paraId="5AD99543">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投标保证金的退还</w:t>
            </w:r>
          </w:p>
        </w:tc>
        <w:tc>
          <w:tcPr>
            <w:tcW w:w="6718" w:type="dxa"/>
            <w:vAlign w:val="center"/>
          </w:tcPr>
          <w:p w14:paraId="16828585">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投标保证金按汇款原账户退回。</w:t>
            </w:r>
          </w:p>
        </w:tc>
      </w:tr>
      <w:tr w14:paraId="7FE9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93" w:type="dxa"/>
            <w:vAlign w:val="center"/>
          </w:tcPr>
          <w:p w14:paraId="26CB60EE">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3.5.2</w:t>
            </w:r>
          </w:p>
        </w:tc>
        <w:tc>
          <w:tcPr>
            <w:tcW w:w="1997" w:type="dxa"/>
            <w:vAlign w:val="center"/>
          </w:tcPr>
          <w:p w14:paraId="0B093792">
            <w:pPr>
              <w:spacing w:line="192"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近年财务状况的年份要求</w:t>
            </w:r>
          </w:p>
        </w:tc>
        <w:tc>
          <w:tcPr>
            <w:tcW w:w="6718" w:type="dxa"/>
            <w:vAlign w:val="center"/>
          </w:tcPr>
          <w:p w14:paraId="20CC33BF">
            <w:pPr>
              <w:spacing w:line="360" w:lineRule="auto"/>
              <w:ind w:firstLine="0"/>
              <w:rPr>
                <w:rFonts w:hint="eastAsia" w:ascii="宋体" w:hAnsi="宋体" w:cs="宋体"/>
                <w:color w:val="auto"/>
                <w:sz w:val="21"/>
                <w:szCs w:val="21"/>
                <w:highlight w:val="none"/>
              </w:rPr>
            </w:pPr>
            <w:r>
              <w:rPr>
                <w:rFonts w:hint="eastAsia" w:ascii="宋体" w:hAnsi="宋体" w:cs="宋体"/>
                <w:snapToGrid w:val="0"/>
                <w:color w:val="FF0000"/>
                <w:sz w:val="21"/>
                <w:szCs w:val="21"/>
                <w:highlight w:val="none"/>
                <w:lang w:val="en-US" w:eastAsia="zh-CN"/>
              </w:rPr>
              <w:t>2022年至</w:t>
            </w:r>
            <w:r>
              <w:rPr>
                <w:rFonts w:hint="eastAsia" w:ascii="宋体" w:hAnsi="宋体" w:cs="宋体"/>
                <w:snapToGrid w:val="0"/>
                <w:color w:val="FF0000"/>
                <w:sz w:val="21"/>
                <w:szCs w:val="21"/>
                <w:highlight w:val="none"/>
              </w:rPr>
              <w:t>202</w:t>
            </w:r>
            <w:r>
              <w:rPr>
                <w:rFonts w:hint="eastAsia" w:ascii="宋体" w:hAnsi="宋体" w:cs="宋体"/>
                <w:snapToGrid w:val="0"/>
                <w:color w:val="FF0000"/>
                <w:sz w:val="21"/>
                <w:szCs w:val="21"/>
                <w:highlight w:val="none"/>
                <w:lang w:val="en-US" w:eastAsia="zh-CN"/>
              </w:rPr>
              <w:t>4</w:t>
            </w:r>
            <w:r>
              <w:rPr>
                <w:rFonts w:hint="eastAsia" w:ascii="宋体" w:hAnsi="宋体" w:cs="宋体"/>
                <w:snapToGrid w:val="0"/>
                <w:color w:val="FF0000"/>
                <w:sz w:val="21"/>
                <w:szCs w:val="21"/>
                <w:highlight w:val="none"/>
              </w:rPr>
              <w:t>年。</w:t>
            </w:r>
          </w:p>
        </w:tc>
      </w:tr>
      <w:tr w14:paraId="29B2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993" w:type="dxa"/>
            <w:vAlign w:val="center"/>
          </w:tcPr>
          <w:p w14:paraId="61C29BA4">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3.6</w:t>
            </w:r>
          </w:p>
        </w:tc>
        <w:tc>
          <w:tcPr>
            <w:tcW w:w="1997" w:type="dxa"/>
            <w:vAlign w:val="center"/>
          </w:tcPr>
          <w:p w14:paraId="4DCD301A">
            <w:pPr>
              <w:spacing w:line="192"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是否允许递交备选投标方案</w:t>
            </w:r>
          </w:p>
        </w:tc>
        <w:tc>
          <w:tcPr>
            <w:tcW w:w="6718" w:type="dxa"/>
            <w:vAlign w:val="center"/>
          </w:tcPr>
          <w:p w14:paraId="05601969">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不允许。</w:t>
            </w:r>
          </w:p>
        </w:tc>
      </w:tr>
      <w:tr w14:paraId="0E70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3" w:type="dxa"/>
            <w:vAlign w:val="center"/>
          </w:tcPr>
          <w:p w14:paraId="782E178F">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3.7.1</w:t>
            </w:r>
          </w:p>
        </w:tc>
        <w:tc>
          <w:tcPr>
            <w:tcW w:w="1997" w:type="dxa"/>
            <w:vAlign w:val="center"/>
          </w:tcPr>
          <w:p w14:paraId="7857C840">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投标文件格式</w:t>
            </w:r>
          </w:p>
        </w:tc>
        <w:tc>
          <w:tcPr>
            <w:tcW w:w="6718" w:type="dxa"/>
            <w:vAlign w:val="center"/>
          </w:tcPr>
          <w:p w14:paraId="6250F1B4">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电子投标文件的制作应使用《云南省工程建设模块化投标文件编制系统》，生成电子签名的投标文件，格式为*.BTBJ。</w:t>
            </w:r>
          </w:p>
        </w:tc>
      </w:tr>
      <w:tr w14:paraId="0681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993" w:type="dxa"/>
            <w:vAlign w:val="center"/>
          </w:tcPr>
          <w:p w14:paraId="3A97CD89">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3.7.3</w:t>
            </w:r>
          </w:p>
        </w:tc>
        <w:tc>
          <w:tcPr>
            <w:tcW w:w="1997" w:type="dxa"/>
            <w:vAlign w:val="center"/>
          </w:tcPr>
          <w:p w14:paraId="63636213">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投标文件的签署</w:t>
            </w:r>
          </w:p>
        </w:tc>
        <w:tc>
          <w:tcPr>
            <w:tcW w:w="6718" w:type="dxa"/>
            <w:vAlign w:val="center"/>
          </w:tcPr>
          <w:p w14:paraId="5A34B100">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按照投标文件格式，采用企业、法定代表人电子签章及数字证书电子签名。</w:t>
            </w:r>
          </w:p>
          <w:p w14:paraId="2B25DA75">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在需要电子签章的地方进行电子签章，无需逐页电子签章。</w:t>
            </w:r>
          </w:p>
        </w:tc>
      </w:tr>
      <w:tr w14:paraId="16AB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03E0A574">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3.7.4</w:t>
            </w:r>
          </w:p>
        </w:tc>
        <w:tc>
          <w:tcPr>
            <w:tcW w:w="1997" w:type="dxa"/>
            <w:vAlign w:val="center"/>
          </w:tcPr>
          <w:p w14:paraId="6D0369DC">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投标文件的递交</w:t>
            </w:r>
          </w:p>
        </w:tc>
        <w:tc>
          <w:tcPr>
            <w:tcW w:w="6718" w:type="dxa"/>
            <w:vAlign w:val="center"/>
          </w:tcPr>
          <w:p w14:paraId="2F60D9CE">
            <w:pPr>
              <w:snapToGrid w:val="0"/>
              <w:spacing w:line="360" w:lineRule="auto"/>
              <w:ind w:firstLine="0"/>
              <w:rPr>
                <w:rFonts w:hint="eastAsia" w:ascii="宋体" w:hAnsi="宋体" w:cs="宋体"/>
                <w:snapToGrid w:val="0"/>
                <w:color w:val="auto"/>
                <w:sz w:val="21"/>
                <w:szCs w:val="21"/>
                <w:highlight w:val="none"/>
              </w:rPr>
            </w:pPr>
            <w:r>
              <w:rPr>
                <w:rFonts w:hint="eastAsia" w:ascii="宋体" w:hAnsi="宋体" w:cs="宋体"/>
                <w:b/>
                <w:snapToGrid w:val="0"/>
                <w:color w:val="auto"/>
                <w:sz w:val="21"/>
                <w:szCs w:val="21"/>
                <w:highlight w:val="none"/>
              </w:rPr>
              <w:t>网上递交：</w:t>
            </w:r>
            <w:r>
              <w:rPr>
                <w:rFonts w:hint="eastAsia" w:ascii="宋体" w:hAnsi="宋体" w:cs="宋体"/>
                <w:color w:val="auto"/>
                <w:sz w:val="21"/>
                <w:szCs w:val="21"/>
                <w:highlight w:val="none"/>
              </w:rPr>
              <w:t>网上递交网址为</w:t>
            </w:r>
            <w:r>
              <w:rPr>
                <w:rFonts w:hint="eastAsia" w:ascii="宋体" w:hAnsi="宋体" w:cs="宋体"/>
                <w:color w:val="auto"/>
                <w:sz w:val="21"/>
                <w:szCs w:val="21"/>
                <w:highlight w:val="none"/>
                <w:u w:val="single"/>
                <w:lang w:val="en-US" w:eastAsia="zh-CN"/>
              </w:rPr>
              <w:t>云南省</w:t>
            </w:r>
            <w:r>
              <w:rPr>
                <w:rFonts w:hint="eastAsia" w:ascii="宋体" w:hAnsi="宋体" w:cs="宋体"/>
                <w:color w:val="auto"/>
                <w:sz w:val="21"/>
                <w:szCs w:val="21"/>
                <w:highlight w:val="none"/>
                <w:u w:val="single"/>
              </w:rPr>
              <w:t>公共资源交易电子服务系统（须进入</w:t>
            </w:r>
            <w:r>
              <w:rPr>
                <w:rFonts w:hint="eastAsia" w:ascii="宋体" w:hAnsi="宋体" w:cs="宋体"/>
                <w:color w:val="auto"/>
                <w:sz w:val="21"/>
                <w:szCs w:val="21"/>
                <w:highlight w:val="none"/>
                <w:u w:val="single"/>
                <w:lang w:eastAsia="zh-CN"/>
              </w:rPr>
              <w:t>https://ggzy.yn.gov.cn/homePage#/homePage</w:t>
            </w:r>
            <w:r>
              <w:rPr>
                <w:rFonts w:hint="eastAsia" w:ascii="宋体" w:hAnsi="宋体" w:cs="宋体"/>
                <w:color w:val="auto"/>
                <w:sz w:val="21"/>
                <w:szCs w:val="21"/>
                <w:highlight w:val="none"/>
                <w:u w:val="single"/>
              </w:rPr>
              <w:t>网站选择“</w:t>
            </w:r>
            <w:r>
              <w:rPr>
                <w:rFonts w:hint="eastAsia" w:ascii="宋体" w:hAnsi="宋体" w:cs="宋体"/>
                <w:color w:val="auto"/>
                <w:sz w:val="21"/>
                <w:szCs w:val="21"/>
                <w:highlight w:val="none"/>
                <w:u w:val="single"/>
                <w:lang w:val="en-US" w:eastAsia="zh-CN"/>
              </w:rPr>
              <w:t>楚雄州</w:t>
            </w:r>
            <w:r>
              <w:rPr>
                <w:rFonts w:hint="eastAsia" w:ascii="宋体" w:hAnsi="宋体" w:cs="宋体"/>
                <w:color w:val="auto"/>
                <w:sz w:val="21"/>
                <w:szCs w:val="21"/>
                <w:highlight w:val="none"/>
                <w:u w:val="single"/>
              </w:rPr>
              <w:t>”跳转进入</w:t>
            </w:r>
            <w:r>
              <w:rPr>
                <w:rFonts w:hint="eastAsia" w:ascii="宋体" w:hAnsi="宋体" w:cs="宋体"/>
                <w:color w:val="auto"/>
                <w:sz w:val="21"/>
                <w:szCs w:val="21"/>
                <w:highlight w:val="none"/>
                <w:u w:val="single"/>
                <w:lang w:eastAsia="zh-CN"/>
              </w:rPr>
              <w:t>楚雄州公共资源交易电子服务系统</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，投标人须在投标截止时间前完成所有投标文件的上传，网上确认电子签名，并打印“上传投标文件回执”，投标截止时间前未完成投标文件传输的，视为撤回投标文件；</w:t>
            </w:r>
          </w:p>
        </w:tc>
      </w:tr>
      <w:tr w14:paraId="037E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66D25B6E">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3.7.5</w:t>
            </w:r>
          </w:p>
        </w:tc>
        <w:tc>
          <w:tcPr>
            <w:tcW w:w="1997" w:type="dxa"/>
            <w:vAlign w:val="center"/>
          </w:tcPr>
          <w:p w14:paraId="588FA271">
            <w:pPr>
              <w:snapToGrid w:val="0"/>
              <w:ind w:firstLine="0"/>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投标文件的加密</w:t>
            </w:r>
          </w:p>
        </w:tc>
        <w:tc>
          <w:tcPr>
            <w:tcW w:w="6718" w:type="dxa"/>
            <w:vAlign w:val="center"/>
          </w:tcPr>
          <w:p w14:paraId="3A60F14B">
            <w:pPr>
              <w:snapToGrid w:val="0"/>
              <w:spacing w:line="360" w:lineRule="auto"/>
              <w:ind w:firstLine="0"/>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网上递交的投标文件应使用数字证书进行加密；</w:t>
            </w:r>
          </w:p>
        </w:tc>
      </w:tr>
      <w:tr w14:paraId="54AD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993" w:type="dxa"/>
            <w:vAlign w:val="center"/>
          </w:tcPr>
          <w:p w14:paraId="6116E5B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4.1</w:t>
            </w:r>
          </w:p>
        </w:tc>
        <w:tc>
          <w:tcPr>
            <w:tcW w:w="1997" w:type="dxa"/>
            <w:vAlign w:val="center"/>
          </w:tcPr>
          <w:p w14:paraId="5D99BAA5">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投标文件的上传及格式</w:t>
            </w:r>
          </w:p>
        </w:tc>
        <w:tc>
          <w:tcPr>
            <w:tcW w:w="6718" w:type="dxa"/>
            <w:vAlign w:val="center"/>
          </w:tcPr>
          <w:p w14:paraId="331B547D">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投标人登录</w:t>
            </w:r>
            <w:r>
              <w:rPr>
                <w:rFonts w:hint="eastAsia" w:ascii="宋体" w:hAnsi="宋体" w:cs="宋体"/>
                <w:color w:val="auto"/>
                <w:sz w:val="21"/>
                <w:szCs w:val="21"/>
                <w:highlight w:val="none"/>
                <w:lang w:val="en-US" w:eastAsia="zh-CN"/>
              </w:rPr>
              <w:t>云南省</w:t>
            </w:r>
            <w:r>
              <w:rPr>
                <w:rFonts w:hint="eastAsia" w:ascii="宋体" w:hAnsi="宋体" w:cs="宋体"/>
                <w:color w:val="auto"/>
                <w:sz w:val="21"/>
                <w:szCs w:val="21"/>
                <w:highlight w:val="none"/>
                <w:lang w:eastAsia="zh-CN"/>
              </w:rPr>
              <w:t>公共资源交易电子服务系统</w:t>
            </w:r>
            <w:r>
              <w:rPr>
                <w:rFonts w:hint="eastAsia" w:ascii="宋体" w:hAnsi="宋体" w:cs="宋体"/>
                <w:color w:val="auto"/>
                <w:sz w:val="21"/>
                <w:szCs w:val="21"/>
                <w:highlight w:val="none"/>
              </w:rPr>
              <w:t>（须进入</w:t>
            </w:r>
            <w:r>
              <w:rPr>
                <w:rFonts w:hint="eastAsia" w:ascii="宋体" w:hAnsi="宋体" w:cs="宋体"/>
                <w:color w:val="auto"/>
                <w:sz w:val="21"/>
                <w:szCs w:val="21"/>
                <w:highlight w:val="none"/>
                <w:lang w:eastAsia="zh-CN"/>
              </w:rPr>
              <w:t>https://ggzy.yn.gov.cn/homePage#/homePage</w:t>
            </w:r>
            <w:r>
              <w:rPr>
                <w:rFonts w:hint="eastAsia" w:ascii="宋体" w:hAnsi="宋体" w:cs="宋体"/>
                <w:color w:val="auto"/>
                <w:sz w:val="21"/>
                <w:szCs w:val="21"/>
                <w:highlight w:val="none"/>
              </w:rPr>
              <w:t>网站选择“</w:t>
            </w:r>
            <w:r>
              <w:rPr>
                <w:rFonts w:hint="eastAsia" w:ascii="宋体" w:hAnsi="宋体" w:cs="宋体"/>
                <w:color w:val="auto"/>
                <w:sz w:val="21"/>
                <w:szCs w:val="21"/>
                <w:highlight w:val="none"/>
                <w:lang w:val="en-US" w:eastAsia="zh-CN"/>
              </w:rPr>
              <w:t>楚雄州</w:t>
            </w:r>
            <w:r>
              <w:rPr>
                <w:rFonts w:hint="eastAsia" w:ascii="宋体" w:hAnsi="宋体" w:cs="宋体"/>
                <w:color w:val="auto"/>
                <w:sz w:val="21"/>
                <w:szCs w:val="21"/>
                <w:highlight w:val="none"/>
              </w:rPr>
              <w:t>”跳转进入</w:t>
            </w:r>
            <w:r>
              <w:rPr>
                <w:rFonts w:hint="eastAsia" w:ascii="宋体" w:hAnsi="宋体" w:cs="宋体"/>
                <w:color w:val="auto"/>
                <w:sz w:val="21"/>
                <w:szCs w:val="21"/>
                <w:highlight w:val="none"/>
                <w:lang w:eastAsia="zh-CN"/>
              </w:rPr>
              <w:t>楚雄州公共资源交易电子服务系统</w:t>
            </w:r>
            <w:r>
              <w:rPr>
                <w:rFonts w:hint="eastAsia" w:ascii="宋体" w:hAnsi="宋体" w:cs="宋体"/>
                <w:color w:val="auto"/>
                <w:sz w:val="21"/>
                <w:szCs w:val="21"/>
                <w:highlight w:val="none"/>
              </w:rPr>
              <w:t>），根据拟要投标的项目，按照网上投标系统要求上传投标文件，上传完成后，检查投标文件的完整性并“确认签名”，表明投标人网上上传投标文件成功。投标人可打印“上传投标文件回执”，投标截止时间前未完成投标文件传输的，视为撤回投标文件。</w:t>
            </w:r>
          </w:p>
          <w:p w14:paraId="189C26D0">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（1）电子投标文件必须使用《云南省工程建设模块化投标文件编制系统》制作（电子标书格式为*.BTBJ）。</w:t>
            </w:r>
          </w:p>
          <w:p w14:paraId="61CF80F2">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（2）特别注意：</w:t>
            </w:r>
          </w:p>
          <w:p w14:paraId="150A464B">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1）投标人可以在格式内容之外另行说明和增加相关内容，作为投标文件的组成部分。另行说明或自行增加的内容</w:t>
            </w:r>
            <w:r>
              <w:rPr>
                <w:rFonts w:hint="eastAsia" w:ascii="宋体" w:hAnsi="宋体" w:cs="宋体"/>
                <w:color w:val="auto"/>
                <w:sz w:val="21"/>
                <w:szCs w:val="21"/>
                <w:highlight w:val="none"/>
                <w:lang w:eastAsia="zh-CN"/>
              </w:rPr>
              <w:t>，以及</w:t>
            </w:r>
            <w:r>
              <w:rPr>
                <w:rFonts w:hint="eastAsia" w:ascii="宋体" w:hAnsi="宋体" w:cs="宋体"/>
                <w:color w:val="auto"/>
                <w:sz w:val="21"/>
                <w:szCs w:val="21"/>
                <w:highlight w:val="none"/>
              </w:rPr>
              <w:t>按投标文件格式在空格（下划线）由投标人填写的内容，不得与招标文件的强制性审查标准和禁止性规定相抵触；</w:t>
            </w:r>
          </w:p>
          <w:p w14:paraId="5A81980A">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2）按投标文件格式在空格（下划线）由投标人填写的内容，确实没有需要填写的，可以在空格中用“/”标示；</w:t>
            </w:r>
          </w:p>
          <w:p w14:paraId="229C044B">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3）投标文件应对招标文件提出的所有实质性要求和条件作出实质性投标，并且实质性投标的内容不得互相矛盾；</w:t>
            </w:r>
          </w:p>
          <w:p w14:paraId="15F1D131">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4）投标文件所附证明材料应内容完整并清晰可辨。所附证明材料内容不完整或字迹、印章模糊的，评审小组</w:t>
            </w:r>
            <w:r>
              <w:rPr>
                <w:rFonts w:hint="eastAsia" w:ascii="宋体" w:hAnsi="宋体" w:cs="宋体"/>
                <w:color w:val="auto"/>
                <w:sz w:val="21"/>
                <w:szCs w:val="21"/>
                <w:highlight w:val="none"/>
                <w:lang w:eastAsia="zh-CN"/>
              </w:rPr>
              <w:t>可</w:t>
            </w:r>
            <w:r>
              <w:rPr>
                <w:rFonts w:hint="eastAsia" w:ascii="宋体" w:hAnsi="宋体" w:cs="宋体"/>
                <w:color w:val="auto"/>
                <w:sz w:val="21"/>
                <w:szCs w:val="21"/>
                <w:highlight w:val="none"/>
              </w:rPr>
              <w:t>要求投标人提供原件核验。</w:t>
            </w:r>
          </w:p>
        </w:tc>
      </w:tr>
      <w:tr w14:paraId="5F03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993" w:type="dxa"/>
            <w:vAlign w:val="center"/>
          </w:tcPr>
          <w:p w14:paraId="7A1219B1">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4.1.2</w:t>
            </w:r>
          </w:p>
        </w:tc>
        <w:tc>
          <w:tcPr>
            <w:tcW w:w="1997" w:type="dxa"/>
            <w:vAlign w:val="center"/>
          </w:tcPr>
          <w:p w14:paraId="4EDF1B59">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是否退还投标文件</w:t>
            </w:r>
          </w:p>
        </w:tc>
        <w:tc>
          <w:tcPr>
            <w:tcW w:w="6718" w:type="dxa"/>
            <w:vAlign w:val="center"/>
          </w:tcPr>
          <w:p w14:paraId="6CA0017E">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否</w:t>
            </w:r>
          </w:p>
        </w:tc>
      </w:tr>
      <w:tr w14:paraId="31C0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93" w:type="dxa"/>
            <w:vAlign w:val="center"/>
          </w:tcPr>
          <w:p w14:paraId="17E86F1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5.1</w:t>
            </w:r>
          </w:p>
        </w:tc>
        <w:tc>
          <w:tcPr>
            <w:tcW w:w="1997" w:type="dxa"/>
            <w:vAlign w:val="center"/>
          </w:tcPr>
          <w:p w14:paraId="24D81694">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开标时间和地点</w:t>
            </w:r>
          </w:p>
        </w:tc>
        <w:tc>
          <w:tcPr>
            <w:tcW w:w="6718" w:type="dxa"/>
            <w:vAlign w:val="center"/>
          </w:tcPr>
          <w:p w14:paraId="78186218">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开标时间：同投标截止时间</w:t>
            </w:r>
          </w:p>
          <w:p w14:paraId="5A782881">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input155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牟定县公共资源交易中心</w:t>
            </w:r>
            <w:r>
              <w:rPr>
                <w:rFonts w:hint="eastAsia" w:ascii="宋体" w:hAnsi="宋体" w:eastAsia="宋体" w:cs="宋体"/>
                <w:color w:val="auto"/>
                <w:sz w:val="21"/>
                <w:szCs w:val="21"/>
                <w:highlight w:val="none"/>
              </w:rPr>
              <w:fldChar w:fldCharType="end"/>
            </w:r>
          </w:p>
          <w:p w14:paraId="4EB6CB62">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开标方式：</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input786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网上开标（投标人不到现场）</w:t>
            </w:r>
          </w:p>
          <w:p w14:paraId="55A5455E">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Input787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现场开标（投标人需按时到现场）</w:t>
            </w:r>
          </w:p>
          <w:p w14:paraId="4200E143">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需投标人到现场开标说明：</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input788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p>
          <w:p w14:paraId="60F8C02B">
            <w:pPr>
              <w:keepNext w:val="0"/>
              <w:keepLines w:val="0"/>
              <w:pageBreakBefore w:val="0"/>
              <w:widowControl/>
              <w:kinsoku/>
              <w:wordWrap w:val="0"/>
              <w:overflowPunct/>
              <w:topLinePunct w:val="0"/>
              <w:autoSpaceDE/>
              <w:autoSpaceDN/>
              <w:bidi w:val="0"/>
              <w:adjustRightInd/>
              <w:snapToGrid/>
              <w:spacing w:line="360" w:lineRule="auto"/>
              <w:ind w:firstLine="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注：无特殊情况不得要求投标人到现场开标，需要投标人到现场开标请在招标文件中说明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tc>
      </w:tr>
      <w:tr w14:paraId="4700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93" w:type="dxa"/>
            <w:vAlign w:val="center"/>
          </w:tcPr>
          <w:p w14:paraId="4AECD02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5.2</w:t>
            </w:r>
          </w:p>
        </w:tc>
        <w:tc>
          <w:tcPr>
            <w:tcW w:w="1997" w:type="dxa"/>
            <w:vAlign w:val="center"/>
          </w:tcPr>
          <w:p w14:paraId="6D0BEDA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开标程序</w:t>
            </w:r>
          </w:p>
        </w:tc>
        <w:tc>
          <w:tcPr>
            <w:tcW w:w="6718" w:type="dxa"/>
            <w:vAlign w:val="center"/>
          </w:tcPr>
          <w:p w14:paraId="19C9243A">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主持人按下列程序进行开标：</w:t>
            </w:r>
          </w:p>
          <w:p w14:paraId="2BC9D934">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宣布开标纪律；</w:t>
            </w:r>
          </w:p>
          <w:p w14:paraId="76CB89BB">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照交易平台自动提取所有投标人顺序当众开标，导入有效投标人的电子投标文件，同时，对网上递交加密投标文件的投标文件，提供现场解密，解密完成后，公布投标人名称、项目名称、投标保证金的递交情况、投标报价及其他内容，并记录在案。因投标人原因造成投标文件未解密的，视为撤销其投标文件；</w:t>
            </w:r>
          </w:p>
          <w:p w14:paraId="35EBB0F9">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投标人代表、招标人代表、监标人、记录人等有关人员在开标记录上签字确认；</w:t>
            </w:r>
          </w:p>
          <w:p w14:paraId="662767F5">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开标结束。</w:t>
            </w:r>
          </w:p>
        </w:tc>
      </w:tr>
      <w:tr w14:paraId="314E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02393F40">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6.1.1</w:t>
            </w:r>
          </w:p>
        </w:tc>
        <w:tc>
          <w:tcPr>
            <w:tcW w:w="1997" w:type="dxa"/>
            <w:vAlign w:val="center"/>
          </w:tcPr>
          <w:p w14:paraId="355BED94">
            <w:pPr>
              <w:snapToGrid w:val="0"/>
              <w:ind w:firstLine="0"/>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评标委员会的组建</w:t>
            </w:r>
          </w:p>
        </w:tc>
        <w:tc>
          <w:tcPr>
            <w:tcW w:w="6718" w:type="dxa"/>
            <w:vAlign w:val="center"/>
          </w:tcPr>
          <w:p w14:paraId="65B9FCAD">
            <w:pPr>
              <w:spacing w:line="360" w:lineRule="auto"/>
              <w:ind w:firstLine="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评标委员会构成：评标委员会</w:t>
            </w:r>
            <w:r>
              <w:rPr>
                <w:rFonts w:hint="eastAsia" w:ascii="宋体" w:hAnsi="宋体" w:cs="宋体"/>
                <w:color w:val="auto"/>
                <w:sz w:val="21"/>
                <w:szCs w:val="21"/>
                <w:highlight w:val="none"/>
                <w:lang w:eastAsia="zh-CN"/>
              </w:rPr>
              <w:t>由招标人或其委托的招标代理机构熟悉相关业务的代表，以及有关技术、经济等方面的专家组成，成员人数</w:t>
            </w:r>
            <w:r>
              <w:rPr>
                <w:rFonts w:hint="eastAsia" w:ascii="宋体" w:hAnsi="宋体" w:cs="宋体"/>
                <w:color w:val="auto"/>
                <w:sz w:val="21"/>
                <w:szCs w:val="21"/>
                <w:highlight w:val="none"/>
              </w:rPr>
              <w:t>为</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人以上单数，其中</w:t>
            </w:r>
            <w:r>
              <w:rPr>
                <w:rFonts w:hint="eastAsia" w:ascii="宋体" w:hAnsi="宋体" w:cs="宋体"/>
                <w:color w:val="auto"/>
                <w:sz w:val="21"/>
                <w:szCs w:val="21"/>
                <w:highlight w:val="none"/>
                <w:lang w:eastAsia="zh-CN"/>
              </w:rPr>
              <w:t>技术、</w:t>
            </w:r>
            <w:r>
              <w:rPr>
                <w:rFonts w:hint="eastAsia" w:ascii="宋体" w:hAnsi="宋体" w:cs="宋体"/>
                <w:color w:val="auto"/>
                <w:sz w:val="21"/>
                <w:szCs w:val="21"/>
                <w:highlight w:val="none"/>
              </w:rPr>
              <w:t>经济方面的专家不得少于成员总数的三分之二</w:t>
            </w:r>
            <w:r>
              <w:rPr>
                <w:rFonts w:hint="eastAsia" w:ascii="宋体" w:hAnsi="宋体" w:cs="宋体"/>
                <w:color w:val="auto"/>
                <w:sz w:val="21"/>
                <w:szCs w:val="21"/>
                <w:highlight w:val="none"/>
                <w:lang w:eastAsia="zh-CN"/>
              </w:rPr>
              <w:t>。</w:t>
            </w:r>
          </w:p>
          <w:p w14:paraId="24136E35">
            <w:pPr>
              <w:spacing w:line="360" w:lineRule="auto"/>
              <w:ind w:firstLine="0"/>
              <w:rPr>
                <w:rFonts w:hint="eastAsia" w:ascii="宋体" w:hAnsi="宋体" w:cs="宋体"/>
                <w:snapToGrid w:val="0"/>
                <w:color w:val="auto"/>
                <w:sz w:val="21"/>
                <w:szCs w:val="21"/>
                <w:highlight w:val="none"/>
              </w:rPr>
            </w:pPr>
            <w:r>
              <w:rPr>
                <w:rFonts w:hint="eastAsia" w:ascii="宋体" w:hAnsi="宋体" w:cs="宋体"/>
                <w:color w:val="auto"/>
                <w:sz w:val="21"/>
                <w:szCs w:val="21"/>
                <w:highlight w:val="none"/>
              </w:rPr>
              <w:t>评标专家确定方式：</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AUTOTEXT  input160 \* MERGEFORMAT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从</w:t>
            </w:r>
            <w:r>
              <w:rPr>
                <w:rFonts w:hint="eastAsia" w:ascii="宋体" w:hAnsi="宋体" w:cs="宋体"/>
                <w:color w:val="auto"/>
                <w:sz w:val="21"/>
                <w:szCs w:val="21"/>
                <w:highlight w:val="none"/>
                <w:lang w:eastAsia="zh-CN"/>
              </w:rPr>
              <w:t>云南省</w:t>
            </w:r>
            <w:r>
              <w:rPr>
                <w:rFonts w:hint="eastAsia" w:ascii="宋体" w:hAnsi="宋体" w:cs="宋体"/>
                <w:color w:val="auto"/>
                <w:sz w:val="21"/>
                <w:szCs w:val="21"/>
                <w:highlight w:val="none"/>
              </w:rPr>
              <w:t>综合评标专家库中随机抽取</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lang w:eastAsia="zh-CN"/>
              </w:rPr>
              <w:t>。</w:t>
            </w:r>
          </w:p>
        </w:tc>
      </w:tr>
      <w:tr w14:paraId="2969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0A8E0DA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6.3</w:t>
            </w:r>
          </w:p>
        </w:tc>
        <w:tc>
          <w:tcPr>
            <w:tcW w:w="1997" w:type="dxa"/>
            <w:vAlign w:val="center"/>
          </w:tcPr>
          <w:p w14:paraId="4F98DB70">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评标办法</w:t>
            </w:r>
          </w:p>
        </w:tc>
        <w:tc>
          <w:tcPr>
            <w:tcW w:w="6718" w:type="dxa"/>
            <w:vAlign w:val="center"/>
          </w:tcPr>
          <w:p w14:paraId="055F7CB9">
            <w:pPr>
              <w:spacing w:line="360" w:lineRule="auto"/>
              <w:ind w:firstLine="0"/>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综合评估法</w:t>
            </w:r>
          </w:p>
        </w:tc>
      </w:tr>
      <w:tr w14:paraId="02EF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4308BCCF">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7.1</w:t>
            </w:r>
          </w:p>
        </w:tc>
        <w:tc>
          <w:tcPr>
            <w:tcW w:w="1997" w:type="dxa"/>
            <w:vAlign w:val="center"/>
          </w:tcPr>
          <w:p w14:paraId="6989E448">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是否授权评标委员会确定中标人</w:t>
            </w:r>
          </w:p>
        </w:tc>
        <w:tc>
          <w:tcPr>
            <w:tcW w:w="6718" w:type="dxa"/>
            <w:vAlign w:val="center"/>
          </w:tcPr>
          <w:p w14:paraId="3ACDA1CF">
            <w:pPr>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否。由评标委员会推荐1-3名中标候选单位并标明排序。</w:t>
            </w:r>
          </w:p>
        </w:tc>
      </w:tr>
      <w:tr w14:paraId="48A0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2953C26D">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7.3.1</w:t>
            </w:r>
          </w:p>
        </w:tc>
        <w:tc>
          <w:tcPr>
            <w:tcW w:w="1997" w:type="dxa"/>
            <w:vAlign w:val="center"/>
          </w:tcPr>
          <w:p w14:paraId="42CF64BB">
            <w:pPr>
              <w:spacing w:line="360" w:lineRule="auto"/>
              <w:ind w:firstLine="0"/>
              <w:jc w:val="center"/>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履约担保</w:t>
            </w:r>
          </w:p>
        </w:tc>
        <w:tc>
          <w:tcPr>
            <w:tcW w:w="6718" w:type="dxa"/>
            <w:vAlign w:val="center"/>
          </w:tcPr>
          <w:p w14:paraId="10085E39">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履约担保的形式：</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AUTOTEXT  input167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现金（转账或电汇）或银行保函</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、保险保函，</w:t>
            </w:r>
            <w:r>
              <w:rPr>
                <w:rFonts w:hint="eastAsia" w:ascii="宋体" w:hAnsi="宋体" w:cs="宋体"/>
                <w:color w:val="FF0000"/>
                <w:sz w:val="21"/>
                <w:szCs w:val="21"/>
                <w:highlight w:val="none"/>
              </w:rPr>
              <w:t>由中标特许经营者在收到中标通知书</w:t>
            </w:r>
            <w:r>
              <w:rPr>
                <w:rFonts w:hint="eastAsia" w:ascii="宋体" w:hAnsi="宋体" w:cs="宋体"/>
                <w:color w:val="FF0000"/>
                <w:sz w:val="21"/>
                <w:szCs w:val="21"/>
                <w:highlight w:val="none"/>
                <w:lang w:val="en-US" w:eastAsia="zh-CN"/>
              </w:rPr>
              <w:t>后</w:t>
            </w:r>
            <w:r>
              <w:rPr>
                <w:rFonts w:hint="eastAsia" w:ascii="宋体" w:hAnsi="宋体" w:cs="宋体"/>
                <w:color w:val="FF0000"/>
                <w:sz w:val="21"/>
                <w:szCs w:val="21"/>
                <w:highlight w:val="none"/>
              </w:rPr>
              <w:t>30日内提交，</w:t>
            </w:r>
            <w:r>
              <w:rPr>
                <w:rFonts w:hint="eastAsia" w:ascii="宋体" w:hAnsi="宋体" w:cs="宋体"/>
                <w:color w:val="FF0000"/>
                <w:sz w:val="21"/>
                <w:szCs w:val="21"/>
                <w:highlight w:val="none"/>
                <w:lang w:val="en-US" w:eastAsia="zh-CN"/>
              </w:rPr>
              <w:t>履约保证金支付后方可签订合同（</w:t>
            </w:r>
            <w:r>
              <w:rPr>
                <w:rFonts w:hint="eastAsia" w:ascii="宋体" w:hAnsi="宋体" w:eastAsia="宋体" w:cs="宋体"/>
                <w:color w:val="000000" w:themeColor="text1"/>
                <w:highlight w:val="none"/>
                <w14:textFill>
                  <w14:solidFill>
                    <w14:schemeClr w14:val="tx1"/>
                  </w14:solidFill>
                </w14:textFill>
              </w:rPr>
              <w:t>履约担保形式由招标人与中标人商定合同时</w:t>
            </w:r>
            <w:r>
              <w:rPr>
                <w:rFonts w:hint="eastAsia" w:ascii="宋体" w:hAnsi="宋体" w:cs="宋体"/>
                <w:color w:val="000000" w:themeColor="text1"/>
                <w:highlight w:val="none"/>
                <w:lang w:eastAsia="zh-CN"/>
                <w14:textFill>
                  <w14:solidFill>
                    <w14:schemeClr w14:val="tx1"/>
                  </w14:solidFill>
                </w14:textFill>
              </w:rPr>
              <w:t>协商）</w:t>
            </w:r>
            <w:r>
              <w:rPr>
                <w:rFonts w:hint="eastAsia" w:ascii="宋体" w:hAnsi="宋体" w:eastAsia="宋体" w:cs="宋体"/>
                <w:color w:val="000000" w:themeColor="text1"/>
                <w:highlight w:val="none"/>
                <w14:textFill>
                  <w14:solidFill>
                    <w14:schemeClr w14:val="tx1"/>
                  </w14:solidFill>
                </w14:textFill>
              </w:rPr>
              <w:t>。</w:t>
            </w:r>
          </w:p>
          <w:p w14:paraId="2CBFF70D">
            <w:pPr>
              <w:spacing w:line="360" w:lineRule="auto"/>
              <w:ind w:firstLine="440" w:firstLineChars="200"/>
            </w:pPr>
            <w:r>
              <w:rPr>
                <w:rFonts w:hint="eastAsia" w:ascii="宋体" w:hAnsi="宋体" w:eastAsia="宋体" w:cs="宋体"/>
                <w:color w:val="000000" w:themeColor="text1"/>
                <w:highlight w:val="none"/>
                <w14:textFill>
                  <w14:solidFill>
                    <w14:schemeClr w14:val="tx1"/>
                  </w14:solidFill>
                </w14:textFill>
              </w:rPr>
              <w:t>履约担保的金额：</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AUTOTEXT  input168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按</w:t>
            </w:r>
            <w:r>
              <w:rPr>
                <w:rFonts w:hint="eastAsia" w:ascii="宋体" w:hAnsi="宋体" w:cs="宋体"/>
                <w:color w:val="000000" w:themeColor="text1"/>
                <w:highlight w:val="none"/>
                <w:lang w:eastAsia="zh-CN"/>
                <w14:textFill>
                  <w14:solidFill>
                    <w14:schemeClr w14:val="tx1"/>
                  </w14:solidFill>
                </w14:textFill>
              </w:rPr>
              <w:t>投资</w:t>
            </w:r>
            <w:r>
              <w:rPr>
                <w:rFonts w:hint="eastAsia" w:ascii="宋体" w:hAnsi="宋体" w:eastAsia="宋体" w:cs="宋体"/>
                <w:color w:val="000000" w:themeColor="text1"/>
                <w:highlight w:val="none"/>
                <w14:textFill>
                  <w14:solidFill>
                    <w14:schemeClr w14:val="tx1"/>
                  </w14:solidFill>
                </w14:textFill>
              </w:rPr>
              <w:t>金额的</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eastAsia="zh-CN"/>
                <w14:textFill>
                  <w14:solidFill>
                    <w14:schemeClr w14:val="tx1"/>
                  </w14:solidFill>
                </w14:textFill>
              </w:rPr>
              <w:t>提交。</w:t>
            </w:r>
          </w:p>
        </w:tc>
      </w:tr>
      <w:tr w14:paraId="1C18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792784DD">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8．1</w:t>
            </w:r>
          </w:p>
        </w:tc>
        <w:tc>
          <w:tcPr>
            <w:tcW w:w="1997" w:type="dxa"/>
            <w:vAlign w:val="center"/>
          </w:tcPr>
          <w:p w14:paraId="768FC284">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监督部门</w:t>
            </w:r>
          </w:p>
        </w:tc>
        <w:tc>
          <w:tcPr>
            <w:tcW w:w="6718" w:type="dxa"/>
            <w:vAlign w:val="center"/>
          </w:tcPr>
          <w:p w14:paraId="7A51A8FF">
            <w:pPr>
              <w:spacing w:line="360" w:lineRule="auto"/>
              <w:ind w:firstLine="0"/>
              <w:jc w:val="both"/>
              <w:rPr>
                <w:rFonts w:hint="default" w:ascii="宋体" w:hAnsi="宋体" w:eastAsia="宋体" w:cs="宋体"/>
                <w:snapToGrid w:val="0"/>
                <w:color w:val="auto"/>
                <w:sz w:val="21"/>
                <w:szCs w:val="21"/>
                <w:highlight w:val="none"/>
                <w:lang w:val="en-US" w:eastAsia="zh-CN"/>
              </w:rPr>
            </w:pPr>
            <w:r>
              <w:rPr>
                <w:rFonts w:hint="default" w:ascii="宋体" w:hAnsi="宋体" w:eastAsia="宋体" w:cs="宋体"/>
                <w:snapToGrid w:val="0"/>
                <w:color w:val="auto"/>
                <w:sz w:val="21"/>
                <w:szCs w:val="21"/>
                <w:highlight w:val="none"/>
                <w:lang w:val="en-US" w:eastAsia="zh-CN"/>
              </w:rPr>
              <w:t>行政监督部门：</w:t>
            </w:r>
            <w:r>
              <w:rPr>
                <w:rFonts w:hint="eastAsia" w:ascii="宋体" w:hAnsi="宋体" w:cs="宋体"/>
                <w:snapToGrid w:val="0"/>
                <w:color w:val="auto"/>
                <w:sz w:val="21"/>
                <w:szCs w:val="21"/>
                <w:highlight w:val="none"/>
                <w:lang w:val="en-US" w:eastAsia="zh-CN"/>
              </w:rPr>
              <w:t>牟定县</w:t>
            </w:r>
            <w:r>
              <w:rPr>
                <w:rFonts w:hint="default" w:ascii="宋体" w:hAnsi="宋体" w:eastAsia="宋体" w:cs="宋体"/>
                <w:snapToGrid w:val="0"/>
                <w:color w:val="auto"/>
                <w:sz w:val="21"/>
                <w:szCs w:val="21"/>
                <w:highlight w:val="none"/>
                <w:lang w:val="en-US" w:eastAsia="zh-CN"/>
              </w:rPr>
              <w:t>发展和改革局</w:t>
            </w:r>
          </w:p>
          <w:p w14:paraId="1EBE28AD">
            <w:pPr>
              <w:spacing w:line="360" w:lineRule="auto"/>
              <w:ind w:firstLine="0"/>
              <w:jc w:val="both"/>
              <w:rPr>
                <w:rFonts w:hint="default" w:ascii="宋体" w:hAnsi="宋体" w:eastAsia="宋体" w:cs="宋体"/>
                <w:snapToGrid w:val="0"/>
                <w:color w:val="auto"/>
                <w:sz w:val="21"/>
                <w:szCs w:val="21"/>
                <w:highlight w:val="none"/>
                <w:lang w:val="en-US" w:eastAsia="zh-CN"/>
              </w:rPr>
            </w:pPr>
            <w:r>
              <w:rPr>
                <w:rFonts w:hint="default" w:ascii="宋体" w:hAnsi="宋体" w:eastAsia="宋体" w:cs="宋体"/>
                <w:snapToGrid w:val="0"/>
                <w:color w:val="auto"/>
                <w:sz w:val="21"/>
                <w:szCs w:val="21"/>
                <w:highlight w:val="none"/>
                <w:lang w:val="en-US" w:eastAsia="zh-CN"/>
              </w:rPr>
              <w:t>电话：0878-</w:t>
            </w:r>
            <w:r>
              <w:rPr>
                <w:rFonts w:hint="eastAsia" w:ascii="宋体" w:hAnsi="宋体" w:cs="宋体"/>
                <w:snapToGrid w:val="0"/>
                <w:color w:val="auto"/>
                <w:sz w:val="21"/>
                <w:szCs w:val="21"/>
                <w:highlight w:val="none"/>
                <w:lang w:val="en-US" w:eastAsia="zh-CN"/>
              </w:rPr>
              <w:t>5211223</w:t>
            </w:r>
          </w:p>
        </w:tc>
      </w:tr>
      <w:tr w14:paraId="1D65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93" w:type="dxa"/>
            <w:vAlign w:val="center"/>
          </w:tcPr>
          <w:p w14:paraId="4F32985B">
            <w:pPr>
              <w:spacing w:line="360" w:lineRule="auto"/>
              <w:ind w:firstLine="0"/>
              <w:jc w:val="center"/>
              <w:rPr>
                <w:rFonts w:hint="eastAsia" w:ascii="宋体" w:hAnsi="宋体" w:cs="宋体"/>
                <w:color w:val="auto"/>
                <w:spacing w:val="-3"/>
                <w:sz w:val="21"/>
                <w:szCs w:val="21"/>
                <w:highlight w:val="none"/>
              </w:rPr>
            </w:pPr>
            <w:r>
              <w:rPr>
                <w:rFonts w:hint="eastAsia" w:ascii="宋体" w:hAnsi="宋体" w:cs="宋体"/>
                <w:color w:val="auto"/>
                <w:spacing w:val="-3"/>
                <w:sz w:val="21"/>
                <w:szCs w:val="21"/>
                <w:highlight w:val="none"/>
              </w:rPr>
              <w:t>10</w:t>
            </w:r>
          </w:p>
        </w:tc>
        <w:tc>
          <w:tcPr>
            <w:tcW w:w="8715" w:type="dxa"/>
            <w:gridSpan w:val="2"/>
            <w:vAlign w:val="center"/>
          </w:tcPr>
          <w:p w14:paraId="0CD61574">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需要补充的其他内容</w:t>
            </w:r>
          </w:p>
        </w:tc>
      </w:tr>
      <w:tr w14:paraId="4885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344F46AA">
            <w:pPr>
              <w:spacing w:line="360" w:lineRule="auto"/>
              <w:ind w:firstLine="0"/>
              <w:jc w:val="center"/>
              <w:rPr>
                <w:rFonts w:hint="eastAsia" w:ascii="宋体" w:hAnsi="宋体" w:cs="宋体"/>
                <w:color w:val="auto"/>
                <w:spacing w:val="-3"/>
                <w:sz w:val="21"/>
                <w:szCs w:val="21"/>
                <w:highlight w:val="none"/>
              </w:rPr>
            </w:pPr>
            <w:r>
              <w:rPr>
                <w:rFonts w:hint="eastAsia" w:ascii="宋体" w:hAnsi="宋体" w:cs="宋体"/>
                <w:color w:val="auto"/>
                <w:spacing w:val="-3"/>
                <w:sz w:val="21"/>
                <w:szCs w:val="21"/>
                <w:highlight w:val="none"/>
              </w:rPr>
              <w:t>10.1</w:t>
            </w:r>
          </w:p>
        </w:tc>
        <w:tc>
          <w:tcPr>
            <w:tcW w:w="1997" w:type="dxa"/>
            <w:vAlign w:val="center"/>
          </w:tcPr>
          <w:p w14:paraId="42C10EBE">
            <w:pPr>
              <w:spacing w:line="276"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招标文件的解释</w:t>
            </w:r>
          </w:p>
        </w:tc>
        <w:tc>
          <w:tcPr>
            <w:tcW w:w="6718" w:type="dxa"/>
            <w:vAlign w:val="center"/>
          </w:tcPr>
          <w:p w14:paraId="5E4337AD">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招标人自行编写的内容由招标人（招标代理机构）解释。对招标人自行编写的内容理解有争议的，由备案的行政监督部门按照招标文件所使用的词句、招标文件的有关条款、招标的目的、习惯以及诚实信用原则，确定该条款的真实意思。</w:t>
            </w:r>
          </w:p>
        </w:tc>
      </w:tr>
      <w:tr w14:paraId="0EF7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498A21C8">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10.2</w:t>
            </w:r>
          </w:p>
        </w:tc>
        <w:tc>
          <w:tcPr>
            <w:tcW w:w="1997" w:type="dxa"/>
            <w:vAlign w:val="center"/>
          </w:tcPr>
          <w:p w14:paraId="0EB86E1A">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“暗标”评审</w:t>
            </w:r>
          </w:p>
        </w:tc>
        <w:tc>
          <w:tcPr>
            <w:tcW w:w="6718" w:type="dxa"/>
            <w:vAlign w:val="center"/>
          </w:tcPr>
          <w:p w14:paraId="52BA9497">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不采用</w:t>
            </w:r>
          </w:p>
        </w:tc>
      </w:tr>
      <w:tr w14:paraId="7DDB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993" w:type="dxa"/>
            <w:vAlign w:val="center"/>
          </w:tcPr>
          <w:p w14:paraId="3C96B830">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10.3</w:t>
            </w:r>
          </w:p>
        </w:tc>
        <w:tc>
          <w:tcPr>
            <w:tcW w:w="1997" w:type="dxa"/>
            <w:vAlign w:val="center"/>
          </w:tcPr>
          <w:p w14:paraId="5E019CB8">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评标结果公示</w:t>
            </w:r>
          </w:p>
        </w:tc>
        <w:tc>
          <w:tcPr>
            <w:tcW w:w="6718" w:type="dxa"/>
            <w:vAlign w:val="center"/>
          </w:tcPr>
          <w:p w14:paraId="0E1844B7">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在中标通知书发出前，招标人将中标候选人的情况在本招标项目招标公告发布的同一媒介予以公示，公示期不少于3日。</w:t>
            </w:r>
          </w:p>
        </w:tc>
      </w:tr>
      <w:tr w14:paraId="2E47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2809BCDF">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10.4</w:t>
            </w:r>
          </w:p>
        </w:tc>
        <w:tc>
          <w:tcPr>
            <w:tcW w:w="1997" w:type="dxa"/>
            <w:vAlign w:val="center"/>
          </w:tcPr>
          <w:p w14:paraId="49E27595">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知识产权</w:t>
            </w:r>
          </w:p>
        </w:tc>
        <w:tc>
          <w:tcPr>
            <w:tcW w:w="6718" w:type="dxa"/>
            <w:vAlign w:val="center"/>
          </w:tcPr>
          <w:p w14:paraId="3C73DBEC">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构成本招标文件各个组成部分的文件，未经招标人书面同意，投标人不得擅自复印和用于非本招标项目所需的其他目的。招标人全部或部分使用未中标人投标文件中的技术成果或技术方案时，需征得其书面同意，并不得擅自复印或提供给第三人。</w:t>
            </w:r>
          </w:p>
        </w:tc>
      </w:tr>
      <w:tr w14:paraId="5694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19B89445">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10.5</w:t>
            </w:r>
          </w:p>
        </w:tc>
        <w:tc>
          <w:tcPr>
            <w:tcW w:w="1997" w:type="dxa"/>
            <w:vAlign w:val="center"/>
          </w:tcPr>
          <w:p w14:paraId="08FAE222">
            <w:pPr>
              <w:snapToGrid w:val="0"/>
              <w:ind w:firstLine="0"/>
              <w:jc w:val="center"/>
              <w:rPr>
                <w:rFonts w:hint="eastAsia" w:ascii="宋体" w:hAnsi="宋体" w:cs="宋体"/>
                <w:snapToGrid w:val="0"/>
                <w:color w:val="auto"/>
                <w:sz w:val="21"/>
                <w:szCs w:val="21"/>
                <w:highlight w:val="none"/>
              </w:rPr>
            </w:pPr>
            <w:r>
              <w:rPr>
                <w:rFonts w:hint="eastAsia" w:ascii="宋体" w:hAnsi="宋体" w:cs="宋体"/>
                <w:snapToGrid w:val="0"/>
                <w:color w:val="auto"/>
                <w:sz w:val="21"/>
                <w:szCs w:val="21"/>
                <w:highlight w:val="none"/>
              </w:rPr>
              <w:t>招标人补充的其他内容</w:t>
            </w:r>
          </w:p>
        </w:tc>
        <w:tc>
          <w:tcPr>
            <w:tcW w:w="6718" w:type="dxa"/>
            <w:vAlign w:val="center"/>
          </w:tcPr>
          <w:p w14:paraId="7A7173E4">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1.未在开标时间及投标截止时间前完成投标文件上传的，视为撤回投标文件，招标人不予受理。</w:t>
            </w:r>
          </w:p>
          <w:p w14:paraId="70E78AA3">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2.投标人未在开标结束前按要求用企业数字证书（USBKEY）对电子投标文件解锁成功的，视为撤回投标文件，招标人不予受理。</w:t>
            </w:r>
          </w:p>
          <w:p w14:paraId="3567C6FD">
            <w:pPr>
              <w:spacing w:line="36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3.中标人在中标后向招标人提供纸质版的投标文件4份，投标文件可为上传至系统的电子投标文件的彩色打印版。</w:t>
            </w:r>
          </w:p>
        </w:tc>
      </w:tr>
      <w:tr w14:paraId="7EAD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2ED007B2">
            <w:pPr>
              <w:snapToGrid w:val="0"/>
              <w:ind w:firstLine="0"/>
              <w:jc w:val="center"/>
              <w:rPr>
                <w:rFonts w:hint="default" w:ascii="宋体" w:hAnsi="宋体" w:eastAsia="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10.6</w:t>
            </w:r>
          </w:p>
        </w:tc>
        <w:tc>
          <w:tcPr>
            <w:tcW w:w="1997" w:type="dxa"/>
            <w:vAlign w:val="center"/>
          </w:tcPr>
          <w:p w14:paraId="72EFB83E">
            <w:pPr>
              <w:snapToGrid w:val="0"/>
              <w:ind w:firstLine="0"/>
              <w:jc w:val="center"/>
              <w:rPr>
                <w:rFonts w:hint="eastAsia" w:ascii="宋体" w:hAnsi="宋体" w:eastAsia="宋体" w:cs="宋体"/>
                <w:snapToGrid w:val="0"/>
                <w:color w:val="auto"/>
                <w:sz w:val="21"/>
                <w:szCs w:val="21"/>
                <w:highlight w:val="none"/>
                <w:lang w:val="en-US" w:eastAsia="zh-CN"/>
              </w:rPr>
            </w:pPr>
            <w:r>
              <w:rPr>
                <w:rFonts w:hint="eastAsia" w:ascii="宋体" w:hAnsi="宋体"/>
                <w:color w:val="auto"/>
                <w:szCs w:val="21"/>
                <w:highlight w:val="none"/>
              </w:rPr>
              <w:t>风险告知</w:t>
            </w:r>
          </w:p>
        </w:tc>
        <w:tc>
          <w:tcPr>
            <w:tcW w:w="6718" w:type="dxa"/>
            <w:vAlign w:val="center"/>
          </w:tcPr>
          <w:p w14:paraId="23886ED9">
            <w:pPr>
              <w:numPr>
                <w:ilvl w:val="0"/>
                <w:numId w:val="0"/>
              </w:numPr>
              <w:spacing w:line="360" w:lineRule="auto"/>
              <w:jc w:val="both"/>
              <w:rPr>
                <w:rFonts w:hint="eastAsia" w:eastAsia="宋体"/>
                <w:color w:val="auto"/>
                <w:highlight w:val="none"/>
                <w:lang w:eastAsia="zh-CN"/>
              </w:rPr>
            </w:pPr>
            <w:r>
              <w:rPr>
                <w:rFonts w:hint="eastAsia" w:ascii="宋体" w:hAnsi="宋体" w:cs="宋体"/>
                <w:color w:val="auto"/>
                <w:sz w:val="21"/>
                <w:szCs w:val="21"/>
                <w:highlight w:val="none"/>
                <w:lang w:val="en-US" w:eastAsia="zh-CN"/>
              </w:rPr>
              <w:t>1.本项目招标人</w:t>
            </w:r>
            <w:r>
              <w:rPr>
                <w:rFonts w:hint="eastAsia"/>
                <w:color w:val="auto"/>
                <w:highlight w:val="none"/>
              </w:rPr>
              <w:t>不</w:t>
            </w:r>
            <w:r>
              <w:rPr>
                <w:rFonts w:hint="eastAsia"/>
                <w:color w:val="auto"/>
                <w:highlight w:val="none"/>
                <w:lang w:val="en-US" w:eastAsia="zh-CN"/>
              </w:rPr>
              <w:t>对垃圾</w:t>
            </w:r>
            <w:r>
              <w:rPr>
                <w:rFonts w:hint="eastAsia"/>
                <w:color w:val="auto"/>
                <w:highlight w:val="none"/>
              </w:rPr>
              <w:t>量</w:t>
            </w:r>
            <w:r>
              <w:rPr>
                <w:rFonts w:hint="eastAsia"/>
                <w:color w:val="auto"/>
                <w:highlight w:val="none"/>
                <w:lang w:val="en-US" w:eastAsia="zh-CN"/>
              </w:rPr>
              <w:t>及来源进行保底承诺</w:t>
            </w:r>
            <w:r>
              <w:rPr>
                <w:rFonts w:hint="eastAsia"/>
                <w:color w:val="auto"/>
                <w:highlight w:val="none"/>
              </w:rPr>
              <w:t>，不对特许经营者进行可行性缺口补助、承诺保底收益率或可用性付费等方式进行兜底</w:t>
            </w:r>
            <w:r>
              <w:rPr>
                <w:rFonts w:hint="eastAsia"/>
                <w:color w:val="auto"/>
                <w:highlight w:val="none"/>
                <w:lang w:eastAsia="zh-CN"/>
              </w:rPr>
              <w:t>。</w:t>
            </w:r>
          </w:p>
          <w:p w14:paraId="217F4469">
            <w:pPr>
              <w:numPr>
                <w:ilvl w:val="0"/>
                <w:numId w:val="0"/>
              </w:numPr>
              <w:spacing w:line="360" w:lineRule="auto"/>
              <w:jc w:val="both"/>
              <w:rPr>
                <w:rFonts w:hint="default"/>
                <w:color w:val="auto"/>
                <w:highlight w:val="none"/>
                <w:lang w:val="en-US" w:eastAsia="zh-CN"/>
              </w:rPr>
            </w:pPr>
            <w:r>
              <w:rPr>
                <w:rFonts w:hint="eastAsia" w:ascii="宋体" w:hAnsi="宋体" w:eastAsia="宋体" w:cs="宋体"/>
                <w:color w:val="auto"/>
                <w:highlight w:val="none"/>
                <w:lang w:val="en-US" w:eastAsia="zh-CN"/>
              </w:rPr>
              <w:t>2.</w:t>
            </w:r>
            <w:r>
              <w:rPr>
                <w:rFonts w:hint="eastAsia"/>
                <w:color w:val="auto"/>
                <w:highlight w:val="none"/>
                <w:lang w:val="en-US" w:eastAsia="zh-CN"/>
              </w:rPr>
              <w:t>根据《基础设施和公用事业特许经营管理办法》，选定的特许经营者及其投融资、建设责任不得调整。确需调整的，应当重新履行特许经营者选择程序。</w:t>
            </w:r>
          </w:p>
        </w:tc>
      </w:tr>
      <w:tr w14:paraId="67DC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22D7430A">
            <w:pPr>
              <w:snapToGrid w:val="0"/>
              <w:ind w:firstLine="0"/>
              <w:jc w:val="center"/>
              <w:rPr>
                <w:rFonts w:hint="default" w:ascii="宋体" w:hAnsi="宋体" w:cs="宋体"/>
                <w:snapToGrid w:val="0"/>
                <w:color w:val="FF0000"/>
                <w:sz w:val="21"/>
                <w:szCs w:val="21"/>
                <w:highlight w:val="none"/>
                <w:lang w:val="en-US" w:eastAsia="zh-CN"/>
              </w:rPr>
            </w:pPr>
            <w:r>
              <w:rPr>
                <w:rFonts w:hint="eastAsia" w:ascii="宋体" w:hAnsi="宋体" w:cs="宋体"/>
                <w:snapToGrid w:val="0"/>
                <w:color w:val="FF0000"/>
                <w:sz w:val="21"/>
                <w:szCs w:val="21"/>
                <w:highlight w:val="none"/>
                <w:lang w:val="en-US" w:eastAsia="zh-CN"/>
              </w:rPr>
              <w:t>10.7</w:t>
            </w:r>
          </w:p>
        </w:tc>
        <w:tc>
          <w:tcPr>
            <w:tcW w:w="1997" w:type="dxa"/>
            <w:vAlign w:val="center"/>
          </w:tcPr>
          <w:p w14:paraId="13A26996">
            <w:pPr>
              <w:spacing w:line="440" w:lineRule="exact"/>
              <w:ind w:firstLine="360" w:firstLineChars="0"/>
              <w:jc w:val="center"/>
              <w:rPr>
                <w:rFonts w:hint="eastAsia" w:ascii="宋体" w:hAnsi="宋体"/>
                <w:color w:val="FF0000"/>
                <w:szCs w:val="21"/>
                <w:highlight w:val="none"/>
                <w:lang w:eastAsia="zh-CN"/>
              </w:rPr>
            </w:pPr>
            <w:r>
              <w:rPr>
                <w:rFonts w:hint="eastAsia" w:ascii="宋体" w:hAnsi="宋体" w:eastAsia="宋体" w:cs="宋体"/>
                <w:color w:val="FF0000"/>
                <w:highlight w:val="none"/>
              </w:rPr>
              <w:t>同义词语</w:t>
            </w:r>
          </w:p>
        </w:tc>
        <w:tc>
          <w:tcPr>
            <w:tcW w:w="6718" w:type="dxa"/>
            <w:vAlign w:val="center"/>
          </w:tcPr>
          <w:p w14:paraId="5B5A98E9">
            <w:pPr>
              <w:spacing w:line="360" w:lineRule="auto"/>
              <w:ind w:firstLine="360" w:firstLineChars="0"/>
              <w:rPr>
                <w:rFonts w:hint="eastAsia" w:ascii="宋体" w:hAnsi="宋体" w:cs="Times New Roman"/>
                <w:b/>
                <w:bCs/>
                <w:color w:val="FF0000"/>
                <w:sz w:val="21"/>
                <w:szCs w:val="21"/>
                <w:lang w:val="en-US" w:eastAsia="zh-CN"/>
              </w:rPr>
            </w:pPr>
            <w:r>
              <w:rPr>
                <w:rFonts w:hint="eastAsia" w:ascii="宋体" w:hAnsi="宋体" w:eastAsia="宋体" w:cs="宋体"/>
                <w:color w:val="FF0000"/>
                <w:highlight w:val="none"/>
              </w:rPr>
              <w:t>构成招标文件组成部分的“通用合同条款”、“专用合同条款”、“技术标准和要求”等章节中出现的措辞“发包人”</w:t>
            </w:r>
            <w:r>
              <w:rPr>
                <w:rFonts w:hint="eastAsia" w:ascii="宋体" w:hAnsi="宋体" w:cs="宋体"/>
                <w:color w:val="FF0000"/>
                <w:highlight w:val="none"/>
                <w:lang w:eastAsia="zh-CN"/>
              </w:rPr>
              <w:t>“甲方”</w:t>
            </w:r>
            <w:r>
              <w:rPr>
                <w:rFonts w:hint="eastAsia" w:ascii="宋体" w:hAnsi="宋体" w:eastAsia="宋体" w:cs="宋体"/>
                <w:color w:val="FF0000"/>
                <w:highlight w:val="none"/>
              </w:rPr>
              <w:t>和“承包人”</w:t>
            </w:r>
            <w:r>
              <w:rPr>
                <w:rFonts w:hint="eastAsia" w:ascii="宋体" w:hAnsi="宋体" w:cs="宋体"/>
                <w:color w:val="FF0000"/>
                <w:highlight w:val="none"/>
                <w:lang w:eastAsia="zh-CN"/>
              </w:rPr>
              <w:t>“乙方”</w:t>
            </w:r>
            <w:r>
              <w:rPr>
                <w:rFonts w:hint="eastAsia" w:ascii="宋体" w:hAnsi="宋体" w:eastAsia="宋体" w:cs="宋体"/>
                <w:color w:val="FF0000"/>
                <w:highlight w:val="none"/>
              </w:rPr>
              <w:t>，在招标投标阶段应当分别按“招标人”和“投标人”进行理解。</w:t>
            </w:r>
          </w:p>
        </w:tc>
      </w:tr>
      <w:tr w14:paraId="14C0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47F2E1A5">
            <w:pPr>
              <w:snapToGrid w:val="0"/>
              <w:ind w:firstLine="0"/>
              <w:jc w:val="center"/>
              <w:rPr>
                <w:rFonts w:hint="default" w:ascii="宋体" w:hAnsi="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10.8</w:t>
            </w:r>
          </w:p>
        </w:tc>
        <w:tc>
          <w:tcPr>
            <w:tcW w:w="1997" w:type="dxa"/>
            <w:vAlign w:val="center"/>
          </w:tcPr>
          <w:p w14:paraId="32616582">
            <w:pPr>
              <w:snapToGrid w:val="0"/>
              <w:ind w:firstLine="0"/>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招标代理服务费</w:t>
            </w:r>
          </w:p>
        </w:tc>
        <w:tc>
          <w:tcPr>
            <w:tcW w:w="6718" w:type="dxa"/>
            <w:vAlign w:val="center"/>
          </w:tcPr>
          <w:p w14:paraId="528CC263">
            <w:pPr>
              <w:spacing w:line="360" w:lineRule="auto"/>
              <w:jc w:val="left"/>
              <w:rPr>
                <w:rFonts w:hint="eastAsia" w:ascii="宋体" w:hAnsi="宋体" w:eastAsia="宋体" w:cs="Times New Roman"/>
                <w:b/>
                <w:bCs/>
                <w:sz w:val="21"/>
                <w:szCs w:val="21"/>
              </w:rPr>
            </w:pPr>
            <w:r>
              <w:rPr>
                <w:rFonts w:hint="eastAsia" w:ascii="宋体" w:hAnsi="宋体" w:eastAsia="宋体" w:cs="Times New Roman"/>
                <w:b/>
                <w:bCs/>
                <w:sz w:val="21"/>
                <w:szCs w:val="21"/>
                <w:lang w:eastAsia="zh-CN"/>
              </w:rPr>
              <w:t>招标</w:t>
            </w:r>
            <w:r>
              <w:rPr>
                <w:rFonts w:hint="eastAsia" w:ascii="宋体" w:hAnsi="宋体" w:eastAsia="宋体" w:cs="Times New Roman"/>
                <w:b/>
                <w:bCs/>
                <w:sz w:val="21"/>
                <w:szCs w:val="21"/>
              </w:rPr>
              <w:t>代理报酬：</w:t>
            </w:r>
            <w:r>
              <w:rPr>
                <w:rFonts w:hint="eastAsia" w:ascii="宋体" w:hAnsi="宋体" w:eastAsia="宋体" w:cs="Times New Roman"/>
                <w:b/>
                <w:bCs/>
                <w:sz w:val="21"/>
                <w:szCs w:val="21"/>
                <w:u w:val="single"/>
                <w:lang w:eastAsia="zh-CN"/>
              </w:rPr>
              <w:t>双方约定本项目招标代理服务费为人民币</w:t>
            </w:r>
            <w:r>
              <w:rPr>
                <w:rFonts w:hint="eastAsia" w:ascii="宋体" w:hAnsi="宋体" w:eastAsia="宋体" w:cs="Times New Roman"/>
                <w:b/>
                <w:bCs/>
                <w:sz w:val="21"/>
                <w:szCs w:val="21"/>
                <w:u w:val="single"/>
                <w:lang w:val="en-US" w:eastAsia="zh-CN"/>
              </w:rPr>
              <w:t>60000.00</w:t>
            </w:r>
            <w:r>
              <w:rPr>
                <w:rFonts w:hint="eastAsia" w:ascii="宋体" w:hAnsi="宋体" w:eastAsia="宋体" w:cs="Times New Roman"/>
                <w:b/>
                <w:bCs/>
                <w:sz w:val="21"/>
                <w:szCs w:val="21"/>
                <w:u w:val="single"/>
              </w:rPr>
              <w:t>元</w:t>
            </w:r>
            <w:r>
              <w:rPr>
                <w:rFonts w:hint="eastAsia" w:ascii="宋体" w:hAnsi="宋体" w:eastAsia="宋体" w:cs="Times New Roman"/>
                <w:b/>
                <w:bCs/>
                <w:sz w:val="21"/>
                <w:szCs w:val="21"/>
                <w:u w:val="single"/>
                <w:lang w:eastAsia="zh-CN"/>
              </w:rPr>
              <w:t>（大写：陆万元整）</w:t>
            </w:r>
            <w:r>
              <w:rPr>
                <w:rFonts w:hint="eastAsia" w:ascii="宋体" w:hAnsi="宋体" w:eastAsia="宋体" w:cs="Times New Roman"/>
                <w:b/>
                <w:bCs/>
                <w:sz w:val="21"/>
                <w:szCs w:val="21"/>
                <w:u w:val="single"/>
              </w:rPr>
              <w:t>，</w:t>
            </w:r>
            <w:r>
              <w:rPr>
                <w:rFonts w:hint="eastAsia" w:ascii="宋体" w:hAnsi="宋体" w:eastAsia="宋体" w:cs="Times New Roman"/>
                <w:b/>
                <w:bCs/>
                <w:sz w:val="21"/>
                <w:szCs w:val="21"/>
                <w:u w:val="single"/>
                <w:lang w:eastAsia="zh-CN"/>
              </w:rPr>
              <w:t>招标代理服务费包含评标过程中产生的专家评审费及生活费</w:t>
            </w:r>
            <w:r>
              <w:rPr>
                <w:rFonts w:hint="eastAsia" w:ascii="宋体" w:hAnsi="宋体" w:eastAsia="宋体" w:cs="Times New Roman"/>
                <w:b/>
                <w:bCs/>
                <w:sz w:val="21"/>
                <w:szCs w:val="21"/>
              </w:rPr>
              <w:t>。</w:t>
            </w:r>
          </w:p>
          <w:p w14:paraId="0B264978">
            <w:pPr>
              <w:spacing w:line="360" w:lineRule="auto"/>
              <w:jc w:val="left"/>
              <w:rPr>
                <w:rFonts w:hint="eastAsia" w:ascii="宋体" w:hAnsi="宋体" w:eastAsia="宋体" w:cs="Times New Roman"/>
                <w:b/>
                <w:bCs/>
                <w:sz w:val="21"/>
                <w:szCs w:val="21"/>
                <w:lang w:eastAsia="zh-CN"/>
              </w:rPr>
            </w:pPr>
            <w:r>
              <w:rPr>
                <w:rFonts w:hint="eastAsia" w:ascii="宋体" w:hAnsi="宋体" w:eastAsia="宋体" w:cs="Times New Roman"/>
                <w:b/>
                <w:bCs/>
                <w:sz w:val="21"/>
                <w:szCs w:val="21"/>
                <w:lang w:val="en-US" w:eastAsia="zh-CN"/>
              </w:rPr>
              <w:t>招标代理报酬支付主体：□招标人支付     ☑中标人支付。</w:t>
            </w:r>
          </w:p>
          <w:p w14:paraId="2DD63684">
            <w:pPr>
              <w:spacing w:line="360" w:lineRule="auto"/>
              <w:jc w:val="left"/>
              <w:rPr>
                <w:rFonts w:hint="eastAsia" w:ascii="宋体" w:hAnsi="宋体" w:eastAsia="宋体" w:cs="Times New Roman"/>
                <w:b/>
                <w:bCs/>
                <w:sz w:val="21"/>
                <w:szCs w:val="21"/>
                <w:lang w:eastAsia="zh-CN"/>
              </w:rPr>
            </w:pPr>
            <w:r>
              <w:rPr>
                <w:rFonts w:hint="eastAsia" w:ascii="宋体" w:hAnsi="宋体" w:eastAsia="宋体" w:cs="Times New Roman"/>
                <w:b/>
                <w:bCs/>
                <w:sz w:val="21"/>
                <w:szCs w:val="21"/>
                <w:lang w:eastAsia="zh-CN"/>
              </w:rPr>
              <w:t>其他费用：</w:t>
            </w:r>
            <w:r>
              <w:rPr>
                <w:rFonts w:hint="eastAsia" w:ascii="宋体" w:hAnsi="宋体" w:eastAsia="宋体" w:cs="Times New Roman"/>
                <w:b/>
                <w:bCs/>
                <w:sz w:val="21"/>
                <w:szCs w:val="21"/>
                <w:u w:val="single"/>
                <w:lang w:val="en-US" w:eastAsia="zh-CN"/>
              </w:rPr>
              <w:t>若项目非招标代理机构原因造成的复核或复审等二次评审所产生的费用，由中标人承担（包含专家隔夜评标住宿费、辅助评标区服务费、超时服务费等；外出评标产生的差旅费、住宿费等）</w:t>
            </w:r>
            <w:r>
              <w:rPr>
                <w:rFonts w:hint="eastAsia" w:ascii="宋体" w:hAnsi="宋体" w:eastAsia="宋体" w:cs="Times New Roman"/>
                <w:b/>
                <w:bCs/>
                <w:sz w:val="21"/>
                <w:szCs w:val="21"/>
                <w:lang w:eastAsia="zh-CN"/>
              </w:rPr>
              <w:t>。</w:t>
            </w:r>
          </w:p>
          <w:p w14:paraId="3C25143A">
            <w:pPr>
              <w:spacing w:line="360" w:lineRule="auto"/>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招标代理报酬（费用）支付方式：</w:t>
            </w:r>
            <w:r>
              <w:rPr>
                <w:rFonts w:hint="eastAsia" w:ascii="宋体" w:hAnsi="宋体" w:eastAsia="宋体" w:cs="Times New Roman"/>
                <w:b/>
                <w:bCs/>
                <w:sz w:val="21"/>
                <w:szCs w:val="21"/>
                <w:u w:val="single"/>
                <w:lang w:val="en-US" w:eastAsia="zh-CN"/>
              </w:rPr>
              <w:t>受托人应在招标文件中明确招标代理报酬的收取金额、收取方式和其他费用的收取方式（其他费用在招标结束由受托人提供支付证明向中标人收取）</w:t>
            </w:r>
            <w:r>
              <w:rPr>
                <w:rFonts w:hint="eastAsia" w:ascii="宋体" w:hAnsi="宋体" w:eastAsia="宋体" w:cs="Times New Roman"/>
                <w:b/>
                <w:bCs/>
                <w:sz w:val="21"/>
                <w:szCs w:val="21"/>
                <w:lang w:val="en-US" w:eastAsia="zh-CN"/>
              </w:rPr>
              <w:t>。</w:t>
            </w:r>
          </w:p>
          <w:p w14:paraId="51FEF4DB">
            <w:pPr>
              <w:pStyle w:val="63"/>
              <w:ind w:left="0" w:leftChars="0" w:firstLine="0" w:firstLineChars="0"/>
              <w:rPr>
                <w:rFonts w:hint="eastAsia" w:ascii="宋体" w:hAnsi="宋体" w:cs="Times New Roman"/>
                <w:b/>
                <w:bCs/>
                <w:sz w:val="21"/>
                <w:szCs w:val="21"/>
                <w:lang w:val="en-US" w:eastAsia="zh-CN"/>
              </w:rPr>
            </w:pPr>
            <w:r>
              <w:rPr>
                <w:rFonts w:hint="eastAsia" w:ascii="宋体" w:hAnsi="宋体" w:cs="Times New Roman"/>
                <w:b/>
                <w:bCs/>
                <w:sz w:val="21"/>
                <w:szCs w:val="21"/>
                <w:lang w:val="en-US" w:eastAsia="zh-CN"/>
              </w:rPr>
              <w:t>招标代理报酬收取方式：</w:t>
            </w:r>
            <w:r>
              <w:rPr>
                <w:rFonts w:hint="eastAsia" w:ascii="宋体" w:hAnsi="宋体" w:cs="Times New Roman"/>
                <w:b/>
                <w:bCs/>
                <w:sz w:val="21"/>
                <w:szCs w:val="21"/>
                <w:u w:val="single"/>
                <w:lang w:val="en-US" w:eastAsia="zh-CN"/>
              </w:rPr>
              <w:t>公对公转账</w:t>
            </w:r>
          </w:p>
          <w:p w14:paraId="4853B84A">
            <w:pPr>
              <w:pStyle w:val="63"/>
              <w:ind w:left="0" w:leftChars="0" w:firstLine="0" w:firstLineChars="0"/>
              <w:rPr>
                <w:rFonts w:hint="eastAsia" w:ascii="宋体" w:hAnsi="宋体" w:cs="Times New Roman"/>
                <w:b/>
                <w:bCs/>
                <w:sz w:val="21"/>
                <w:szCs w:val="21"/>
                <w:lang w:val="en-US" w:eastAsia="zh-CN"/>
              </w:rPr>
            </w:pPr>
            <w:r>
              <w:rPr>
                <w:rFonts w:hint="eastAsia" w:ascii="宋体" w:hAnsi="宋体" w:cs="Times New Roman"/>
                <w:b/>
                <w:bCs/>
                <w:sz w:val="21"/>
                <w:szCs w:val="21"/>
                <w:lang w:val="en-US" w:eastAsia="zh-CN"/>
              </w:rPr>
              <w:t>收款名称：</w:t>
            </w:r>
            <w:r>
              <w:rPr>
                <w:rFonts w:hint="eastAsia" w:ascii="宋体" w:hAnsi="宋体" w:cs="Times New Roman"/>
                <w:b/>
                <w:bCs/>
                <w:sz w:val="21"/>
                <w:szCs w:val="21"/>
                <w:u w:val="single"/>
                <w:lang w:val="en-US" w:eastAsia="zh-CN"/>
              </w:rPr>
              <w:t>云南诚昱招标代理有限公司</w:t>
            </w:r>
          </w:p>
          <w:p w14:paraId="3850DC2C">
            <w:pPr>
              <w:pStyle w:val="63"/>
              <w:ind w:left="0" w:leftChars="0" w:firstLine="0" w:firstLineChars="0"/>
              <w:rPr>
                <w:rFonts w:hint="default" w:ascii="宋体" w:hAnsi="宋体" w:cs="Times New Roman"/>
                <w:b/>
                <w:bCs/>
                <w:sz w:val="21"/>
                <w:szCs w:val="21"/>
                <w:lang w:val="en-US" w:eastAsia="zh-CN"/>
              </w:rPr>
            </w:pPr>
            <w:r>
              <w:rPr>
                <w:rFonts w:hint="eastAsia" w:ascii="宋体" w:hAnsi="宋体" w:cs="Times New Roman"/>
                <w:b/>
                <w:bCs/>
                <w:sz w:val="21"/>
                <w:szCs w:val="21"/>
                <w:lang w:val="en-US" w:eastAsia="zh-CN"/>
              </w:rPr>
              <w:t>收款账号：</w:t>
            </w:r>
            <w:r>
              <w:rPr>
                <w:rFonts w:hint="eastAsia" w:ascii="宋体" w:hAnsi="宋体" w:cs="Times New Roman"/>
                <w:b/>
                <w:bCs/>
                <w:sz w:val="21"/>
                <w:szCs w:val="21"/>
                <w:u w:val="single"/>
                <w:lang w:val="en-US" w:eastAsia="zh-CN"/>
              </w:rPr>
              <w:t>5305 0170 7836 0000 0126</w:t>
            </w:r>
          </w:p>
          <w:p w14:paraId="26D43E2E">
            <w:pPr>
              <w:numPr>
                <w:ilvl w:val="0"/>
                <w:numId w:val="0"/>
              </w:numPr>
              <w:spacing w:line="360" w:lineRule="auto"/>
              <w:jc w:val="both"/>
              <w:rPr>
                <w:rFonts w:hint="eastAsia" w:ascii="宋体" w:hAnsi="宋体" w:eastAsia="宋体" w:cs="宋体"/>
                <w:color w:val="auto"/>
                <w:highlight w:val="none"/>
                <w:lang w:val="en-US" w:eastAsia="zh-CN"/>
              </w:rPr>
            </w:pPr>
            <w:r>
              <w:rPr>
                <w:rFonts w:hint="eastAsia" w:ascii="宋体" w:hAnsi="宋体" w:cs="Times New Roman"/>
                <w:b/>
                <w:bCs/>
                <w:sz w:val="21"/>
                <w:szCs w:val="21"/>
                <w:lang w:val="en-US" w:eastAsia="zh-CN"/>
              </w:rPr>
              <w:t>开户银行：</w:t>
            </w:r>
            <w:r>
              <w:rPr>
                <w:rFonts w:hint="eastAsia" w:ascii="宋体" w:hAnsi="宋体" w:cs="Times New Roman"/>
                <w:b/>
                <w:bCs/>
                <w:sz w:val="21"/>
                <w:szCs w:val="21"/>
                <w:u w:val="single"/>
                <w:lang w:val="en-US" w:eastAsia="zh-CN"/>
              </w:rPr>
              <w:t>中国建设银行股份有限公司牟定支行</w:t>
            </w:r>
          </w:p>
        </w:tc>
      </w:tr>
      <w:tr w14:paraId="592E3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04E9995D">
            <w:pPr>
              <w:snapToGrid w:val="0"/>
              <w:ind w:firstLine="0"/>
              <w:jc w:val="center"/>
              <w:rPr>
                <w:rFonts w:hint="default" w:ascii="宋体" w:hAnsi="宋体" w:cs="宋体"/>
                <w:snapToGrid w:val="0"/>
                <w:color w:val="auto"/>
                <w:sz w:val="21"/>
                <w:szCs w:val="21"/>
                <w:highlight w:val="none"/>
                <w:lang w:val="en-US" w:eastAsia="zh-CN"/>
              </w:rPr>
            </w:pPr>
            <w:r>
              <w:rPr>
                <w:rFonts w:hint="eastAsia" w:ascii="宋体" w:hAnsi="宋体" w:cs="宋体"/>
                <w:snapToGrid w:val="0"/>
                <w:color w:val="auto"/>
                <w:sz w:val="21"/>
                <w:szCs w:val="21"/>
                <w:highlight w:val="none"/>
                <w:lang w:val="en-US" w:eastAsia="zh-CN"/>
              </w:rPr>
              <w:t>10.9</w:t>
            </w:r>
          </w:p>
        </w:tc>
        <w:tc>
          <w:tcPr>
            <w:tcW w:w="1997" w:type="dxa"/>
            <w:vAlign w:val="center"/>
          </w:tcPr>
          <w:p w14:paraId="5C2A0CDE">
            <w:pPr>
              <w:spacing w:line="360" w:lineRule="auto"/>
              <w:ind w:left="0" w:leftChars="0" w:firstLine="0" w:firstLineChars="0"/>
              <w:jc w:val="center"/>
              <w:rPr>
                <w:rFonts w:hint="eastAsia" w:ascii="宋体" w:hAnsi="宋体" w:eastAsia="宋体" w:cs="Times New Roman"/>
                <w:color w:val="auto"/>
                <w:kern w:val="0"/>
                <w:sz w:val="21"/>
                <w:szCs w:val="21"/>
                <w:u w:val="none"/>
                <w:lang w:val="en-US" w:eastAsia="zh-CN"/>
              </w:rPr>
            </w:pPr>
            <w:r>
              <w:rPr>
                <w:rFonts w:hint="eastAsia" w:ascii="宋体" w:hAnsi="宋体" w:cs="Times New Roman"/>
                <w:color w:val="auto"/>
                <w:kern w:val="0"/>
                <w:sz w:val="21"/>
                <w:szCs w:val="21"/>
                <w:u w:val="none"/>
                <w:lang w:val="en-US" w:eastAsia="zh-CN"/>
              </w:rPr>
              <w:t>其他补充说明</w:t>
            </w:r>
          </w:p>
          <w:p w14:paraId="4A53AC74">
            <w:pPr>
              <w:snapToGrid w:val="0"/>
              <w:ind w:firstLine="0"/>
              <w:jc w:val="center"/>
              <w:rPr>
                <w:rFonts w:hint="eastAsia" w:ascii="宋体" w:hAnsi="宋体"/>
                <w:color w:val="auto"/>
                <w:szCs w:val="21"/>
                <w:highlight w:val="none"/>
                <w:lang w:eastAsia="zh-CN"/>
              </w:rPr>
            </w:pPr>
          </w:p>
        </w:tc>
        <w:tc>
          <w:tcPr>
            <w:tcW w:w="6718" w:type="dxa"/>
            <w:vAlign w:val="center"/>
          </w:tcPr>
          <w:p w14:paraId="77C1378E">
            <w:pPr>
              <w:adjustRightInd w:val="0"/>
              <w:snapToGrid w:val="0"/>
              <w:spacing w:line="360" w:lineRule="auto"/>
              <w:ind w:left="0" w:leftChars="0" w:firstLine="0" w:firstLineChars="0"/>
              <w:rPr>
                <w:rFonts w:ascii="宋体" w:hAnsi="宋体"/>
                <w:color w:val="auto"/>
                <w:kern w:val="0"/>
                <w:szCs w:val="21"/>
                <w:u w:val="single"/>
              </w:rPr>
            </w:pPr>
            <w:bookmarkStart w:id="1133" w:name="_GoBack"/>
            <w:r>
              <w:rPr>
                <w:rFonts w:hint="eastAsia" w:ascii="宋体" w:hAnsi="宋体"/>
                <w:color w:val="auto"/>
                <w:kern w:val="0"/>
                <w:szCs w:val="21"/>
                <w:u w:val="single"/>
                <w:lang w:val="en-US" w:eastAsia="zh-CN"/>
              </w:rPr>
              <w:t>1.</w:t>
            </w:r>
            <w:r>
              <w:rPr>
                <w:rFonts w:ascii="宋体" w:hAnsi="宋体"/>
                <w:color w:val="auto"/>
                <w:kern w:val="0"/>
                <w:szCs w:val="21"/>
                <w:u w:val="single"/>
              </w:rPr>
              <w:t>异议（质疑）及投诉</w:t>
            </w:r>
          </w:p>
          <w:p w14:paraId="4DFD464E">
            <w:pPr>
              <w:adjustRightInd w:val="0"/>
              <w:snapToGrid w:val="0"/>
              <w:spacing w:line="360" w:lineRule="auto"/>
              <w:rPr>
                <w:rFonts w:ascii="宋体" w:hAnsi="宋体"/>
                <w:color w:val="auto"/>
                <w:kern w:val="0"/>
                <w:szCs w:val="21"/>
                <w:u w:val="single"/>
              </w:rPr>
            </w:pPr>
            <w:r>
              <w:rPr>
                <w:rFonts w:ascii="宋体" w:hAnsi="宋体"/>
                <w:color w:val="auto"/>
                <w:kern w:val="0"/>
                <w:szCs w:val="21"/>
                <w:u w:val="single"/>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763DDEAE">
            <w:pPr>
              <w:adjustRightInd w:val="0"/>
              <w:snapToGrid w:val="0"/>
              <w:spacing w:line="360" w:lineRule="auto"/>
              <w:rPr>
                <w:rFonts w:ascii="宋体" w:hAnsi="宋体"/>
                <w:color w:val="auto"/>
                <w:kern w:val="0"/>
                <w:szCs w:val="21"/>
                <w:u w:val="single"/>
              </w:rPr>
            </w:pPr>
            <w:r>
              <w:rPr>
                <w:rFonts w:ascii="宋体" w:hAnsi="宋体"/>
                <w:color w:val="auto"/>
                <w:kern w:val="0"/>
                <w:szCs w:val="21"/>
                <w:u w:val="single"/>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w:t>
            </w:r>
          </w:p>
          <w:p w14:paraId="001E19F8">
            <w:pPr>
              <w:adjustRightInd w:val="0"/>
              <w:snapToGrid w:val="0"/>
              <w:spacing w:line="360" w:lineRule="auto"/>
              <w:rPr>
                <w:rFonts w:ascii="宋体" w:hAnsi="宋体"/>
                <w:color w:val="auto"/>
                <w:kern w:val="0"/>
                <w:szCs w:val="21"/>
                <w:u w:val="single"/>
              </w:rPr>
            </w:pPr>
            <w:r>
              <w:rPr>
                <w:rFonts w:ascii="宋体" w:hAnsi="宋体"/>
                <w:color w:val="auto"/>
                <w:kern w:val="0"/>
                <w:szCs w:val="21"/>
                <w:u w:val="single"/>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暨云南省公共资源交易信息网“投标人”模块进行提交，其他利害关系人通过全国公共资源交易平台（云南省）暨云南省公共资源交易信息网“交易监督”模块进行提交。</w:t>
            </w:r>
          </w:p>
          <w:p w14:paraId="297F3AA6">
            <w:pPr>
              <w:adjustRightInd w:val="0"/>
              <w:snapToGrid w:val="0"/>
              <w:spacing w:line="360" w:lineRule="auto"/>
              <w:rPr>
                <w:rFonts w:ascii="宋体" w:hAnsi="宋体"/>
                <w:color w:val="auto"/>
                <w:kern w:val="0"/>
                <w:szCs w:val="21"/>
                <w:u w:val="single"/>
              </w:rPr>
            </w:pPr>
            <w:r>
              <w:rPr>
                <w:rFonts w:ascii="宋体" w:hAnsi="宋体"/>
                <w:color w:val="auto"/>
                <w:kern w:val="0"/>
                <w:szCs w:val="21"/>
                <w:u w:val="single"/>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723FD6F5">
            <w:pPr>
              <w:adjustRightInd w:val="0"/>
              <w:snapToGrid w:val="0"/>
              <w:spacing w:line="360" w:lineRule="auto"/>
              <w:rPr>
                <w:rFonts w:ascii="宋体" w:hAnsi="宋体"/>
                <w:color w:val="auto"/>
                <w:kern w:val="0"/>
                <w:szCs w:val="21"/>
                <w:u w:val="single"/>
              </w:rPr>
            </w:pPr>
            <w:r>
              <w:rPr>
                <w:rFonts w:ascii="宋体" w:hAnsi="宋体"/>
                <w:color w:val="auto"/>
                <w:kern w:val="0"/>
                <w:szCs w:val="21"/>
                <w:u w:val="single"/>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行政监督部门：牟定县住房和城乡建设局，联系电话：0878-5211523）。</w:t>
            </w:r>
          </w:p>
          <w:p w14:paraId="12FB748D">
            <w:pPr>
              <w:numPr>
                <w:ilvl w:val="0"/>
                <w:numId w:val="0"/>
              </w:numPr>
              <w:spacing w:line="360" w:lineRule="auto"/>
              <w:jc w:val="both"/>
              <w:rPr>
                <w:rFonts w:hint="eastAsia" w:ascii="宋体" w:hAnsi="宋体" w:cs="Times New Roman"/>
                <w:b/>
                <w:bCs/>
                <w:sz w:val="21"/>
                <w:szCs w:val="21"/>
                <w:lang w:val="en-US" w:eastAsia="zh-CN"/>
              </w:rPr>
            </w:pPr>
            <w:r>
              <w:rPr>
                <w:rFonts w:hint="eastAsia" w:ascii="宋体" w:hAnsi="宋体"/>
                <w:color w:val="auto"/>
                <w:kern w:val="0"/>
                <w:szCs w:val="21"/>
                <w:u w:val="single"/>
                <w:lang w:val="en-US" w:eastAsia="zh-CN"/>
              </w:rPr>
              <w:t>2.</w:t>
            </w:r>
            <w:r>
              <w:rPr>
                <w:rFonts w:ascii="宋体" w:hAnsi="宋体"/>
                <w:color w:val="auto"/>
                <w:kern w:val="0"/>
                <w:szCs w:val="21"/>
                <w:u w:val="single"/>
              </w:rPr>
              <w:t>中标通知书的发放与合同签订：中标通知书和合同签订以在线方式发放(布)，实施全流程电子化交易。</w:t>
            </w:r>
            <w:bookmarkEnd w:id="1133"/>
          </w:p>
        </w:tc>
      </w:tr>
    </w:tbl>
    <w:p w14:paraId="2871F211">
      <w:pPr>
        <w:spacing w:line="560" w:lineRule="exact"/>
        <w:rPr>
          <w:rFonts w:hint="eastAsia" w:ascii="宋体" w:hAnsi="宋体" w:cs="宋体"/>
          <w:color w:val="auto"/>
          <w:szCs w:val="21"/>
          <w:highlight w:val="none"/>
        </w:rPr>
        <w:sectPr>
          <w:headerReference r:id="rId3" w:type="default"/>
          <w:footerReference r:id="rId4" w:type="default"/>
          <w:pgSz w:w="11906" w:h="16838"/>
          <w:pgMar w:top="1440" w:right="1080" w:bottom="1440" w:left="1080" w:header="851" w:footer="992" w:gutter="0"/>
          <w:pgNumType w:fmt="decimal" w:start="1"/>
          <w:cols w:space="708" w:num="1"/>
          <w:docGrid w:type="linesAndChars" w:linePitch="312" w:charSpace="0"/>
        </w:sectPr>
      </w:pPr>
    </w:p>
    <w:p w14:paraId="0C2D15F7">
      <w:pPr>
        <w:pStyle w:val="3"/>
        <w:pBdr>
          <w:bottom w:val="none" w:color="auto" w:sz="0" w:space="0"/>
        </w:pBdr>
        <w:spacing w:before="0" w:after="0" w:line="360" w:lineRule="auto"/>
        <w:jc w:val="center"/>
        <w:rPr>
          <w:rFonts w:hint="eastAsia" w:ascii="宋体" w:hAnsi="宋体" w:eastAsia="宋体" w:cs="宋体"/>
          <w:b/>
          <w:color w:val="auto"/>
          <w:highlight w:val="none"/>
        </w:rPr>
      </w:pPr>
      <w:bookmarkStart w:id="85" w:name="_Toc444183914"/>
      <w:bookmarkStart w:id="86" w:name="_Toc3327"/>
      <w:bookmarkStart w:id="87" w:name="_Toc6549"/>
      <w:bookmarkStart w:id="88" w:name="_Toc13496"/>
      <w:bookmarkStart w:id="89" w:name="_Toc486525498"/>
      <w:r>
        <w:rPr>
          <w:rFonts w:hint="eastAsia" w:ascii="宋体" w:hAnsi="宋体" w:eastAsia="宋体" w:cs="宋体"/>
          <w:b/>
          <w:color w:val="auto"/>
          <w:highlight w:val="none"/>
          <w:lang w:eastAsia="zh-CN"/>
        </w:rPr>
        <w:t>三、</w:t>
      </w:r>
      <w:r>
        <w:rPr>
          <w:rFonts w:hint="eastAsia" w:ascii="宋体" w:hAnsi="宋体" w:eastAsia="宋体" w:cs="宋体"/>
          <w:b/>
          <w:color w:val="auto"/>
          <w:highlight w:val="none"/>
        </w:rPr>
        <w:t>投标人须知</w:t>
      </w:r>
      <w:bookmarkEnd w:id="85"/>
      <w:bookmarkEnd w:id="86"/>
      <w:bookmarkEnd w:id="87"/>
      <w:bookmarkEnd w:id="88"/>
      <w:bookmarkEnd w:id="89"/>
    </w:p>
    <w:p w14:paraId="7A9D136B">
      <w:pPr>
        <w:pStyle w:val="5"/>
        <w:pBdr>
          <w:bottom w:val="none" w:color="auto" w:sz="0" w:space="0"/>
        </w:pBdr>
        <w:spacing w:before="0" w:after="0" w:line="360" w:lineRule="auto"/>
        <w:rPr>
          <w:rFonts w:hint="eastAsia" w:ascii="宋体" w:hAnsi="宋体" w:eastAsia="宋体" w:cs="宋体"/>
          <w:b/>
          <w:color w:val="auto"/>
          <w:sz w:val="21"/>
          <w:szCs w:val="21"/>
          <w:highlight w:val="none"/>
        </w:rPr>
      </w:pPr>
      <w:bookmarkStart w:id="90" w:name="_Toc18075"/>
      <w:bookmarkStart w:id="91" w:name="_Toc4087"/>
      <w:bookmarkStart w:id="92" w:name="_Toc34382605"/>
      <w:bookmarkStart w:id="93" w:name="_Toc26136"/>
      <w:bookmarkStart w:id="94" w:name="_Toc25525"/>
      <w:bookmarkStart w:id="95" w:name="_Toc16599"/>
      <w:bookmarkStart w:id="96" w:name="_Toc486525499"/>
      <w:bookmarkStart w:id="97" w:name="_Toc1655"/>
      <w:bookmarkStart w:id="98" w:name="_Toc444183915"/>
      <w:bookmarkStart w:id="99" w:name="_Toc23602"/>
      <w:bookmarkStart w:id="100" w:name="_Toc26592"/>
      <w:bookmarkStart w:id="101" w:name="_Toc24811"/>
      <w:bookmarkStart w:id="102" w:name="_Toc365358345"/>
      <w:bookmarkStart w:id="103" w:name="_Toc31545"/>
      <w:r>
        <w:rPr>
          <w:rFonts w:hint="eastAsia" w:ascii="宋体" w:hAnsi="宋体" w:eastAsia="宋体" w:cs="宋体"/>
          <w:b/>
          <w:color w:val="auto"/>
          <w:sz w:val="21"/>
          <w:szCs w:val="21"/>
          <w:highlight w:val="none"/>
        </w:rPr>
        <w:t>1.总则</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734EA5E7">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4" w:name="_Toc24093"/>
      <w:r>
        <w:rPr>
          <w:rFonts w:hint="eastAsia" w:ascii="宋体" w:hAnsi="宋体" w:eastAsia="宋体" w:cs="宋体"/>
          <w:b/>
          <w:i w:val="0"/>
          <w:color w:val="auto"/>
          <w:szCs w:val="21"/>
          <w:highlight w:val="none"/>
        </w:rPr>
        <w:t>1.1项目概况</w:t>
      </w:r>
      <w:bookmarkEnd w:id="104"/>
    </w:p>
    <w:p w14:paraId="21E1FC44">
      <w:pPr>
        <w:spacing w:line="360" w:lineRule="auto"/>
        <w:ind w:right="66" w:rightChars="3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1.1.1根据《中华人民共和国招标投标法》等有关法律法规和规章的规定，本招标项目已具备招标条件，现对本项目进行公开招标。</w:t>
      </w:r>
    </w:p>
    <w:p w14:paraId="77021A9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1.1.2本招标项目招标人：见投标人须知前附表。</w:t>
      </w:r>
    </w:p>
    <w:p w14:paraId="75FAE86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1.1.3本项目招标代理机构：见投标人须知前附表。</w:t>
      </w:r>
    </w:p>
    <w:p w14:paraId="4A85DC9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1.1.4本招标项目名称：见投标人须知前附表。</w:t>
      </w:r>
    </w:p>
    <w:p w14:paraId="7CAB005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1.1.5本招标项目地点：见投标人须知前附表。</w:t>
      </w:r>
    </w:p>
    <w:p w14:paraId="0245B55B">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5" w:name="_Toc21894"/>
      <w:r>
        <w:rPr>
          <w:rFonts w:hint="eastAsia" w:ascii="宋体" w:hAnsi="宋体" w:eastAsia="宋体" w:cs="宋体"/>
          <w:b/>
          <w:i w:val="0"/>
          <w:color w:val="auto"/>
          <w:szCs w:val="21"/>
          <w:highlight w:val="none"/>
        </w:rPr>
        <w:t>1.2资金来源、出资比例和资金落实情况</w:t>
      </w:r>
      <w:bookmarkEnd w:id="105"/>
    </w:p>
    <w:p w14:paraId="1A67A2D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1.2.1本招标项目的资金来源：见投标人须知前附表。</w:t>
      </w:r>
    </w:p>
    <w:p w14:paraId="22138AFA">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1.2.2本招标项目的资金落实情况：见投标人须知前附表。</w:t>
      </w:r>
    </w:p>
    <w:p w14:paraId="13A6062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6" w:name="_Toc1324"/>
      <w:r>
        <w:rPr>
          <w:rFonts w:hint="eastAsia" w:ascii="宋体" w:hAnsi="宋体" w:eastAsia="宋体" w:cs="宋体"/>
          <w:b/>
          <w:i w:val="0"/>
          <w:color w:val="auto"/>
          <w:szCs w:val="21"/>
          <w:highlight w:val="none"/>
        </w:rPr>
        <w:t>1.3招标范围</w:t>
      </w:r>
      <w:bookmarkEnd w:id="106"/>
    </w:p>
    <w:p w14:paraId="5F3DF00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1.3.1本次招标范围：见投标人须知前附表；</w:t>
      </w:r>
    </w:p>
    <w:p w14:paraId="4040E39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1.3.2本次招标</w:t>
      </w:r>
      <w:r>
        <w:rPr>
          <w:rFonts w:hint="eastAsia" w:ascii="宋体" w:hAnsi="宋体" w:eastAsia="宋体" w:cs="宋体"/>
          <w:color w:val="000000"/>
          <w:lang w:val="zh-TW" w:eastAsia="zh-CN"/>
        </w:rPr>
        <w:t>特许经营期限</w:t>
      </w:r>
      <w:r>
        <w:rPr>
          <w:rFonts w:hint="eastAsia" w:ascii="宋体" w:hAnsi="宋体" w:cs="宋体"/>
          <w:color w:val="auto"/>
          <w:sz w:val="21"/>
          <w:szCs w:val="21"/>
          <w:highlight w:val="none"/>
        </w:rPr>
        <w:t>：见投标人须知前附表。</w:t>
      </w:r>
    </w:p>
    <w:p w14:paraId="38A3D67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1.3.3本招标项目建设、运营标准：见投标人须知前附表。</w:t>
      </w:r>
    </w:p>
    <w:p w14:paraId="028408A7">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1.3.4是否成立项目公司：</w:t>
      </w:r>
      <w:r>
        <w:rPr>
          <w:rFonts w:hint="eastAsia" w:ascii="宋体" w:hAnsi="宋体" w:cs="宋体"/>
          <w:color w:val="auto"/>
          <w:sz w:val="21"/>
          <w:szCs w:val="21"/>
          <w:highlight w:val="none"/>
        </w:rPr>
        <w:t>见投标人须知前附表。</w:t>
      </w:r>
    </w:p>
    <w:p w14:paraId="54B6587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1.3.</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本招标项目的标段划分：见投标人须知前附表。</w:t>
      </w:r>
    </w:p>
    <w:p w14:paraId="0061738A">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7" w:name="_Toc1420"/>
      <w:r>
        <w:rPr>
          <w:rFonts w:hint="eastAsia" w:ascii="宋体" w:hAnsi="宋体" w:eastAsia="宋体" w:cs="宋体"/>
          <w:b/>
          <w:i w:val="0"/>
          <w:color w:val="auto"/>
          <w:szCs w:val="21"/>
          <w:highlight w:val="none"/>
        </w:rPr>
        <w:t>1.4投标人资格要求</w:t>
      </w:r>
      <w:bookmarkEnd w:id="107"/>
    </w:p>
    <w:p w14:paraId="68A5EA4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1.4.1投标人资格要求：见投标人须知前附表。</w:t>
      </w:r>
    </w:p>
    <w:p w14:paraId="4F7FD5D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1.4.2是否接受联合体投标：见投标人须知前附表。</w:t>
      </w:r>
    </w:p>
    <w:p w14:paraId="09F1829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1.4.3投标人不得存在下列情形之一：</w:t>
      </w:r>
    </w:p>
    <w:p w14:paraId="195D901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（1）为招标人不具有独立法人资格的附属机构（单位）；</w:t>
      </w:r>
    </w:p>
    <w:p w14:paraId="647A11D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（2）与招标人存在利害关系且可能影响招标公正性；</w:t>
      </w:r>
    </w:p>
    <w:p w14:paraId="78E29C9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（3）为本项目提供招标代理服务的；</w:t>
      </w:r>
    </w:p>
    <w:p w14:paraId="2C3F5FC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（4）与本项目的代建人或招标代理机构同为一个法定代表人的；</w:t>
      </w:r>
    </w:p>
    <w:p w14:paraId="0DDB94C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（5）与本项目的代建人或招标代理机构相互控股或参股的；</w:t>
      </w:r>
    </w:p>
    <w:p w14:paraId="6D71CC8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（6）与本项目的代建人或招标代理机构相互任职或工作的；</w:t>
      </w:r>
    </w:p>
    <w:p w14:paraId="1F4BF39B">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（7）被责令停业的；</w:t>
      </w:r>
    </w:p>
    <w:p w14:paraId="0A36E37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（8）被暂停或取消投标资格的；</w:t>
      </w:r>
    </w:p>
    <w:p w14:paraId="46EED4C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（9）财产被接管的、破产的；</w:t>
      </w:r>
    </w:p>
    <w:p w14:paraId="5F0D183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（10）所附资料弄虚作假的。</w:t>
      </w:r>
    </w:p>
    <w:p w14:paraId="13E7167B">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8" w:name="_Toc9126"/>
      <w:r>
        <w:rPr>
          <w:rFonts w:hint="eastAsia" w:ascii="宋体" w:hAnsi="宋体" w:eastAsia="宋体" w:cs="宋体"/>
          <w:b/>
          <w:i w:val="0"/>
          <w:color w:val="auto"/>
          <w:szCs w:val="21"/>
          <w:highlight w:val="none"/>
        </w:rPr>
        <w:t>1.5费用承担</w:t>
      </w:r>
      <w:bookmarkEnd w:id="108"/>
    </w:p>
    <w:p w14:paraId="096857E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1.5.1投标人应承担其编制投标文件与递交投标文件所涉及的一切费用无论本项目的结果如何，投标人应承担所有其参加本项目的费用，招标人对上述费用不承担任何责任。</w:t>
      </w:r>
    </w:p>
    <w:p w14:paraId="6DFD6B7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招标代理服务费：本项目招标代理服务费为</w:t>
      </w:r>
      <w:r>
        <w:rPr>
          <w:rFonts w:hint="eastAsia" w:ascii="宋体" w:hAnsi="宋体" w:cs="宋体"/>
          <w:color w:val="auto"/>
          <w:sz w:val="21"/>
          <w:szCs w:val="21"/>
          <w:highlight w:val="none"/>
          <w:lang w:val="en-US" w:eastAsia="zh-CN"/>
        </w:rPr>
        <w:t>6.00</w:t>
      </w:r>
      <w:r>
        <w:rPr>
          <w:rFonts w:hint="eastAsia" w:ascii="宋体" w:hAnsi="宋体" w:cs="宋体"/>
          <w:color w:val="auto"/>
          <w:sz w:val="21"/>
          <w:szCs w:val="21"/>
          <w:highlight w:val="none"/>
        </w:rPr>
        <w:t>万元，由中标人在领取中标通知书前向招标代理机构一次性支付。</w:t>
      </w:r>
    </w:p>
    <w:p w14:paraId="72C6F5BC">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注：投标人在报价时应全面考虑上述费用。</w:t>
      </w:r>
    </w:p>
    <w:p w14:paraId="26512BD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w:t>
      </w:r>
      <w:r>
        <w:rPr>
          <w:rFonts w:hint="eastAsia" w:ascii="宋体" w:hAnsi="宋体" w:cs="宋体"/>
          <w:color w:val="auto"/>
          <w:sz w:val="21"/>
          <w:szCs w:val="21"/>
          <w:highlight w:val="none"/>
          <w:lang w:val="en-US" w:eastAsia="zh-CN"/>
        </w:rPr>
        <w:t>3若有其他费用，则</w:t>
      </w:r>
      <w:r>
        <w:rPr>
          <w:rFonts w:hint="eastAsia" w:ascii="宋体" w:hAnsi="宋体" w:cs="宋体"/>
          <w:color w:val="auto"/>
          <w:sz w:val="21"/>
          <w:szCs w:val="21"/>
          <w:highlight w:val="none"/>
        </w:rPr>
        <w:t>按国家、省、州相关规定收取。</w:t>
      </w:r>
    </w:p>
    <w:p w14:paraId="14DFD72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09" w:name="_Toc17430"/>
      <w:r>
        <w:rPr>
          <w:rFonts w:hint="eastAsia" w:ascii="宋体" w:hAnsi="宋体" w:eastAsia="宋体" w:cs="宋体"/>
          <w:b/>
          <w:i w:val="0"/>
          <w:color w:val="auto"/>
          <w:szCs w:val="21"/>
          <w:highlight w:val="none"/>
        </w:rPr>
        <w:t>1.6保密</w:t>
      </w:r>
      <w:bookmarkEnd w:id="109"/>
    </w:p>
    <w:p w14:paraId="527678C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参与招标投标活动的各方应对招标文件和投标文件中的商业和技术等秘密保密，违者应对由此造成的后果承担法律责任。</w:t>
      </w:r>
    </w:p>
    <w:p w14:paraId="638F8C1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0" w:name="_Toc10556"/>
      <w:r>
        <w:rPr>
          <w:rFonts w:hint="eastAsia" w:ascii="宋体" w:hAnsi="宋体" w:eastAsia="宋体" w:cs="宋体"/>
          <w:b/>
          <w:i w:val="0"/>
          <w:color w:val="auto"/>
          <w:szCs w:val="21"/>
          <w:highlight w:val="none"/>
        </w:rPr>
        <w:t>1.7语言文字</w:t>
      </w:r>
      <w:bookmarkEnd w:id="110"/>
    </w:p>
    <w:p w14:paraId="38F4810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除专用术语外，与招标投标有关的语言均使用中文。必要时专用术语应附有中文注释。</w:t>
      </w:r>
    </w:p>
    <w:p w14:paraId="52659D45">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1" w:name="_Toc16985"/>
      <w:r>
        <w:rPr>
          <w:rFonts w:hint="eastAsia" w:ascii="宋体" w:hAnsi="宋体" w:eastAsia="宋体" w:cs="宋体"/>
          <w:b/>
          <w:i w:val="0"/>
          <w:color w:val="auto"/>
          <w:szCs w:val="21"/>
          <w:highlight w:val="none"/>
        </w:rPr>
        <w:t>1.8计量单位</w:t>
      </w:r>
      <w:bookmarkEnd w:id="111"/>
    </w:p>
    <w:p w14:paraId="60CE21E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所有计量均采用中华人民共和国法定计量单位。</w:t>
      </w:r>
    </w:p>
    <w:p w14:paraId="5CD02036">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2" w:name="_Toc2441"/>
      <w:r>
        <w:rPr>
          <w:rFonts w:hint="eastAsia" w:ascii="宋体" w:hAnsi="宋体" w:eastAsia="宋体" w:cs="宋体"/>
          <w:b/>
          <w:i w:val="0"/>
          <w:color w:val="auto"/>
          <w:szCs w:val="21"/>
          <w:highlight w:val="none"/>
        </w:rPr>
        <w:t>1.9踏勘现场</w:t>
      </w:r>
      <w:bookmarkEnd w:id="112"/>
    </w:p>
    <w:p w14:paraId="5D54662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1.9.1投标人须知前附表规定组织踏勘现场的，招标人按投标人须知前附表规定的时间、地点组织投标人踏勘项目现场。</w:t>
      </w:r>
    </w:p>
    <w:p w14:paraId="779D2961">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1.9.2投标人踏勘现场发生的费用自理。</w:t>
      </w:r>
    </w:p>
    <w:p w14:paraId="229FBD3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1.9.3除招标人的原因外，投标人自行负责在踏勘现场中所发生的人员伤亡和财产损失。</w:t>
      </w:r>
    </w:p>
    <w:p w14:paraId="68651DB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1.9.4招标人在踏勘现场中介绍的工程场地和相关的周边环境情况，供投标人在编制投标文件时参考，招标人不对投标人据此作出的判断和决策负责。</w:t>
      </w:r>
    </w:p>
    <w:p w14:paraId="44419F2A">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3" w:name="_Toc30673"/>
      <w:r>
        <w:rPr>
          <w:rFonts w:hint="eastAsia" w:ascii="宋体" w:hAnsi="宋体" w:eastAsia="宋体" w:cs="宋体"/>
          <w:b/>
          <w:i w:val="0"/>
          <w:color w:val="auto"/>
          <w:szCs w:val="21"/>
          <w:highlight w:val="none"/>
        </w:rPr>
        <w:t>1.10投标预备会</w:t>
      </w:r>
      <w:bookmarkEnd w:id="113"/>
    </w:p>
    <w:p w14:paraId="79BBB68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1.10.1投标人须知前附表规定召开投标预备会的，招标人按投标人须知前附表规定的相关内容召开投标预备会，澄清投标人提出的问题。</w:t>
      </w:r>
    </w:p>
    <w:p w14:paraId="31562FF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1.10.2投标人应在投标人须知前附表规定的时间前，所有获取了招标文件的潜在投标人凭企业数字证书（CA）登录“网站：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input720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input721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https://ggzy.yn.gov.cn/homePage#/homePage</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”，通过网络在线方式向招标人或招标代理进行署名提问，招标人或招标代理需对所有潜在投标人进行统一回复。</w:t>
      </w:r>
    </w:p>
    <w:p w14:paraId="37D1DD5A">
      <w:pPr>
        <w:spacing w:line="360" w:lineRule="auto"/>
        <w:ind w:firstLine="420" w:firstLineChars="20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1.10.3投标预备会后，招标人在投标人须知前附表规定的时间内，将对投标人所提问题的澄清，由招标人以补遗书方式按程序报有关主管部门备案后，提交公共资源交易中心统一通过网络向潜在投标人发布，所有获取了招标文件的潜在投标人登录“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input722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全国公共资源交易平台（云南省）暨云南省公共资源交易信息网（点击切换至“楚雄州”）</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AUTOTEXT  input723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https://ggzy.yn.gov.cn/homePage#/homePage</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”凭企业身份认证数字证书（CA）查看澄清内容。</w:t>
      </w:r>
    </w:p>
    <w:p w14:paraId="2652BFE9">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4" w:name="_Toc12066"/>
      <w:r>
        <w:rPr>
          <w:rFonts w:hint="eastAsia" w:ascii="宋体" w:hAnsi="宋体" w:eastAsia="宋体" w:cs="宋体"/>
          <w:b/>
          <w:i w:val="0"/>
          <w:color w:val="auto"/>
          <w:szCs w:val="21"/>
          <w:highlight w:val="none"/>
        </w:rPr>
        <w:t>1.11分包</w:t>
      </w:r>
      <w:bookmarkEnd w:id="114"/>
    </w:p>
    <w:p w14:paraId="209B246D">
      <w:pPr>
        <w:spacing w:line="360" w:lineRule="auto"/>
        <w:ind w:firstLine="420" w:firstLineChars="20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应符合投标人须知前附表的相关规定</w:t>
      </w:r>
      <w:r>
        <w:rPr>
          <w:rFonts w:hint="eastAsia" w:ascii="宋体" w:hAnsi="宋体" w:cs="宋体"/>
          <w:color w:val="auto"/>
          <w:sz w:val="21"/>
          <w:szCs w:val="21"/>
          <w:highlight w:val="none"/>
        </w:rPr>
        <w:t>。</w:t>
      </w:r>
    </w:p>
    <w:p w14:paraId="11678C97">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15" w:name="_Toc22949"/>
      <w:r>
        <w:rPr>
          <w:rFonts w:hint="eastAsia" w:ascii="宋体" w:hAnsi="宋体" w:eastAsia="宋体" w:cs="宋体"/>
          <w:b/>
          <w:i w:val="0"/>
          <w:color w:val="auto"/>
          <w:szCs w:val="21"/>
          <w:highlight w:val="none"/>
        </w:rPr>
        <w:t>1.12偏离</w:t>
      </w:r>
      <w:bookmarkEnd w:id="115"/>
    </w:p>
    <w:p w14:paraId="1B543BB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见投标人须知前附表。</w:t>
      </w:r>
    </w:p>
    <w:p w14:paraId="31A1FAC3">
      <w:pPr>
        <w:pStyle w:val="5"/>
        <w:pBdr>
          <w:bottom w:val="none" w:color="auto" w:sz="0" w:space="0"/>
        </w:pBdr>
        <w:spacing w:before="0" w:after="0" w:line="360" w:lineRule="auto"/>
        <w:rPr>
          <w:rFonts w:hint="eastAsia" w:ascii="宋体" w:hAnsi="宋体" w:eastAsia="宋体" w:cs="宋体"/>
          <w:b/>
          <w:color w:val="auto"/>
          <w:highlight w:val="none"/>
        </w:rPr>
      </w:pPr>
      <w:bookmarkStart w:id="116" w:name="_Toc10913"/>
      <w:bookmarkStart w:id="117" w:name="_Toc2492"/>
      <w:bookmarkStart w:id="118" w:name="_Toc12238"/>
      <w:bookmarkStart w:id="119" w:name="_Toc13415"/>
      <w:bookmarkStart w:id="120" w:name="_Toc444183916"/>
      <w:bookmarkStart w:id="121" w:name="_Toc9196"/>
      <w:bookmarkStart w:id="122" w:name="_Toc24857"/>
      <w:bookmarkStart w:id="123" w:name="_Toc11664"/>
      <w:bookmarkStart w:id="124" w:name="_Toc365358346"/>
      <w:bookmarkStart w:id="125" w:name="_Toc34382606"/>
      <w:bookmarkStart w:id="126" w:name="_Toc11213"/>
      <w:bookmarkStart w:id="127" w:name="_Toc32386"/>
      <w:bookmarkStart w:id="128" w:name="_Toc13852"/>
      <w:bookmarkStart w:id="129" w:name="_Toc486525500"/>
      <w:r>
        <w:rPr>
          <w:rFonts w:hint="eastAsia" w:ascii="宋体" w:hAnsi="宋体" w:eastAsia="宋体" w:cs="宋体"/>
          <w:b/>
          <w:color w:val="auto"/>
          <w:highlight w:val="none"/>
        </w:rPr>
        <w:t>2．招标文件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2769260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30" w:name="_Toc30227"/>
      <w:r>
        <w:rPr>
          <w:rFonts w:hint="eastAsia" w:ascii="宋体" w:hAnsi="宋体" w:eastAsia="宋体" w:cs="宋体"/>
          <w:b/>
          <w:i w:val="0"/>
          <w:color w:val="auto"/>
          <w:szCs w:val="21"/>
          <w:highlight w:val="none"/>
        </w:rPr>
        <w:t>2.1招标文件的组成</w:t>
      </w:r>
      <w:bookmarkEnd w:id="130"/>
    </w:p>
    <w:p w14:paraId="52BE912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本招标文件包括：</w:t>
      </w:r>
    </w:p>
    <w:p w14:paraId="31ADC87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（1）招标公告；</w:t>
      </w:r>
    </w:p>
    <w:p w14:paraId="48FE3D7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（2）投标人须知；</w:t>
      </w:r>
    </w:p>
    <w:p w14:paraId="585B0CA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（3）评标办法；</w:t>
      </w:r>
    </w:p>
    <w:p w14:paraId="5906641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（4）合同条款及格式；</w:t>
      </w:r>
    </w:p>
    <w:p w14:paraId="36F8022A">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（5）项目概况；</w:t>
      </w:r>
    </w:p>
    <w:p w14:paraId="5EBB963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（6）投标文件格式。</w:t>
      </w:r>
    </w:p>
    <w:p w14:paraId="500277C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根据本章第1.10款、第2.2款和第2.3款对招标文件所</w:t>
      </w:r>
      <w:r>
        <w:rPr>
          <w:rFonts w:hint="eastAsia" w:ascii="宋体" w:hAnsi="宋体" w:cs="宋体"/>
          <w:color w:val="auto"/>
          <w:sz w:val="21"/>
          <w:szCs w:val="21"/>
          <w:highlight w:val="none"/>
          <w:lang w:eastAsia="zh-CN"/>
        </w:rPr>
        <w:t>做</w:t>
      </w:r>
      <w:r>
        <w:rPr>
          <w:rFonts w:hint="eastAsia" w:ascii="宋体" w:hAnsi="宋体" w:cs="宋体"/>
          <w:color w:val="auto"/>
          <w:sz w:val="21"/>
          <w:szCs w:val="21"/>
          <w:highlight w:val="none"/>
        </w:rPr>
        <w:t>的澄清、修改，构成招标文件的组成部分。</w:t>
      </w:r>
    </w:p>
    <w:p w14:paraId="1C6A8BF7">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31" w:name="_Toc342"/>
      <w:r>
        <w:rPr>
          <w:rFonts w:hint="eastAsia" w:ascii="宋体" w:hAnsi="宋体" w:eastAsia="宋体" w:cs="宋体"/>
          <w:b/>
          <w:i w:val="0"/>
          <w:color w:val="auto"/>
          <w:szCs w:val="21"/>
          <w:highlight w:val="none"/>
        </w:rPr>
        <w:t>2.2招标文件的澄清</w:t>
      </w:r>
      <w:bookmarkEnd w:id="131"/>
    </w:p>
    <w:p w14:paraId="67500DAA">
      <w:pPr>
        <w:adjustRightInd w:val="0"/>
        <w:snapToGrid w:val="0"/>
        <w:spacing w:line="360" w:lineRule="auto"/>
        <w:ind w:firstLine="420" w:firstLineChars="200"/>
        <w:rPr>
          <w:rFonts w:ascii="宋体" w:hAnsi="宋体"/>
          <w:kern w:val="0"/>
          <w:sz w:val="21"/>
          <w:szCs w:val="21"/>
        </w:rPr>
      </w:pPr>
      <w:bookmarkStart w:id="132" w:name="_Toc23640"/>
      <w:r>
        <w:rPr>
          <w:rFonts w:hint="eastAsia" w:ascii="宋体" w:hAnsi="宋体"/>
          <w:kern w:val="0"/>
          <w:sz w:val="21"/>
          <w:szCs w:val="21"/>
        </w:rPr>
        <w:t>2.2.1同1.10.2的时间要求。投标人应仔细阅读和检查招标文件的全部内容。如发现缺页或附件不全，应及时向招标人提出，以便补齐。如有疑问，应在投标人须知前附表规定的时间前以在线署名提交方式登录</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input450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，要求招标人对招标文件予以澄清。</w:t>
      </w:r>
    </w:p>
    <w:p w14:paraId="052927CD">
      <w:pPr>
        <w:adjustRightInd w:val="0"/>
        <w:snapToGrid w:val="0"/>
        <w:spacing w:line="360" w:lineRule="auto"/>
        <w:ind w:firstLine="420" w:firstLineChars="200"/>
        <w:rPr>
          <w:rFonts w:ascii="宋体" w:hAnsi="宋体"/>
          <w:kern w:val="0"/>
          <w:sz w:val="21"/>
          <w:szCs w:val="21"/>
        </w:rPr>
      </w:pPr>
      <w:r>
        <w:rPr>
          <w:rFonts w:hint="eastAsia" w:ascii="宋体" w:hAnsi="宋体"/>
          <w:kern w:val="0"/>
          <w:sz w:val="21"/>
          <w:szCs w:val="21"/>
        </w:rPr>
        <w:t>2.2.2投标截止时间：见投标人须知前附表。</w:t>
      </w:r>
    </w:p>
    <w:p w14:paraId="16E88C50">
      <w:pPr>
        <w:adjustRightInd w:val="0"/>
        <w:snapToGrid w:val="0"/>
        <w:spacing w:line="360" w:lineRule="auto"/>
        <w:ind w:firstLine="420" w:firstLineChars="200"/>
        <w:rPr>
          <w:rFonts w:ascii="宋体" w:hAnsi="宋体"/>
          <w:kern w:val="0"/>
          <w:sz w:val="32"/>
          <w:szCs w:val="32"/>
        </w:rPr>
      </w:pPr>
      <w:r>
        <w:rPr>
          <w:rFonts w:hint="eastAsia" w:ascii="宋体" w:hAnsi="宋体"/>
          <w:kern w:val="0"/>
          <w:sz w:val="21"/>
          <w:szCs w:val="21"/>
        </w:rPr>
        <w:t>2.2.3招标澄清和补遗全部通过网络送达，请投标人在开标截止日前，务必查询网站信息，投标人自行登录</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input451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获取澄清，如果澄清发出的时间距投标人须知前附表规定的投标截止时间不足15天，并且澄清内容影响投标文件编制的，应相应延长投标截止时间</w:t>
      </w:r>
      <w:r>
        <w:rPr>
          <w:rFonts w:hint="eastAsia" w:ascii="宋体" w:hAnsi="宋体"/>
          <w:kern w:val="0"/>
        </w:rPr>
        <w:t>。</w:t>
      </w:r>
    </w:p>
    <w:p w14:paraId="759E09D5">
      <w:pPr>
        <w:pStyle w:val="6"/>
        <w:pBdr>
          <w:bottom w:val="none" w:color="auto" w:sz="0" w:space="0"/>
        </w:pBdr>
        <w:spacing w:before="0" w:after="0" w:line="360" w:lineRule="auto"/>
        <w:rPr>
          <w:rFonts w:hint="eastAsia" w:ascii="宋体" w:hAnsi="宋体" w:eastAsia="宋体" w:cs="宋体"/>
          <w:b/>
          <w:i w:val="0"/>
          <w:color w:val="auto"/>
          <w:szCs w:val="21"/>
          <w:highlight w:val="none"/>
        </w:rPr>
      </w:pPr>
      <w:r>
        <w:rPr>
          <w:rFonts w:hint="eastAsia" w:ascii="宋体" w:hAnsi="宋体" w:eastAsia="宋体" w:cs="宋体"/>
          <w:b/>
          <w:i w:val="0"/>
          <w:color w:val="auto"/>
          <w:szCs w:val="21"/>
          <w:highlight w:val="none"/>
        </w:rPr>
        <w:t>2.3招标文件的修改</w:t>
      </w:r>
      <w:bookmarkEnd w:id="132"/>
    </w:p>
    <w:p w14:paraId="3D22BC31">
      <w:pPr>
        <w:adjustRightInd w:val="0"/>
        <w:snapToGrid w:val="0"/>
        <w:spacing w:line="360" w:lineRule="auto"/>
        <w:ind w:firstLine="420" w:firstLineChars="200"/>
        <w:jc w:val="left"/>
        <w:rPr>
          <w:rFonts w:ascii="宋体" w:hAnsi="宋体"/>
          <w:kern w:val="0"/>
          <w:sz w:val="21"/>
          <w:szCs w:val="21"/>
        </w:rPr>
      </w:pPr>
      <w:bookmarkStart w:id="133" w:name="_Toc3547"/>
      <w:bookmarkStart w:id="134" w:name="_Toc30363"/>
      <w:bookmarkStart w:id="135" w:name="_Toc20490"/>
      <w:bookmarkStart w:id="136" w:name="_Toc11001"/>
      <w:bookmarkStart w:id="137" w:name="_Toc25731"/>
      <w:bookmarkStart w:id="138" w:name="_Toc444183917"/>
      <w:bookmarkStart w:id="139" w:name="_Toc365358347"/>
      <w:bookmarkStart w:id="140" w:name="_Toc32675"/>
      <w:bookmarkStart w:id="141" w:name="_Toc729"/>
      <w:bookmarkStart w:id="142" w:name="_Toc7785"/>
      <w:bookmarkStart w:id="143" w:name="_Toc3878"/>
      <w:bookmarkStart w:id="144" w:name="_Toc486525501"/>
      <w:bookmarkStart w:id="145" w:name="_Toc34382607"/>
      <w:bookmarkStart w:id="146" w:name="_Toc19576"/>
      <w:r>
        <w:rPr>
          <w:rFonts w:hint="eastAsia" w:ascii="宋体" w:hAnsi="宋体"/>
          <w:kern w:val="0"/>
          <w:sz w:val="21"/>
          <w:szCs w:val="21"/>
        </w:rPr>
        <w:t>2.3.1在投标截止时间15天前，确需要变更招标文件内容的，招标人可主动或在解答投标人提出的澄清问题时对招标文件进行修改，并同时报主管部门备案。</w:t>
      </w:r>
    </w:p>
    <w:p w14:paraId="789A89A0">
      <w:pPr>
        <w:adjustRightInd w:val="0"/>
        <w:snapToGrid w:val="0"/>
        <w:spacing w:line="360" w:lineRule="auto"/>
        <w:ind w:firstLine="420" w:firstLineChars="200"/>
        <w:jc w:val="left"/>
        <w:rPr>
          <w:rFonts w:ascii="宋体" w:hAnsi="宋体"/>
          <w:kern w:val="0"/>
          <w:sz w:val="21"/>
          <w:szCs w:val="21"/>
        </w:rPr>
      </w:pPr>
      <w:r>
        <w:rPr>
          <w:rFonts w:hint="eastAsia" w:ascii="宋体" w:hAnsi="宋体"/>
          <w:kern w:val="0"/>
          <w:sz w:val="21"/>
          <w:szCs w:val="21"/>
        </w:rPr>
        <w:t>招标人对工程量清单、评标办法做出变更的，需要重新制作电子招标文件，并重新备案，同时发布补遗文件进行说明以保证各投标人都能重新下载最新的电子招标文件用于编制电子投标文件。</w:t>
      </w:r>
    </w:p>
    <w:p w14:paraId="5B9EB98E">
      <w:pPr>
        <w:adjustRightInd w:val="0"/>
        <w:snapToGrid w:val="0"/>
        <w:spacing w:line="360" w:lineRule="auto"/>
        <w:ind w:firstLine="420" w:firstLineChars="200"/>
        <w:jc w:val="left"/>
        <w:rPr>
          <w:rFonts w:ascii="宋体" w:hAnsi="宋体"/>
          <w:kern w:val="0"/>
          <w:sz w:val="21"/>
          <w:szCs w:val="21"/>
        </w:rPr>
      </w:pPr>
      <w:r>
        <w:rPr>
          <w:rFonts w:hint="eastAsia" w:ascii="宋体" w:hAnsi="宋体"/>
          <w:kern w:val="0"/>
          <w:sz w:val="21"/>
          <w:szCs w:val="21"/>
        </w:rPr>
        <w:t>招标文件的修改将在“</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input452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”发布，招标文件的修改作为招标文件的组成部分，并具有约束力。但如果修改招标文件的时间距投标截止时间不足15天，并且修改内容影响投标文件编制的，应相应延长投标截止时间。</w:t>
      </w:r>
    </w:p>
    <w:p w14:paraId="7341754B">
      <w:pPr>
        <w:adjustRightInd w:val="0"/>
        <w:snapToGrid w:val="0"/>
        <w:spacing w:line="360" w:lineRule="auto"/>
        <w:ind w:firstLine="420" w:firstLineChars="200"/>
        <w:jc w:val="left"/>
        <w:rPr>
          <w:rFonts w:ascii="宋体" w:hAnsi="宋体"/>
          <w:kern w:val="0"/>
          <w:sz w:val="21"/>
          <w:szCs w:val="21"/>
        </w:rPr>
      </w:pPr>
      <w:r>
        <w:rPr>
          <w:rFonts w:hint="eastAsia" w:ascii="宋体" w:hAnsi="宋体"/>
          <w:kern w:val="0"/>
          <w:sz w:val="21"/>
          <w:szCs w:val="21"/>
        </w:rPr>
        <w:t>2.3.2投标人自行登录</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input453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收取修改内容。投标人应在投标截止时间前自行查看“</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input454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”中有关该工程招标文件的答疑、补遗内容。否则，由此引起的投标损失自负。</w:t>
      </w:r>
    </w:p>
    <w:p w14:paraId="313DAFFD">
      <w:pPr>
        <w:adjustRightInd w:val="0"/>
        <w:snapToGrid w:val="0"/>
        <w:spacing w:line="360" w:lineRule="auto"/>
        <w:ind w:firstLine="420" w:firstLineChars="200"/>
        <w:jc w:val="left"/>
        <w:rPr>
          <w:rFonts w:ascii="宋体" w:hAnsi="宋体" w:cs="宋体"/>
          <w:kern w:val="0"/>
          <w:sz w:val="21"/>
          <w:szCs w:val="21"/>
        </w:rPr>
      </w:pPr>
      <w:r>
        <w:rPr>
          <w:rFonts w:hint="eastAsia" w:ascii="宋体" w:hAnsi="宋体"/>
          <w:kern w:val="0"/>
          <w:sz w:val="21"/>
          <w:szCs w:val="21"/>
        </w:rPr>
        <w:t>2.3.3</w:t>
      </w:r>
      <w:r>
        <w:rPr>
          <w:rFonts w:hint="eastAsia" w:ascii="宋体" w:hAnsi="宋体" w:cs="宋体"/>
          <w:kern w:val="0"/>
          <w:sz w:val="21"/>
          <w:szCs w:val="21"/>
        </w:rPr>
        <w:t>潜在投标人或者其他利害关系人对招标文件有异议的，应当在</w:t>
      </w:r>
      <w:r>
        <w:rPr>
          <w:rFonts w:hint="eastAsia" w:ascii="宋体" w:hAnsi="宋体" w:cs="宋体"/>
          <w:b/>
          <w:kern w:val="0"/>
          <w:sz w:val="21"/>
          <w:szCs w:val="21"/>
        </w:rPr>
        <w:t>投标截止时间10日</w:t>
      </w:r>
      <w:r>
        <w:rPr>
          <w:rFonts w:hint="eastAsia" w:ascii="宋体" w:hAnsi="宋体" w:cs="宋体"/>
          <w:kern w:val="0"/>
          <w:sz w:val="21"/>
          <w:szCs w:val="21"/>
        </w:rPr>
        <w:t>前提出。招标人应当自收到异议之日起</w:t>
      </w:r>
      <w:r>
        <w:rPr>
          <w:rFonts w:hint="eastAsia" w:ascii="宋体" w:hAnsi="宋体" w:cs="宋体"/>
          <w:b/>
          <w:kern w:val="0"/>
          <w:sz w:val="21"/>
          <w:szCs w:val="21"/>
        </w:rPr>
        <w:t>3日内作出答复</w:t>
      </w:r>
      <w:r>
        <w:rPr>
          <w:rFonts w:hint="eastAsia" w:ascii="宋体" w:hAnsi="宋体" w:cs="宋体"/>
          <w:kern w:val="0"/>
          <w:sz w:val="21"/>
          <w:szCs w:val="21"/>
        </w:rPr>
        <w:t>；作出答复前，应当暂停招标投标活动。</w:t>
      </w:r>
    </w:p>
    <w:p w14:paraId="26954C90">
      <w:pPr>
        <w:adjustRightInd w:val="0"/>
        <w:snapToGrid w:val="0"/>
        <w:spacing w:line="360" w:lineRule="auto"/>
        <w:ind w:firstLine="420" w:firstLineChars="200"/>
        <w:jc w:val="left"/>
        <w:rPr>
          <w:rFonts w:ascii="宋体" w:hAnsi="宋体"/>
          <w:kern w:val="0"/>
        </w:rPr>
      </w:pPr>
      <w:r>
        <w:rPr>
          <w:rFonts w:hint="eastAsia" w:ascii="宋体" w:hAnsi="宋体"/>
          <w:kern w:val="0"/>
          <w:sz w:val="21"/>
          <w:szCs w:val="21"/>
        </w:rPr>
        <w:t>2.3.4招标文件、招标文件澄清、招标文件修改文件内容均以网上发布的为准，当招标文件、招标文件澄清、招标文件修改文件内容相互矛盾时，以最后发出的为准。</w:t>
      </w:r>
    </w:p>
    <w:p w14:paraId="0043DD08">
      <w:pPr>
        <w:pStyle w:val="5"/>
        <w:pBdr>
          <w:bottom w:val="none" w:color="auto" w:sz="0" w:space="0"/>
        </w:pBdr>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3．投标文件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3398F7E7">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47" w:name="_Toc15530"/>
      <w:r>
        <w:rPr>
          <w:rFonts w:hint="eastAsia" w:ascii="宋体" w:hAnsi="宋体" w:eastAsia="宋体" w:cs="宋体"/>
          <w:b/>
          <w:i w:val="0"/>
          <w:color w:val="auto"/>
          <w:szCs w:val="21"/>
          <w:highlight w:val="none"/>
        </w:rPr>
        <w:t>3.1投标文件的组成</w:t>
      </w:r>
      <w:bookmarkEnd w:id="147"/>
    </w:p>
    <w:p w14:paraId="4288E515">
      <w:pPr>
        <w:spacing w:line="360" w:lineRule="auto"/>
        <w:ind w:firstLine="420" w:firstLineChars="200"/>
        <w:rPr>
          <w:rFonts w:hint="eastAsia" w:ascii="宋体" w:hAnsi="宋体" w:cs="宋体"/>
          <w:color w:val="FF0000"/>
          <w:sz w:val="21"/>
          <w:szCs w:val="21"/>
          <w:highlight w:val="none"/>
        </w:rPr>
      </w:pPr>
      <w:r>
        <w:rPr>
          <w:rFonts w:hint="eastAsia" w:ascii="宋体" w:hAnsi="宋体" w:cs="宋体"/>
          <w:color w:val="auto"/>
          <w:sz w:val="21"/>
          <w:szCs w:val="21"/>
          <w:highlight w:val="none"/>
        </w:rPr>
        <w:t>3.1.1投标文件全部采用电子文档，</w:t>
      </w:r>
      <w:r>
        <w:rPr>
          <w:rFonts w:hint="eastAsia" w:ascii="宋体" w:hAnsi="宋体" w:cs="宋体"/>
          <w:color w:val="FF0000"/>
          <w:sz w:val="21"/>
          <w:szCs w:val="21"/>
          <w:highlight w:val="none"/>
        </w:rPr>
        <w:t>格式为*.BTBJ</w:t>
      </w:r>
      <w:r>
        <w:rPr>
          <w:rFonts w:hint="eastAsia" w:ascii="宋体" w:hAnsi="宋体"/>
          <w:color w:val="FF0000"/>
          <w:kern w:val="0"/>
          <w:sz w:val="21"/>
          <w:szCs w:val="21"/>
        </w:rPr>
        <w:t>。</w:t>
      </w:r>
    </w:p>
    <w:p w14:paraId="3D572D9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3.1.2在编制技术标投标文件时，粘贴图片使用JPG格式的文件，并且每张图片的分辩率建议小于100dpi，最终的每份标书文件所占用的磁盘空间应尽量不大于200M，否则可能无法生成投标文件。</w:t>
      </w:r>
    </w:p>
    <w:p w14:paraId="6A9B030A">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3.1.3投标人须知前附表规定不接受联合体投标的，或投标人没有组成联合体的，投标文件不包括本章所指的联合体协议书。</w:t>
      </w:r>
    </w:p>
    <w:p w14:paraId="041C8387">
      <w:pPr>
        <w:spacing w:line="360" w:lineRule="auto"/>
        <w:ind w:firstLine="0"/>
        <w:rPr>
          <w:rFonts w:hint="eastAsia" w:ascii="宋体" w:hAnsi="宋体" w:cs="宋体"/>
          <w:color w:val="auto"/>
          <w:sz w:val="21"/>
          <w:szCs w:val="21"/>
          <w:highlight w:val="none"/>
        </w:rPr>
      </w:pPr>
      <w:r>
        <w:rPr>
          <w:rFonts w:hint="eastAsia" w:ascii="宋体" w:hAnsi="宋体" w:cs="宋体"/>
          <w:b/>
          <w:color w:val="auto"/>
          <w:sz w:val="24"/>
          <w:highlight w:val="none"/>
        </w:rPr>
        <w:t>3.2最高投标限价</w:t>
      </w:r>
      <w:r>
        <w:rPr>
          <w:rFonts w:hint="eastAsia" w:ascii="宋体" w:hAnsi="宋体" w:cs="宋体"/>
          <w:color w:val="auto"/>
          <w:sz w:val="21"/>
          <w:szCs w:val="21"/>
          <w:highlight w:val="none"/>
        </w:rPr>
        <w:t>见投标须知前附表。</w:t>
      </w:r>
    </w:p>
    <w:p w14:paraId="4B1A6A8C">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48" w:name="_Toc28161"/>
      <w:r>
        <w:rPr>
          <w:rFonts w:hint="eastAsia" w:ascii="宋体" w:hAnsi="宋体" w:eastAsia="宋体" w:cs="宋体"/>
          <w:b/>
          <w:i w:val="0"/>
          <w:color w:val="auto"/>
          <w:szCs w:val="21"/>
          <w:highlight w:val="none"/>
        </w:rPr>
        <w:t>3.3投标有效期</w:t>
      </w:r>
      <w:bookmarkEnd w:id="148"/>
    </w:p>
    <w:p w14:paraId="2D2B4A1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3.3.1在投标人须知前附表规定的投标有效期内，投标人不得要求撤销或修改其投标文件。</w:t>
      </w:r>
    </w:p>
    <w:p w14:paraId="59239B4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61246D6">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49" w:name="_Toc18756"/>
      <w:r>
        <w:rPr>
          <w:rFonts w:hint="eastAsia" w:ascii="宋体" w:hAnsi="宋体" w:eastAsia="宋体" w:cs="宋体"/>
          <w:b/>
          <w:i w:val="0"/>
          <w:color w:val="auto"/>
          <w:szCs w:val="21"/>
          <w:highlight w:val="none"/>
        </w:rPr>
        <w:t>3.4投标保证金</w:t>
      </w:r>
      <w:bookmarkEnd w:id="149"/>
    </w:p>
    <w:p w14:paraId="14B455CE">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3.4.1投标人在递交投标文件的同时，应按投标人须知前附表规定的金额、担保形式递交投标保证金。</w:t>
      </w:r>
    </w:p>
    <w:p w14:paraId="36B7D32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3.4.2投标人不按本章第3.4.1项要求提交投标保证金的，其投标文件作废标处理。</w:t>
      </w:r>
    </w:p>
    <w:p w14:paraId="4CB9B3E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3.4.3投标保证金按汇款原账户退回。</w:t>
      </w:r>
    </w:p>
    <w:p w14:paraId="766B553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3.4.4投标保证金不予退还的情形：</w:t>
      </w:r>
    </w:p>
    <w:p w14:paraId="307EBF2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投标人在规定的投标有效期内撤销或修改其投标文件；</w:t>
      </w:r>
    </w:p>
    <w:p w14:paraId="33E4FA60">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中标人在收到中标通知书后，无正当理由拒签合同协议书或未按照招标文件规定提交履约担保；</w:t>
      </w:r>
    </w:p>
    <w:p w14:paraId="7388A16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投标人不接受依据评标办法的规定对其投标文件中细微偏差进行澄清和补正；</w:t>
      </w:r>
    </w:p>
    <w:p w14:paraId="094D743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投标人提交了虚假资料。</w:t>
      </w:r>
    </w:p>
    <w:p w14:paraId="0730D1CD">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50" w:name="_Toc21202"/>
      <w:r>
        <w:rPr>
          <w:rFonts w:hint="eastAsia" w:ascii="宋体" w:hAnsi="宋体" w:eastAsia="宋体" w:cs="宋体"/>
          <w:b/>
          <w:i w:val="0"/>
          <w:color w:val="auto"/>
          <w:szCs w:val="21"/>
          <w:highlight w:val="none"/>
        </w:rPr>
        <w:t>3.5资格审查资料</w:t>
      </w:r>
      <w:bookmarkEnd w:id="150"/>
    </w:p>
    <w:p w14:paraId="7CB54499">
      <w:pPr>
        <w:adjustRightInd w:val="0"/>
        <w:snapToGrid w:val="0"/>
        <w:spacing w:line="360" w:lineRule="auto"/>
        <w:ind w:firstLine="420" w:firstLineChars="200"/>
        <w:jc w:val="left"/>
        <w:rPr>
          <w:rFonts w:ascii="宋体" w:hAnsi="宋体"/>
          <w:kern w:val="0"/>
          <w:sz w:val="21"/>
          <w:szCs w:val="21"/>
        </w:rPr>
      </w:pPr>
      <w:r>
        <w:rPr>
          <w:rFonts w:hint="eastAsia" w:ascii="宋体" w:hAnsi="宋体"/>
          <w:kern w:val="0"/>
          <w:sz w:val="21"/>
          <w:szCs w:val="21"/>
        </w:rPr>
        <w:t>3.5.1“投标人基本情况表”应附投标人营业执照证明材料、资质证</w:t>
      </w:r>
      <w:r>
        <w:rPr>
          <w:rFonts w:hint="eastAsia" w:ascii="宋体" w:hAnsi="宋体"/>
          <w:kern w:val="0"/>
          <w:sz w:val="21"/>
          <w:szCs w:val="21"/>
          <w:lang w:eastAsia="zh-CN"/>
        </w:rPr>
        <w:t>书</w:t>
      </w:r>
      <w:r>
        <w:rPr>
          <w:rFonts w:hint="eastAsia" w:ascii="宋体" w:hAnsi="宋体"/>
          <w:kern w:val="0"/>
          <w:sz w:val="21"/>
          <w:szCs w:val="21"/>
        </w:rPr>
        <w:t>等材料的扫描件。</w:t>
      </w:r>
    </w:p>
    <w:p w14:paraId="51158E4D">
      <w:pPr>
        <w:adjustRightInd w:val="0"/>
        <w:snapToGrid w:val="0"/>
        <w:spacing w:line="360" w:lineRule="auto"/>
        <w:ind w:firstLine="420" w:firstLineChars="200"/>
        <w:jc w:val="left"/>
        <w:rPr>
          <w:rFonts w:ascii="宋体" w:hAnsi="宋体"/>
          <w:kern w:val="0"/>
          <w:sz w:val="21"/>
          <w:szCs w:val="21"/>
        </w:rPr>
      </w:pPr>
      <w:r>
        <w:rPr>
          <w:rFonts w:hint="eastAsia" w:ascii="宋体" w:hAnsi="宋体"/>
          <w:kern w:val="0"/>
          <w:sz w:val="21"/>
          <w:szCs w:val="21"/>
        </w:rPr>
        <w:t>3.5.2“近年财务状况表”应附有效的财务报表，具体年份要求见投标人须知前附表。</w:t>
      </w:r>
    </w:p>
    <w:p w14:paraId="2506DD76">
      <w:pPr>
        <w:adjustRightInd w:val="0"/>
        <w:snapToGrid w:val="0"/>
        <w:spacing w:line="360" w:lineRule="auto"/>
        <w:ind w:firstLine="420" w:firstLineChars="200"/>
        <w:jc w:val="left"/>
        <w:rPr>
          <w:rFonts w:hint="eastAsia" w:ascii="宋体" w:hAnsi="宋体" w:cs="宋体"/>
          <w:color w:val="auto"/>
          <w:sz w:val="21"/>
          <w:szCs w:val="21"/>
          <w:highlight w:val="none"/>
        </w:rPr>
      </w:pPr>
      <w:r>
        <w:rPr>
          <w:rFonts w:hint="eastAsia" w:ascii="宋体" w:hAnsi="宋体"/>
          <w:kern w:val="0"/>
          <w:sz w:val="21"/>
          <w:szCs w:val="21"/>
        </w:rPr>
        <w:t>3.5.3“近年完成的类似项目情况表”应附合同协议书和工程竣工验收登记表扫描件，具体年份要求见投标人须知前附表。每张表格只填写一个项目，并标明序号。</w:t>
      </w:r>
    </w:p>
    <w:p w14:paraId="20538D8E">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51" w:name="_Toc26773"/>
      <w:r>
        <w:rPr>
          <w:rFonts w:hint="eastAsia" w:ascii="宋体" w:hAnsi="宋体" w:eastAsia="宋体" w:cs="宋体"/>
          <w:b/>
          <w:i w:val="0"/>
          <w:color w:val="auto"/>
          <w:szCs w:val="21"/>
          <w:highlight w:val="none"/>
        </w:rPr>
        <w:t>3.6备选投标方案</w:t>
      </w:r>
      <w:bookmarkEnd w:id="151"/>
    </w:p>
    <w:p w14:paraId="4C44B8F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670EA1BD">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52" w:name="_Toc17077"/>
      <w:r>
        <w:rPr>
          <w:rFonts w:hint="eastAsia" w:ascii="宋体" w:hAnsi="宋体" w:eastAsia="宋体" w:cs="宋体"/>
          <w:b/>
          <w:i w:val="0"/>
          <w:color w:val="auto"/>
          <w:szCs w:val="21"/>
          <w:highlight w:val="none"/>
        </w:rPr>
        <w:t>3.7投标文件的编制</w:t>
      </w:r>
      <w:bookmarkEnd w:id="152"/>
    </w:p>
    <w:p w14:paraId="1454967D">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3.7.1投标文件格式：见投标人须知前附表。</w:t>
      </w:r>
    </w:p>
    <w:p w14:paraId="08082D40">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3.7.2如投标人提交的电子标书不符合3.7.1要求或开标时无法读取导入或解密，其投标文件将不予受理。投标文件应当对招标文件有关项目实施时间、投标有效期、质量标准、招标范围等实质性内容作出响应。</w:t>
      </w:r>
    </w:p>
    <w:p w14:paraId="1C19B2D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3.7.3投标文件的签署：见投标人须知前附表。</w:t>
      </w:r>
    </w:p>
    <w:p w14:paraId="2AF2900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3.7.4投标文件递交及有关内容：见投标人须知前附表。</w:t>
      </w:r>
    </w:p>
    <w:p w14:paraId="16FE42E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3.7.5投标文件的加密：见投标人须知前附表。</w:t>
      </w:r>
    </w:p>
    <w:p w14:paraId="0B10D79A">
      <w:pPr>
        <w:pStyle w:val="5"/>
        <w:numPr>
          <w:ilvl w:val="0"/>
          <w:numId w:val="4"/>
        </w:numPr>
        <w:pBdr>
          <w:bottom w:val="none" w:color="auto" w:sz="0" w:space="0"/>
        </w:pBdr>
        <w:spacing w:before="0" w:after="0" w:line="360" w:lineRule="auto"/>
        <w:rPr>
          <w:rFonts w:hint="eastAsia" w:ascii="宋体" w:hAnsi="宋体" w:eastAsia="宋体" w:cs="宋体"/>
          <w:b/>
          <w:color w:val="auto"/>
          <w:highlight w:val="none"/>
        </w:rPr>
      </w:pPr>
      <w:bookmarkStart w:id="153" w:name="_Toc18114"/>
      <w:bookmarkStart w:id="154" w:name="_Toc34382608"/>
      <w:bookmarkStart w:id="155" w:name="_Toc7763"/>
      <w:bookmarkStart w:id="156" w:name="_Toc444183918"/>
      <w:bookmarkStart w:id="157" w:name="_Toc2569"/>
      <w:bookmarkStart w:id="158" w:name="_Toc13395"/>
      <w:bookmarkStart w:id="159" w:name="_Toc486525502"/>
      <w:bookmarkStart w:id="160" w:name="_Toc8054"/>
      <w:bookmarkStart w:id="161" w:name="_Toc29721"/>
      <w:bookmarkStart w:id="162" w:name="_Toc29457"/>
      <w:bookmarkStart w:id="163" w:name="_Toc28679"/>
      <w:bookmarkStart w:id="164" w:name="_Toc26320"/>
      <w:bookmarkStart w:id="165" w:name="_Toc365358348"/>
      <w:bookmarkStart w:id="166" w:name="_Toc21613"/>
      <w:r>
        <w:rPr>
          <w:rFonts w:hint="eastAsia" w:ascii="宋体" w:hAnsi="宋体" w:eastAsia="宋体" w:cs="宋体"/>
          <w:b/>
          <w:color w:val="auto"/>
          <w:highlight w:val="none"/>
        </w:rPr>
        <w:t>投标</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35CD340">
      <w:pPr>
        <w:pStyle w:val="6"/>
        <w:pBdr>
          <w:bottom w:val="none" w:color="auto" w:sz="0" w:space="0"/>
        </w:pBdr>
        <w:spacing w:before="0" w:after="0" w:line="360" w:lineRule="auto"/>
        <w:rPr>
          <w:rFonts w:hint="eastAsia" w:ascii="宋体" w:hAnsi="宋体" w:eastAsia="宋体" w:cs="宋体"/>
          <w:b/>
          <w:i w:val="0"/>
          <w:iCs w:val="0"/>
          <w:color w:val="auto"/>
          <w:szCs w:val="21"/>
          <w:highlight w:val="none"/>
        </w:rPr>
      </w:pPr>
      <w:bookmarkStart w:id="167" w:name="_Toc31522"/>
      <w:r>
        <w:rPr>
          <w:rFonts w:hint="eastAsia" w:ascii="宋体" w:hAnsi="宋体" w:eastAsia="宋体" w:cs="宋体"/>
          <w:b/>
          <w:i w:val="0"/>
          <w:iCs w:val="0"/>
          <w:color w:val="auto"/>
          <w:szCs w:val="21"/>
          <w:highlight w:val="none"/>
        </w:rPr>
        <w:t>4.1投标文件的上传</w:t>
      </w:r>
      <w:bookmarkEnd w:id="167"/>
    </w:p>
    <w:p w14:paraId="3921EF29">
      <w:pPr>
        <w:adjustRightInd w:val="0"/>
        <w:snapToGrid w:val="0"/>
        <w:spacing w:line="360" w:lineRule="auto"/>
        <w:ind w:firstLine="420" w:firstLineChars="200"/>
        <w:rPr>
          <w:rFonts w:ascii="宋体" w:hAnsi="宋体"/>
          <w:kern w:val="0"/>
          <w:sz w:val="21"/>
          <w:szCs w:val="21"/>
        </w:rPr>
      </w:pPr>
      <w:bookmarkStart w:id="168" w:name="_Toc14859"/>
      <w:bookmarkStart w:id="169" w:name="_Toc365358349"/>
      <w:r>
        <w:rPr>
          <w:rFonts w:hint="eastAsia" w:ascii="宋体" w:hAnsi="宋体"/>
          <w:kern w:val="0"/>
          <w:sz w:val="21"/>
          <w:szCs w:val="21"/>
        </w:rPr>
        <w:t>4.1.1投标人应在本章第2.2.2项规定的投标截止时间前将电子投标文件上传到</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input455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，未按规定在投标截止时间前上传投标文件的，视为撤回其投标文件。</w:t>
      </w:r>
    </w:p>
    <w:p w14:paraId="65E0CB36">
      <w:pPr>
        <w:adjustRightInd w:val="0"/>
        <w:snapToGrid w:val="0"/>
        <w:spacing w:line="360" w:lineRule="auto"/>
        <w:ind w:firstLine="420" w:firstLineChars="200"/>
        <w:rPr>
          <w:rFonts w:ascii="宋体" w:hAnsi="宋体"/>
          <w:kern w:val="0"/>
          <w:sz w:val="21"/>
          <w:szCs w:val="21"/>
        </w:rPr>
      </w:pPr>
      <w:r>
        <w:rPr>
          <w:rFonts w:hint="eastAsia" w:ascii="宋体" w:hAnsi="宋体"/>
          <w:kern w:val="0"/>
          <w:sz w:val="21"/>
          <w:szCs w:val="21"/>
        </w:rPr>
        <w:t>4.1.2除投标人须知前附表另有规定外，投标人所递交的投标文件不予退还。</w:t>
      </w:r>
    </w:p>
    <w:p w14:paraId="7BE0D637">
      <w:pPr>
        <w:adjustRightInd w:val="0"/>
        <w:snapToGrid w:val="0"/>
        <w:spacing w:line="360" w:lineRule="auto"/>
        <w:ind w:firstLine="420" w:firstLineChars="200"/>
        <w:rPr>
          <w:rFonts w:ascii="宋体" w:hAnsi="宋体"/>
          <w:kern w:val="0"/>
          <w:szCs w:val="28"/>
        </w:rPr>
      </w:pPr>
      <w:r>
        <w:rPr>
          <w:rFonts w:hint="eastAsia" w:ascii="宋体" w:hAnsi="宋体"/>
          <w:kern w:val="0"/>
          <w:sz w:val="21"/>
          <w:szCs w:val="21"/>
        </w:rPr>
        <w:t>4.1.3网上上传投标文件：投标人登录“</w:t>
      </w:r>
      <w:r>
        <w:rPr>
          <w:rFonts w:ascii="宋体" w:hAnsi="宋体"/>
          <w:color w:val="3333FF"/>
          <w:kern w:val="0"/>
          <w:sz w:val="21"/>
          <w:szCs w:val="21"/>
          <w:u w:val="single"/>
        </w:rPr>
        <w:fldChar w:fldCharType="begin"/>
      </w:r>
      <w:r>
        <w:rPr>
          <w:rFonts w:ascii="宋体" w:hAnsi="宋体"/>
          <w:color w:val="3333FF"/>
          <w:kern w:val="0"/>
          <w:sz w:val="21"/>
          <w:szCs w:val="21"/>
          <w:u w:val="single"/>
        </w:rPr>
        <w:instrText xml:space="preserve"> </w:instrText>
      </w:r>
      <w:r>
        <w:rPr>
          <w:rFonts w:hint="eastAsia" w:ascii="宋体" w:hAnsi="宋体"/>
          <w:color w:val="3333FF"/>
          <w:kern w:val="0"/>
          <w:sz w:val="21"/>
          <w:szCs w:val="21"/>
          <w:u w:val="single"/>
        </w:rPr>
        <w:instrText xml:space="preserve">AUTOTEXT  input456 \* MERGEFORMAT</w:instrText>
      </w:r>
      <w:r>
        <w:rPr>
          <w:rFonts w:ascii="宋体" w:hAnsi="宋体"/>
          <w:color w:val="3333FF"/>
          <w:kern w:val="0"/>
          <w:sz w:val="21"/>
          <w:szCs w:val="21"/>
          <w:u w:val="single"/>
        </w:rPr>
        <w:instrText xml:space="preserve"> </w:instrText>
      </w:r>
      <w:r>
        <w:rPr>
          <w:rFonts w:ascii="宋体" w:hAnsi="宋体"/>
          <w:color w:val="3333FF"/>
          <w:kern w:val="0"/>
          <w:sz w:val="21"/>
          <w:szCs w:val="21"/>
          <w:u w:val="single"/>
        </w:rPr>
        <w:fldChar w:fldCharType="separate"/>
      </w:r>
      <w:r>
        <w:rPr>
          <w:rFonts w:hint="eastAsia" w:ascii="宋体" w:hAnsi="宋体"/>
          <w:color w:val="000000" w:themeColor="text1"/>
          <w:kern w:val="0"/>
          <w:sz w:val="21"/>
          <w:szCs w:val="21"/>
          <w:u w:val="single"/>
          <w14:textFill>
            <w14:solidFill>
              <w14:schemeClr w14:val="tx1"/>
            </w14:solidFill>
          </w14:textFill>
        </w:rPr>
        <w:t>全国公共资源交易平台</w:t>
      </w:r>
      <w:r>
        <w:rPr>
          <w:rFonts w:hint="eastAsia" w:ascii="宋体" w:hAnsi="宋体"/>
          <w:color w:val="3333FF"/>
          <w:kern w:val="0"/>
          <w:sz w:val="21"/>
          <w:szCs w:val="21"/>
          <w:u w:val="single"/>
        </w:rPr>
        <w:t>（云南省）暨云南省公共资源交易信息网（点击切换至“楚雄州”）</w:t>
      </w:r>
      <w:r>
        <w:rPr>
          <w:rFonts w:ascii="宋体" w:hAnsi="宋体"/>
          <w:color w:val="3333FF"/>
          <w:kern w:val="0"/>
          <w:sz w:val="21"/>
          <w:szCs w:val="21"/>
          <w:u w:val="single"/>
        </w:rPr>
        <w:fldChar w:fldCharType="end"/>
      </w:r>
      <w:r>
        <w:rPr>
          <w:rFonts w:hint="eastAsia" w:ascii="宋体" w:hAnsi="宋体"/>
          <w:kern w:val="0"/>
          <w:sz w:val="21"/>
          <w:szCs w:val="21"/>
        </w:rPr>
        <w:t>”，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5DEA6C99">
      <w:pPr>
        <w:pStyle w:val="6"/>
        <w:pBdr>
          <w:bottom w:val="none" w:color="auto" w:sz="0" w:space="0"/>
        </w:pBdr>
        <w:spacing w:before="0" w:after="0" w:line="360" w:lineRule="auto"/>
        <w:rPr>
          <w:rFonts w:hint="eastAsia" w:ascii="宋体" w:hAnsi="宋体" w:eastAsia="宋体" w:cs="宋体"/>
          <w:b/>
          <w:i w:val="0"/>
          <w:color w:val="auto"/>
          <w:szCs w:val="21"/>
          <w:highlight w:val="none"/>
        </w:rPr>
      </w:pPr>
      <w:r>
        <w:rPr>
          <w:rFonts w:hint="eastAsia" w:ascii="宋体" w:hAnsi="宋体" w:eastAsia="宋体" w:cs="宋体"/>
          <w:b/>
          <w:i w:val="0"/>
          <w:color w:val="auto"/>
          <w:szCs w:val="21"/>
          <w:highlight w:val="none"/>
        </w:rPr>
        <w:t>4.2投标文件的修改与撤回</w:t>
      </w:r>
      <w:bookmarkEnd w:id="168"/>
    </w:p>
    <w:p w14:paraId="746AB35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4.2.1在本章第2.2.2项规定的投标截止时间前，投标人可以修改或撤回已在网上上传的投标文件，无须书面形式通知招标人。</w:t>
      </w:r>
    </w:p>
    <w:p w14:paraId="62BED21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4.2.2投标人撤回投标文件的，可在规定时间内申请退还已缴纳的投标保证金。</w:t>
      </w:r>
    </w:p>
    <w:p w14:paraId="2EFF4F3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4.2.3修改的内容为投标文件的组成部分。修改的投标文件应按照本章第3条、第4条规定进行编制和上传。</w:t>
      </w:r>
    </w:p>
    <w:p w14:paraId="41000F31">
      <w:pPr>
        <w:pStyle w:val="5"/>
        <w:pBdr>
          <w:bottom w:val="none" w:color="auto" w:sz="0" w:space="0"/>
        </w:pBdr>
        <w:spacing w:before="0" w:after="0" w:line="360" w:lineRule="auto"/>
        <w:rPr>
          <w:rFonts w:hint="eastAsia" w:ascii="宋体" w:hAnsi="宋体" w:eastAsia="宋体" w:cs="宋体"/>
          <w:b/>
          <w:color w:val="auto"/>
          <w:highlight w:val="none"/>
        </w:rPr>
      </w:pPr>
      <w:bookmarkStart w:id="170" w:name="_Toc12919"/>
      <w:bookmarkStart w:id="171" w:name="_Toc34382609"/>
      <w:bookmarkStart w:id="172" w:name="_Toc21944"/>
      <w:bookmarkStart w:id="173" w:name="_Toc20572"/>
      <w:bookmarkStart w:id="174" w:name="_Toc2786"/>
      <w:bookmarkStart w:id="175" w:name="_Toc444183919"/>
      <w:bookmarkStart w:id="176" w:name="_Toc12490"/>
      <w:bookmarkStart w:id="177" w:name="_Toc31406"/>
      <w:bookmarkStart w:id="178" w:name="_Toc30576"/>
      <w:bookmarkStart w:id="179" w:name="_Toc486525503"/>
      <w:bookmarkStart w:id="180" w:name="_Toc12937"/>
      <w:bookmarkStart w:id="181" w:name="_Toc19226"/>
      <w:bookmarkStart w:id="182" w:name="_Toc23653"/>
      <w:r>
        <w:rPr>
          <w:rFonts w:hint="eastAsia" w:ascii="宋体" w:hAnsi="宋体" w:eastAsia="宋体" w:cs="宋体"/>
          <w:b/>
          <w:color w:val="auto"/>
          <w:highlight w:val="none"/>
        </w:rPr>
        <w:t>5．开标</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13D8319C">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83" w:name="_Toc14133"/>
      <w:r>
        <w:rPr>
          <w:rFonts w:hint="eastAsia" w:ascii="宋体" w:hAnsi="宋体" w:eastAsia="宋体" w:cs="宋体"/>
          <w:b/>
          <w:i w:val="0"/>
          <w:color w:val="auto"/>
          <w:szCs w:val="21"/>
          <w:highlight w:val="none"/>
        </w:rPr>
        <w:t>5.1开标时间和地点</w:t>
      </w:r>
      <w:bookmarkEnd w:id="183"/>
    </w:p>
    <w:p w14:paraId="64C0645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招标人在本章第2.2.2项规定的投标截止时间（开标时间）和投标人须知前附表规定的地点公开开标，并邀请所有投标人的法定代表人或其委托代理人准时参加。</w:t>
      </w:r>
    </w:p>
    <w:p w14:paraId="318603D4">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184" w:name="_Toc23671"/>
      <w:r>
        <w:rPr>
          <w:rFonts w:hint="eastAsia" w:ascii="宋体" w:hAnsi="宋体" w:eastAsia="宋体" w:cs="宋体"/>
          <w:b/>
          <w:i w:val="0"/>
          <w:color w:val="auto"/>
          <w:szCs w:val="21"/>
          <w:highlight w:val="none"/>
        </w:rPr>
        <w:t>5.2开标程序</w:t>
      </w:r>
      <w:bookmarkEnd w:id="184"/>
    </w:p>
    <w:p w14:paraId="2F1E7CA1">
      <w:pPr>
        <w:spacing w:line="360" w:lineRule="auto"/>
        <w:ind w:firstLine="420" w:firstLineChars="200"/>
        <w:rPr>
          <w:rFonts w:hint="eastAsia" w:ascii="宋体" w:hAnsi="宋体" w:cs="宋体"/>
          <w:color w:val="auto"/>
          <w:sz w:val="21"/>
          <w:szCs w:val="21"/>
          <w:highlight w:val="none"/>
        </w:rPr>
      </w:pPr>
      <w:bookmarkStart w:id="185" w:name="_Toc365358350"/>
      <w:r>
        <w:rPr>
          <w:rFonts w:hint="eastAsia" w:ascii="宋体" w:hAnsi="宋体" w:cs="宋体"/>
          <w:color w:val="auto"/>
          <w:sz w:val="21"/>
          <w:szCs w:val="21"/>
          <w:highlight w:val="none"/>
        </w:rPr>
        <w:t>主持人按下列程序进行开标：</w:t>
      </w:r>
    </w:p>
    <w:p w14:paraId="066FCB40">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宣布开标纪律；</w:t>
      </w:r>
    </w:p>
    <w:p w14:paraId="497C9B9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照交易平台自动提取所有投标人顺序当众开标，导入有效投标人的电子投标文件，同时，对网上递交加密投标文件的投标文件，提供现场解密，解密完成后，公布投标人名称、项目名称、投标保证金的递交情况、投标报价及其他内容，并记录在案。因投标人原因造成投标文件未解密的，视为撤销其投标文件；</w:t>
      </w:r>
    </w:p>
    <w:p w14:paraId="2B8A6E7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投标人代表、招标人代表、监标人、记录人等有关人员在开标记录上签字确认；</w:t>
      </w:r>
    </w:p>
    <w:p w14:paraId="046FC0C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开标结束。</w:t>
      </w:r>
    </w:p>
    <w:p w14:paraId="14A2D5AD">
      <w:pPr>
        <w:pStyle w:val="6"/>
        <w:pBdr>
          <w:bottom w:val="none" w:color="auto" w:sz="0" w:space="0"/>
        </w:pBdr>
        <w:spacing w:before="0" w:after="0" w:line="360" w:lineRule="auto"/>
        <w:rPr>
          <w:rFonts w:hint="eastAsia" w:ascii="宋体" w:hAnsi="宋体" w:eastAsia="宋体" w:cs="宋体"/>
          <w:b/>
          <w:i w:val="0"/>
          <w:iCs w:val="0"/>
          <w:color w:val="auto"/>
          <w:szCs w:val="21"/>
          <w:highlight w:val="none"/>
        </w:rPr>
      </w:pPr>
      <w:bookmarkStart w:id="186" w:name="_Toc6592"/>
      <w:r>
        <w:rPr>
          <w:rFonts w:hint="eastAsia" w:ascii="宋体" w:hAnsi="宋体" w:eastAsia="宋体" w:cs="宋体"/>
          <w:b/>
          <w:i w:val="0"/>
          <w:iCs w:val="0"/>
          <w:color w:val="auto"/>
          <w:szCs w:val="21"/>
          <w:highlight w:val="none"/>
        </w:rPr>
        <w:t>5.3开标异议</w:t>
      </w:r>
      <w:bookmarkEnd w:id="186"/>
    </w:p>
    <w:p w14:paraId="2055B86B">
      <w:pPr>
        <w:adjustRightInd w:val="0"/>
        <w:snapToGrid w:val="0"/>
        <w:spacing w:line="360" w:lineRule="auto"/>
        <w:ind w:firstLine="420" w:firstLineChars="200"/>
        <w:jc w:val="left"/>
        <w:rPr>
          <w:rFonts w:ascii="宋体" w:hAnsi="宋体"/>
          <w:kern w:val="0"/>
          <w:sz w:val="21"/>
          <w:szCs w:val="21"/>
        </w:rPr>
      </w:pPr>
      <w:bookmarkStart w:id="187" w:name="_Toc16207"/>
      <w:bookmarkStart w:id="188" w:name="_Toc34382610"/>
      <w:bookmarkStart w:id="189" w:name="_Toc12897"/>
      <w:bookmarkStart w:id="190" w:name="_Toc15722"/>
      <w:bookmarkStart w:id="191" w:name="_Toc27503"/>
      <w:bookmarkStart w:id="192" w:name="_Toc486525504"/>
      <w:bookmarkStart w:id="193" w:name="_Toc8048"/>
      <w:bookmarkStart w:id="194" w:name="_Toc20208"/>
      <w:bookmarkStart w:id="195" w:name="_Toc23364"/>
      <w:bookmarkStart w:id="196" w:name="_Toc444183920"/>
      <w:bookmarkStart w:id="197" w:name="_Toc17292"/>
      <w:bookmarkStart w:id="198" w:name="_Toc25649"/>
      <w:bookmarkStart w:id="199" w:name="_Toc8868"/>
      <w:r>
        <w:rPr>
          <w:rFonts w:hint="eastAsia" w:ascii="宋体" w:hAnsi="宋体"/>
          <w:kern w:val="0"/>
          <w:sz w:val="21"/>
          <w:szCs w:val="21"/>
        </w:rPr>
        <w:t>投标人对开标有异议的，应当在开标现场</w:t>
      </w:r>
      <w:r>
        <w:rPr>
          <w:rFonts w:hint="eastAsia" w:ascii="宋体" w:hAnsi="宋体"/>
          <w:color w:val="000000"/>
          <w:kern w:val="0"/>
          <w:sz w:val="21"/>
          <w:szCs w:val="21"/>
        </w:rPr>
        <w:t>或开标系统中及时</w:t>
      </w:r>
      <w:r>
        <w:rPr>
          <w:rFonts w:hint="eastAsia" w:ascii="宋体" w:hAnsi="宋体"/>
          <w:kern w:val="0"/>
          <w:sz w:val="21"/>
          <w:szCs w:val="21"/>
        </w:rPr>
        <w:t>提出，招标人或者招标代理应当当场或在系统中作出答复，并制作记录</w:t>
      </w:r>
      <w:r>
        <w:rPr>
          <w:rFonts w:hint="eastAsia" w:ascii="宋体" w:hAnsi="宋体"/>
          <w:color w:val="000000" w:themeColor="text1"/>
          <w:kern w:val="0"/>
          <w:sz w:val="21"/>
          <w:szCs w:val="21"/>
          <w14:textFill>
            <w14:solidFill>
              <w14:schemeClr w14:val="tx1"/>
            </w14:solidFill>
          </w14:textFill>
        </w:rPr>
        <w:t>。在规定统一提出异议时间内不提出异议的，则视为对开标结果无异议。</w:t>
      </w:r>
    </w:p>
    <w:p w14:paraId="23F60D35">
      <w:pPr>
        <w:pStyle w:val="5"/>
        <w:pBdr>
          <w:bottom w:val="none" w:color="auto" w:sz="0" w:space="0"/>
        </w:pBdr>
        <w:spacing w:before="0"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6．评标</w:t>
      </w:r>
      <w:bookmarkEnd w:id="185"/>
      <w:bookmarkEnd w:id="187"/>
      <w:bookmarkEnd w:id="188"/>
      <w:bookmarkEnd w:id="189"/>
      <w:bookmarkEnd w:id="190"/>
      <w:bookmarkEnd w:id="191"/>
      <w:bookmarkEnd w:id="192"/>
      <w:bookmarkEnd w:id="193"/>
      <w:bookmarkEnd w:id="194"/>
      <w:bookmarkEnd w:id="195"/>
      <w:bookmarkEnd w:id="196"/>
      <w:bookmarkEnd w:id="197"/>
      <w:bookmarkEnd w:id="198"/>
      <w:bookmarkEnd w:id="199"/>
    </w:p>
    <w:p w14:paraId="04215D62">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00" w:name="_Toc26544"/>
      <w:r>
        <w:rPr>
          <w:rFonts w:hint="eastAsia" w:ascii="宋体" w:hAnsi="宋体" w:eastAsia="宋体" w:cs="宋体"/>
          <w:b/>
          <w:i w:val="0"/>
          <w:color w:val="auto"/>
          <w:szCs w:val="21"/>
          <w:highlight w:val="none"/>
        </w:rPr>
        <w:t>6.1评标委员会</w:t>
      </w:r>
      <w:bookmarkEnd w:id="200"/>
    </w:p>
    <w:p w14:paraId="531A3DC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6.1.1评标由招标人依法组建的评标委员会负责。评标委员会由招标人的代表和有关技术、经济等方面的专家组成。评标委员会成员人数以及技术、经济等方面专家的确定方式见投标人须知前附表。</w:t>
      </w:r>
    </w:p>
    <w:p w14:paraId="5909753F">
      <w:pPr>
        <w:spacing w:line="360" w:lineRule="auto"/>
        <w:ind w:firstLine="420" w:firstLineChars="200"/>
        <w:outlineLvl w:val="3"/>
        <w:rPr>
          <w:rFonts w:hint="eastAsia" w:ascii="宋体" w:hAnsi="宋体" w:cs="宋体"/>
          <w:color w:val="auto"/>
          <w:sz w:val="21"/>
          <w:szCs w:val="21"/>
          <w:highlight w:val="none"/>
        </w:rPr>
      </w:pPr>
      <w:r>
        <w:rPr>
          <w:rFonts w:hint="eastAsia" w:ascii="宋体" w:hAnsi="宋体" w:cs="宋体"/>
          <w:color w:val="auto"/>
          <w:sz w:val="21"/>
          <w:szCs w:val="21"/>
          <w:highlight w:val="none"/>
        </w:rPr>
        <w:t>6.1.2评标委员会成员有下列情形之一的，应当回避：</w:t>
      </w:r>
    </w:p>
    <w:p w14:paraId="1C4458C9">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（1）招标人或投标人的主要负责人的近亲属；</w:t>
      </w:r>
    </w:p>
    <w:p w14:paraId="09472B9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（2）项目主管部门领导或者行政监督部门的人员：</w:t>
      </w:r>
    </w:p>
    <w:p w14:paraId="12AEBBA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（3）与投标人有经济利益关系，可能影响对投标公正评审的；</w:t>
      </w:r>
    </w:p>
    <w:p w14:paraId="5BC24722">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（4）曾因在招标、评标以及其他与招标投标有关活动中从事违法行为而受过行政处罚或刑事处罚的。</w:t>
      </w:r>
    </w:p>
    <w:p w14:paraId="730E9107">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kern w:val="0"/>
          <w:sz w:val="21"/>
          <w:szCs w:val="21"/>
        </w:rPr>
        <w:t>与投标人有其他利害关系</w:t>
      </w:r>
      <w:r>
        <w:rPr>
          <w:rFonts w:hint="eastAsia" w:ascii="宋体" w:hAnsi="宋体"/>
          <w:kern w:val="0"/>
          <w:sz w:val="21"/>
          <w:szCs w:val="21"/>
          <w:lang w:eastAsia="zh-CN"/>
        </w:rPr>
        <w:t>。</w:t>
      </w:r>
    </w:p>
    <w:p w14:paraId="2EFE3D0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6.1.3评审委员会成员应当客观、公正地履行职责，遵守职业道德，对所提出的评审意见承担个人责任。评审委员会成员和与评标活动有关的工作人员不得透露对投标文件的评审和比较、中标候选人的推荐情况以及与评标有关的其他情况。</w:t>
      </w:r>
    </w:p>
    <w:p w14:paraId="404C67B6">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01" w:name="_Toc13614"/>
      <w:r>
        <w:rPr>
          <w:rFonts w:hint="eastAsia" w:ascii="宋体" w:hAnsi="宋体" w:eastAsia="宋体" w:cs="宋体"/>
          <w:b/>
          <w:i w:val="0"/>
          <w:color w:val="auto"/>
          <w:szCs w:val="21"/>
          <w:highlight w:val="none"/>
        </w:rPr>
        <w:t>6.2评标原则</w:t>
      </w:r>
      <w:bookmarkEnd w:id="201"/>
    </w:p>
    <w:p w14:paraId="1A18764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评标活动遵循公平、公正、科学和择优的原则。</w:t>
      </w:r>
    </w:p>
    <w:p w14:paraId="0FAB9F99">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02" w:name="_Toc867"/>
      <w:r>
        <w:rPr>
          <w:rFonts w:hint="eastAsia" w:ascii="宋体" w:hAnsi="宋体" w:eastAsia="宋体" w:cs="宋体"/>
          <w:b/>
          <w:i w:val="0"/>
          <w:color w:val="auto"/>
          <w:szCs w:val="21"/>
          <w:highlight w:val="none"/>
        </w:rPr>
        <w:t>6.3评标</w:t>
      </w:r>
      <w:bookmarkEnd w:id="202"/>
    </w:p>
    <w:p w14:paraId="510AFEF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评标委员会按照第三章“评标办法”规定的方法、评审因素、标准和程序对投标文件进行评审。第三章“评标办法”没有规定的方法、评审因素和标准，不作为评标依据。</w:t>
      </w:r>
    </w:p>
    <w:p w14:paraId="2F4C633C">
      <w:pPr>
        <w:pStyle w:val="5"/>
        <w:pBdr>
          <w:bottom w:val="none" w:color="auto" w:sz="0" w:space="0"/>
        </w:pBdr>
        <w:spacing w:before="0" w:after="0" w:line="360" w:lineRule="auto"/>
        <w:rPr>
          <w:rFonts w:hint="eastAsia" w:ascii="宋体" w:hAnsi="宋体" w:eastAsia="宋体" w:cs="宋体"/>
          <w:b/>
          <w:color w:val="auto"/>
          <w:highlight w:val="none"/>
        </w:rPr>
      </w:pPr>
      <w:bookmarkStart w:id="203" w:name="_Toc486525505"/>
      <w:bookmarkStart w:id="204" w:name="_Toc34382611"/>
      <w:bookmarkStart w:id="205" w:name="_Toc4429"/>
      <w:bookmarkStart w:id="206" w:name="_Toc4211"/>
      <w:bookmarkStart w:id="207" w:name="_Toc19552"/>
      <w:bookmarkStart w:id="208" w:name="_Toc20214"/>
      <w:bookmarkStart w:id="209" w:name="_Toc365358351"/>
      <w:bookmarkStart w:id="210" w:name="_Toc1788"/>
      <w:bookmarkStart w:id="211" w:name="_Toc2665"/>
      <w:bookmarkStart w:id="212" w:name="_Toc16410"/>
      <w:bookmarkStart w:id="213" w:name="_Toc444183921"/>
      <w:bookmarkStart w:id="214" w:name="_Toc15465"/>
      <w:bookmarkStart w:id="215" w:name="_Toc18781"/>
      <w:bookmarkStart w:id="216" w:name="_Toc15299"/>
      <w:r>
        <w:rPr>
          <w:rFonts w:hint="eastAsia" w:ascii="宋体" w:hAnsi="宋体" w:eastAsia="宋体" w:cs="宋体"/>
          <w:b/>
          <w:color w:val="auto"/>
          <w:highlight w:val="none"/>
        </w:rPr>
        <w:t>7．合同授予</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2496E269">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17" w:name="_Toc3928"/>
      <w:r>
        <w:rPr>
          <w:rFonts w:hint="eastAsia" w:ascii="宋体" w:hAnsi="宋体" w:eastAsia="宋体" w:cs="宋体"/>
          <w:b/>
          <w:i w:val="0"/>
          <w:color w:val="auto"/>
          <w:szCs w:val="21"/>
          <w:highlight w:val="none"/>
        </w:rPr>
        <w:t>7.1定标方式</w:t>
      </w:r>
      <w:bookmarkEnd w:id="217"/>
    </w:p>
    <w:p w14:paraId="7A71314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7.1.1评标委员会依据本招标文件规定的评标标准和方法，对投标文件进行评审和比较，向招标人提出书面意见，按最终得分从高到低的顺序推荐中标候选人。招标人依据评标委员会推荐的中标候选人确定中标人。</w:t>
      </w:r>
    </w:p>
    <w:p w14:paraId="38007A3B">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7.1.2招标人应当确定排名第一的中标候选人为中标人。排名第一的中标候选人放弃中标、因不可抗力提出不能履行合同，或者招标文件规定应当提交履约保证金而未在规定的期限内未能提交的，招标人可以确定排名第二的中标候选人为中标人。排名第二的中标候选人因前款规定的同样原因不能签订合同的，招标人可以确定排名第三的中标候选人为中标人。</w:t>
      </w:r>
    </w:p>
    <w:p w14:paraId="20CFC0D0">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18" w:name="_Toc8636"/>
      <w:r>
        <w:rPr>
          <w:rFonts w:hint="eastAsia" w:ascii="宋体" w:hAnsi="宋体" w:eastAsia="宋体" w:cs="宋体"/>
          <w:b/>
          <w:i w:val="0"/>
          <w:color w:val="auto"/>
          <w:szCs w:val="21"/>
          <w:highlight w:val="none"/>
        </w:rPr>
        <w:t>7.2中标通知</w:t>
      </w:r>
      <w:bookmarkEnd w:id="218"/>
    </w:p>
    <w:p w14:paraId="0465C433">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在本章第3.3款规定的投标有效期内，招标人以书面形式向中标人发出中标通知书，同时将中标结果通知未中标的投标人。</w:t>
      </w:r>
    </w:p>
    <w:p w14:paraId="1910AEE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19" w:name="_Toc31083"/>
      <w:bookmarkStart w:id="220" w:name="_Toc365358352"/>
      <w:r>
        <w:rPr>
          <w:rFonts w:hint="eastAsia" w:ascii="宋体" w:hAnsi="宋体" w:eastAsia="宋体" w:cs="宋体"/>
          <w:b/>
          <w:i w:val="0"/>
          <w:color w:val="auto"/>
          <w:szCs w:val="21"/>
          <w:highlight w:val="none"/>
        </w:rPr>
        <w:t>7.3履约担保</w:t>
      </w:r>
      <w:bookmarkEnd w:id="219"/>
    </w:p>
    <w:p w14:paraId="768F78C4">
      <w:pPr>
        <w:widowControl w:val="0"/>
        <w:spacing w:line="360" w:lineRule="auto"/>
        <w:ind w:firstLine="472"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7.3.1在签订合同前，中标人应按投标人须知前附表规定的金额、担保形式和招标文件第四章“合同条款及格式”规定的履约担保格式向招标人提交履约担保。</w:t>
      </w:r>
    </w:p>
    <w:p w14:paraId="5483D6F3">
      <w:pPr>
        <w:widowControl w:val="0"/>
        <w:spacing w:line="360" w:lineRule="auto"/>
        <w:ind w:firstLine="472"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7.3.2中标人不能按本章第7.3.1项要求提交履约担保的，视为放弃中标，其投标保证金不予退还，给招标人造成的损失超过投标保证金数额的，中标人还应当对超过部分予以赔偿。</w:t>
      </w:r>
    </w:p>
    <w:p w14:paraId="5446D133">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21" w:name="_Toc29818"/>
      <w:r>
        <w:rPr>
          <w:rFonts w:hint="eastAsia" w:ascii="宋体" w:hAnsi="宋体" w:eastAsia="宋体" w:cs="宋体"/>
          <w:b/>
          <w:i w:val="0"/>
          <w:color w:val="auto"/>
          <w:szCs w:val="21"/>
          <w:highlight w:val="none"/>
        </w:rPr>
        <w:t>7.4签订合同</w:t>
      </w:r>
      <w:bookmarkEnd w:id="221"/>
    </w:p>
    <w:p w14:paraId="2239EBBB">
      <w:pPr>
        <w:widowControl w:val="0"/>
        <w:spacing w:line="360" w:lineRule="auto"/>
        <w:ind w:firstLine="472"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6D3CE743">
      <w:pPr>
        <w:spacing w:line="360" w:lineRule="auto"/>
        <w:ind w:firstLine="472"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7.4.2发出中标通知书后，招标人无正当理由拒签合同的，招标人向中标人退还投标保证金；给中标人造成损失的，还应当赔偿损失。</w:t>
      </w:r>
    </w:p>
    <w:p w14:paraId="310F823F">
      <w:pPr>
        <w:pStyle w:val="5"/>
        <w:pBdr>
          <w:bottom w:val="none" w:color="auto" w:sz="0" w:space="0"/>
        </w:pBdr>
        <w:spacing w:before="0" w:after="0" w:line="360" w:lineRule="auto"/>
        <w:rPr>
          <w:rFonts w:hint="eastAsia" w:ascii="宋体" w:hAnsi="宋体" w:eastAsia="宋体" w:cs="宋体"/>
          <w:b/>
          <w:color w:val="auto"/>
          <w:highlight w:val="none"/>
        </w:rPr>
      </w:pPr>
      <w:bookmarkStart w:id="222" w:name="_Toc31735"/>
      <w:bookmarkStart w:id="223" w:name="_Toc34382612"/>
      <w:bookmarkStart w:id="224" w:name="_Toc9107"/>
      <w:bookmarkStart w:id="225" w:name="_Toc12520"/>
      <w:bookmarkStart w:id="226" w:name="_Toc19339"/>
      <w:bookmarkStart w:id="227" w:name="_Toc22536"/>
      <w:bookmarkStart w:id="228" w:name="_Toc26842"/>
      <w:bookmarkStart w:id="229" w:name="_Toc622"/>
      <w:bookmarkStart w:id="230" w:name="_Toc444183922"/>
      <w:bookmarkStart w:id="231" w:name="_Toc486525506"/>
      <w:bookmarkStart w:id="232" w:name="_Toc1173"/>
      <w:bookmarkStart w:id="233" w:name="_Toc11595"/>
      <w:bookmarkStart w:id="234" w:name="_Toc1916"/>
      <w:r>
        <w:rPr>
          <w:rFonts w:hint="eastAsia" w:ascii="宋体" w:hAnsi="宋体" w:eastAsia="宋体" w:cs="宋体"/>
          <w:b/>
          <w:color w:val="auto"/>
          <w:highlight w:val="none"/>
        </w:rPr>
        <w:t>8．重新招标</w:t>
      </w:r>
      <w:bookmarkEnd w:id="220"/>
      <w:bookmarkEnd w:id="222"/>
      <w:bookmarkEnd w:id="223"/>
      <w:bookmarkEnd w:id="224"/>
      <w:bookmarkEnd w:id="225"/>
      <w:bookmarkEnd w:id="226"/>
      <w:bookmarkEnd w:id="227"/>
      <w:bookmarkEnd w:id="228"/>
      <w:bookmarkEnd w:id="229"/>
      <w:bookmarkEnd w:id="230"/>
      <w:bookmarkEnd w:id="231"/>
      <w:bookmarkEnd w:id="232"/>
      <w:bookmarkEnd w:id="233"/>
      <w:bookmarkEnd w:id="234"/>
    </w:p>
    <w:p w14:paraId="7B7F8444">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35" w:name="_Toc5885"/>
      <w:r>
        <w:rPr>
          <w:rFonts w:hint="eastAsia" w:ascii="宋体" w:hAnsi="宋体" w:eastAsia="宋体" w:cs="宋体"/>
          <w:b/>
          <w:i w:val="0"/>
          <w:color w:val="auto"/>
          <w:szCs w:val="21"/>
          <w:highlight w:val="none"/>
        </w:rPr>
        <w:t>8.1重新招标</w:t>
      </w:r>
      <w:bookmarkEnd w:id="235"/>
    </w:p>
    <w:p w14:paraId="7C051685">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有下列情形之一的，招标人将重新招标：</w:t>
      </w:r>
    </w:p>
    <w:p w14:paraId="6973682F">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（1）投标截止时间止，投标人少于3个的；</w:t>
      </w:r>
    </w:p>
    <w:p w14:paraId="3684BB1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（2）经评标委员会评审后否决所有投标的。</w:t>
      </w:r>
    </w:p>
    <w:p w14:paraId="57E4805B">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36" w:name="_Toc26131"/>
      <w:r>
        <w:rPr>
          <w:rFonts w:hint="eastAsia" w:ascii="宋体" w:hAnsi="宋体" w:eastAsia="宋体" w:cs="宋体"/>
          <w:b/>
          <w:i w:val="0"/>
          <w:color w:val="auto"/>
          <w:szCs w:val="21"/>
          <w:highlight w:val="none"/>
        </w:rPr>
        <w:t>8.2不再招标</w:t>
      </w:r>
      <w:bookmarkEnd w:id="236"/>
    </w:p>
    <w:p w14:paraId="5DDD021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重新招标后投标人仍少于3个或者所有投标被否决的，属于必须审批或核准的工程建设项目，经原审批或核准部门批准后不再进行招标。</w:t>
      </w:r>
    </w:p>
    <w:p w14:paraId="13EEA385">
      <w:pPr>
        <w:pStyle w:val="5"/>
        <w:pBdr>
          <w:bottom w:val="none" w:color="auto" w:sz="0" w:space="0"/>
        </w:pBdr>
        <w:spacing w:before="0" w:after="0" w:line="360" w:lineRule="auto"/>
        <w:rPr>
          <w:rFonts w:hint="eastAsia" w:ascii="宋体" w:hAnsi="宋体" w:eastAsia="宋体" w:cs="宋体"/>
          <w:b/>
          <w:color w:val="auto"/>
          <w:highlight w:val="none"/>
        </w:rPr>
      </w:pPr>
      <w:bookmarkStart w:id="237" w:name="_Toc3859"/>
      <w:bookmarkStart w:id="238" w:name="_Toc6143"/>
      <w:bookmarkStart w:id="239" w:name="_Toc34382613"/>
      <w:bookmarkStart w:id="240" w:name="_Toc6573"/>
      <w:bookmarkStart w:id="241" w:name="_Toc11334"/>
      <w:bookmarkStart w:id="242" w:name="_Toc17192"/>
      <w:bookmarkStart w:id="243" w:name="_Toc9394"/>
      <w:bookmarkStart w:id="244" w:name="_Toc365358353"/>
      <w:bookmarkStart w:id="245" w:name="_Toc14975"/>
      <w:bookmarkStart w:id="246" w:name="_Toc7411"/>
      <w:bookmarkStart w:id="247" w:name="_Toc26791"/>
      <w:bookmarkStart w:id="248" w:name="_Toc30221"/>
      <w:r>
        <w:rPr>
          <w:rFonts w:hint="eastAsia" w:ascii="宋体" w:hAnsi="宋体" w:eastAsia="宋体" w:cs="宋体"/>
          <w:b/>
          <w:color w:val="auto"/>
          <w:highlight w:val="none"/>
        </w:rPr>
        <w:t>9．纪律和监督</w:t>
      </w:r>
      <w:bookmarkEnd w:id="237"/>
      <w:bookmarkEnd w:id="238"/>
      <w:bookmarkEnd w:id="239"/>
      <w:bookmarkEnd w:id="240"/>
      <w:bookmarkEnd w:id="241"/>
      <w:bookmarkEnd w:id="242"/>
      <w:bookmarkEnd w:id="243"/>
      <w:bookmarkEnd w:id="244"/>
      <w:bookmarkEnd w:id="245"/>
      <w:bookmarkEnd w:id="246"/>
      <w:bookmarkEnd w:id="247"/>
      <w:bookmarkEnd w:id="248"/>
    </w:p>
    <w:p w14:paraId="54411118">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49" w:name="_Toc26398"/>
      <w:r>
        <w:rPr>
          <w:rFonts w:hint="eastAsia" w:ascii="宋体" w:hAnsi="宋体" w:eastAsia="宋体" w:cs="宋体"/>
          <w:b/>
          <w:i w:val="0"/>
          <w:color w:val="auto"/>
          <w:szCs w:val="21"/>
          <w:highlight w:val="none"/>
        </w:rPr>
        <w:t>9.1对招标人的纪律要求</w:t>
      </w:r>
      <w:bookmarkEnd w:id="249"/>
    </w:p>
    <w:p w14:paraId="57F0F4E8">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招标人不得泄露招标投标活动中应当保密的情况和资料，不得与投标人串通损害国家利益、社会公共利益或者他人合法权益。</w:t>
      </w:r>
    </w:p>
    <w:p w14:paraId="73A796CE">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50" w:name="_Toc22217"/>
      <w:r>
        <w:rPr>
          <w:rFonts w:hint="eastAsia" w:ascii="宋体" w:hAnsi="宋体" w:eastAsia="宋体" w:cs="宋体"/>
          <w:b/>
          <w:i w:val="0"/>
          <w:color w:val="auto"/>
          <w:szCs w:val="21"/>
          <w:highlight w:val="none"/>
        </w:rPr>
        <w:t>9.2对投标人的纪律要求</w:t>
      </w:r>
      <w:bookmarkEnd w:id="250"/>
    </w:p>
    <w:p w14:paraId="513C6831">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BB9657C">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51" w:name="_Toc3491"/>
      <w:r>
        <w:rPr>
          <w:rFonts w:hint="eastAsia" w:ascii="宋体" w:hAnsi="宋体" w:eastAsia="宋体" w:cs="宋体"/>
          <w:b/>
          <w:i w:val="0"/>
          <w:color w:val="auto"/>
          <w:szCs w:val="21"/>
          <w:highlight w:val="none"/>
        </w:rPr>
        <w:t>9.3对评标委员会成员的纪律要求</w:t>
      </w:r>
      <w:bookmarkEnd w:id="251"/>
    </w:p>
    <w:p w14:paraId="6A9AA0DC">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评标委员会成员不得收受他人的财物或者其他好处，不得向他人</w:t>
      </w:r>
      <w:r>
        <w:rPr>
          <w:rFonts w:hint="eastAsia" w:ascii="宋体" w:hAnsi="宋体" w:cs="宋体"/>
          <w:color w:val="auto"/>
          <w:sz w:val="21"/>
          <w:szCs w:val="21"/>
          <w:highlight w:val="none"/>
          <w:lang w:eastAsia="zh-CN"/>
        </w:rPr>
        <w:t>透露</w:t>
      </w:r>
      <w:r>
        <w:rPr>
          <w:rFonts w:hint="eastAsia" w:ascii="宋体" w:hAnsi="宋体" w:cs="宋体"/>
          <w:color w:val="auto"/>
          <w:sz w:val="21"/>
          <w:szCs w:val="21"/>
          <w:highlight w:val="none"/>
        </w:rPr>
        <w:t>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3EA11A75">
      <w:pPr>
        <w:pStyle w:val="6"/>
        <w:pBdr>
          <w:bottom w:val="none" w:color="auto" w:sz="0" w:space="0"/>
        </w:pBdr>
        <w:spacing w:before="0" w:after="0" w:line="360" w:lineRule="auto"/>
        <w:rPr>
          <w:rFonts w:hint="eastAsia" w:ascii="宋体" w:hAnsi="宋体" w:eastAsia="宋体" w:cs="宋体"/>
          <w:b/>
          <w:i w:val="0"/>
          <w:color w:val="auto"/>
          <w:szCs w:val="21"/>
          <w:highlight w:val="none"/>
        </w:rPr>
      </w:pPr>
      <w:bookmarkStart w:id="252" w:name="_Toc25650"/>
      <w:r>
        <w:rPr>
          <w:rFonts w:hint="eastAsia" w:ascii="宋体" w:hAnsi="宋体" w:eastAsia="宋体" w:cs="宋体"/>
          <w:b/>
          <w:i w:val="0"/>
          <w:color w:val="auto"/>
          <w:szCs w:val="21"/>
          <w:highlight w:val="none"/>
        </w:rPr>
        <w:t>9.4对与评标活动有关的工作人员的纪律要求</w:t>
      </w:r>
      <w:bookmarkEnd w:id="252"/>
    </w:p>
    <w:p w14:paraId="380F3C64">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与评标活动有关的工作人员不得收受他人的财物或者其他好处，不得向他人</w:t>
      </w:r>
      <w:r>
        <w:rPr>
          <w:rFonts w:hint="eastAsia" w:ascii="宋体" w:hAnsi="宋体" w:cs="宋体"/>
          <w:color w:val="auto"/>
          <w:sz w:val="21"/>
          <w:szCs w:val="21"/>
          <w:highlight w:val="none"/>
          <w:lang w:eastAsia="zh-CN"/>
        </w:rPr>
        <w:t>透露</w:t>
      </w:r>
      <w:r>
        <w:rPr>
          <w:rFonts w:hint="eastAsia" w:ascii="宋体" w:hAnsi="宋体" w:cs="宋体"/>
          <w:color w:val="auto"/>
          <w:sz w:val="21"/>
          <w:szCs w:val="21"/>
          <w:highlight w:val="none"/>
        </w:rPr>
        <w:t>对投标文件的评审和比较、中标候选人的推荐情况以及评标有关的其他情况。在评标活动中，与评标活动有关的工作人员不得擅离职守，影响评标程序正常进行。</w:t>
      </w:r>
    </w:p>
    <w:p w14:paraId="5A8DBFB1">
      <w:pPr>
        <w:adjustRightInd w:val="0"/>
        <w:snapToGrid w:val="0"/>
        <w:spacing w:line="360" w:lineRule="auto"/>
        <w:ind w:left="0" w:leftChars="0" w:firstLine="0" w:firstLineChars="0"/>
        <w:jc w:val="left"/>
        <w:rPr>
          <w:rFonts w:hint="eastAsia" w:ascii="宋体" w:hAnsi="宋体" w:eastAsia="宋体" w:cs="宋体"/>
          <w:b/>
          <w:i w:val="0"/>
          <w:iCs/>
          <w:color w:val="auto"/>
          <w:sz w:val="24"/>
          <w:szCs w:val="21"/>
          <w:highlight w:val="none"/>
          <w:lang w:val="en-US" w:eastAsia="zh-CN" w:bidi="ar-SA"/>
        </w:rPr>
      </w:pPr>
      <w:bookmarkStart w:id="253" w:name="_Toc2333"/>
      <w:r>
        <w:rPr>
          <w:rFonts w:hint="eastAsia" w:ascii="宋体" w:hAnsi="宋体" w:eastAsia="宋体" w:cs="宋体"/>
          <w:b/>
          <w:i w:val="0"/>
          <w:iCs/>
          <w:color w:val="auto"/>
          <w:sz w:val="24"/>
          <w:szCs w:val="21"/>
          <w:highlight w:val="none"/>
          <w:lang w:val="en-US" w:eastAsia="zh-CN" w:bidi="ar-SA"/>
        </w:rPr>
        <w:t>9.5</w:t>
      </w:r>
      <w:bookmarkEnd w:id="253"/>
      <w:r>
        <w:rPr>
          <w:rFonts w:hint="eastAsia" w:ascii="宋体" w:hAnsi="宋体" w:eastAsia="宋体" w:cs="宋体"/>
          <w:b/>
          <w:i w:val="0"/>
          <w:iCs/>
          <w:color w:val="auto"/>
          <w:sz w:val="24"/>
          <w:szCs w:val="21"/>
          <w:highlight w:val="none"/>
          <w:lang w:val="en-US" w:eastAsia="zh-CN" w:bidi="ar-SA"/>
        </w:rPr>
        <w:t>异议和投诉</w:t>
      </w:r>
    </w:p>
    <w:p w14:paraId="0AFFDFB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15353C7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9.5.1.1潜在投标人或者其他利害关系人对招标文件有异议的，应当在投标截止时间10日前提出。招标人应当自收到异议之日起3日内作出答复；作出答复前，应当暂停招标投标活动。</w:t>
      </w:r>
    </w:p>
    <w:p w14:paraId="365DF07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9.5.1.2投标人对开标有异议的，应当在开标现场或开标系统中及时提出，招标人或者招标代理应当当场或者在系统中作出答复，并制作记录。</w:t>
      </w:r>
    </w:p>
    <w:p w14:paraId="4CDF888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3686A2A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661BA0A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4CF0519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9.5.2.2就本章9.5.1条规定事项投诉的，应当先向招标人提出异议，异议答复期间不计算在前款规定的期限内。</w:t>
      </w:r>
    </w:p>
    <w:p w14:paraId="3A77A71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9.5.2.3投诉人投诉时，应当提交投诉书。投诉书应当包括下列内容：</w:t>
      </w:r>
    </w:p>
    <w:p w14:paraId="1B50DF0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（一）投诉人的名称、地址及有效联系方式；</w:t>
      </w:r>
    </w:p>
    <w:p w14:paraId="08894E6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（二）被投诉人的名称、地址及有效联系方式；</w:t>
      </w:r>
    </w:p>
    <w:p w14:paraId="1690F7F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（三）投诉事项的基本事实；</w:t>
      </w:r>
    </w:p>
    <w:p w14:paraId="5284B96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（四）相关请求及主张；</w:t>
      </w:r>
    </w:p>
    <w:p w14:paraId="48CAABD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（五）有效线索和相关证明材料。</w:t>
      </w:r>
    </w:p>
    <w:p w14:paraId="222F531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0C944A9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9.5.2.4投诉人不得以投诉为名排挤竞争对手，不得进行虚假、恶意投诉，阻碍招标投标活动的正常进行。</w:t>
      </w:r>
    </w:p>
    <w:p w14:paraId="2FFF43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6EBB1CC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9.5.2.6有下列情形之一的投诉，不予受理；</w:t>
      </w:r>
    </w:p>
    <w:p w14:paraId="1B4C428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（一）投诉人不是所投诉招标投标活动的参与者，或者与投诉项目无任何利害关系；</w:t>
      </w:r>
    </w:p>
    <w:p w14:paraId="57A12A7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（二）投诉事项不具体，且未提供有效线索，难以查证的；</w:t>
      </w:r>
    </w:p>
    <w:p w14:paraId="5CE6962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（三）投诉书未署具投诉人真实姓名、签字和有效联系方式的；以法人名义投诉的，投诉书未经法定代表人签字并加盖公章的；</w:t>
      </w:r>
    </w:p>
    <w:p w14:paraId="151C4E1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（四）超过投诉时效的；</w:t>
      </w:r>
    </w:p>
    <w:p w14:paraId="79EC60A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（五）已经作出处理决定，并且投诉人没有提出新的证据；</w:t>
      </w:r>
    </w:p>
    <w:p w14:paraId="7C43FAF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（六）投诉事项已进入行政复议或者行政诉讼程序的。</w:t>
      </w:r>
    </w:p>
    <w:p w14:paraId="5700E1E0">
      <w:pPr>
        <w:spacing w:line="360" w:lineRule="auto"/>
        <w:ind w:firstLine="420" w:firstLineChars="200"/>
        <w:rPr>
          <w:kern w:val="0"/>
        </w:rPr>
      </w:pPr>
      <w:r>
        <w:rPr>
          <w:rFonts w:hint="eastAsia" w:ascii="宋体" w:hAnsi="宋体" w:eastAsia="宋体" w:cs="宋体"/>
          <w:color w:val="auto"/>
          <w:sz w:val="21"/>
          <w:szCs w:val="21"/>
          <w:highlight w:val="none"/>
        </w:rPr>
        <w:t>9.5.2.7未尽事宜，按国家现行有关法律法规的规定执行。</w:t>
      </w:r>
    </w:p>
    <w:p w14:paraId="1D9F74F6">
      <w:pPr>
        <w:pStyle w:val="5"/>
        <w:pBdr>
          <w:bottom w:val="none" w:color="auto" w:sz="0" w:space="0"/>
        </w:pBdr>
        <w:spacing w:before="0" w:after="0" w:line="360" w:lineRule="auto"/>
        <w:rPr>
          <w:rFonts w:hint="eastAsia" w:ascii="宋体" w:hAnsi="宋体" w:eastAsia="宋体" w:cs="宋体"/>
          <w:b/>
          <w:color w:val="auto"/>
          <w:highlight w:val="none"/>
        </w:rPr>
      </w:pPr>
      <w:bookmarkStart w:id="254" w:name="_Toc22002"/>
      <w:bookmarkStart w:id="255" w:name="_Toc5299"/>
      <w:bookmarkStart w:id="256" w:name="_Toc3116"/>
      <w:bookmarkStart w:id="257" w:name="_Toc25180"/>
      <w:bookmarkStart w:id="258" w:name="_Toc16673"/>
      <w:bookmarkStart w:id="259" w:name="_Toc905"/>
      <w:bookmarkStart w:id="260" w:name="_Toc15520"/>
      <w:bookmarkStart w:id="261" w:name="_Toc15368"/>
      <w:bookmarkStart w:id="262" w:name="_Toc34382614"/>
      <w:bookmarkStart w:id="263" w:name="_Toc4809"/>
      <w:bookmarkStart w:id="264" w:name="_Toc22592"/>
      <w:r>
        <w:rPr>
          <w:rFonts w:hint="eastAsia" w:ascii="宋体" w:hAnsi="宋体" w:eastAsia="宋体" w:cs="宋体"/>
          <w:b/>
          <w:color w:val="auto"/>
          <w:highlight w:val="none"/>
        </w:rPr>
        <w:t>10</w:t>
      </w:r>
      <w:r>
        <w:rPr>
          <w:rFonts w:ascii="宋体" w:hAnsi="宋体" w:eastAsia="宋体" w:cs="宋体"/>
          <w:b/>
          <w:color w:val="auto"/>
          <w:highlight w:val="none"/>
        </w:rPr>
        <w:t>.</w:t>
      </w:r>
      <w:r>
        <w:rPr>
          <w:rFonts w:hint="eastAsia" w:ascii="宋体" w:hAnsi="宋体" w:eastAsia="宋体" w:cs="宋体"/>
          <w:b/>
          <w:color w:val="auto"/>
          <w:highlight w:val="none"/>
        </w:rPr>
        <w:t>需要补充的其他内容</w:t>
      </w:r>
      <w:bookmarkEnd w:id="254"/>
      <w:bookmarkEnd w:id="255"/>
      <w:bookmarkEnd w:id="256"/>
      <w:bookmarkEnd w:id="257"/>
      <w:bookmarkEnd w:id="258"/>
      <w:bookmarkEnd w:id="259"/>
      <w:bookmarkEnd w:id="260"/>
      <w:bookmarkEnd w:id="261"/>
      <w:bookmarkEnd w:id="262"/>
      <w:bookmarkEnd w:id="263"/>
      <w:bookmarkEnd w:id="264"/>
    </w:p>
    <w:p w14:paraId="688C09DB">
      <w:pPr>
        <w:rPr>
          <w:rFonts w:hint="eastAsia" w:ascii="宋体" w:hAnsi="宋体" w:cs="宋体"/>
          <w:color w:val="auto"/>
          <w:highlight w:val="none"/>
        </w:rPr>
      </w:pPr>
      <w:r>
        <w:rPr>
          <w:rFonts w:hint="eastAsia" w:ascii="宋体" w:hAnsi="宋体" w:cs="宋体"/>
          <w:color w:val="auto"/>
          <w:highlight w:val="none"/>
        </w:rPr>
        <w:t>见投标人须知前附表。</w:t>
      </w:r>
    </w:p>
    <w:p w14:paraId="0687DA09">
      <w:pPr>
        <w:rPr>
          <w:rFonts w:hint="eastAsia" w:ascii="宋体" w:hAnsi="宋体" w:cs="宋体"/>
          <w:color w:val="auto"/>
          <w:highlight w:val="none"/>
        </w:rPr>
      </w:pPr>
    </w:p>
    <w:p w14:paraId="63A0C721">
      <w:pPr>
        <w:rPr>
          <w:rFonts w:hint="eastAsia" w:ascii="宋体" w:hAnsi="宋体" w:cs="宋体"/>
          <w:color w:val="auto"/>
          <w:highlight w:val="none"/>
        </w:rPr>
      </w:pPr>
    </w:p>
    <w:p w14:paraId="6C137251">
      <w:pPr>
        <w:rPr>
          <w:rFonts w:hint="eastAsia" w:ascii="宋体" w:hAnsi="宋体" w:cs="宋体"/>
          <w:color w:val="auto"/>
          <w:highlight w:val="none"/>
        </w:rPr>
      </w:pPr>
    </w:p>
    <w:p w14:paraId="2D2BF69E">
      <w:pPr>
        <w:rPr>
          <w:rFonts w:hint="eastAsia" w:ascii="宋体" w:hAnsi="宋体" w:cs="宋体"/>
          <w:color w:val="auto"/>
          <w:highlight w:val="none"/>
        </w:rPr>
      </w:pPr>
    </w:p>
    <w:p w14:paraId="10536663">
      <w:pPr>
        <w:rPr>
          <w:rFonts w:hint="eastAsia" w:ascii="宋体" w:hAnsi="宋体" w:cs="宋体"/>
          <w:color w:val="auto"/>
          <w:highlight w:val="none"/>
        </w:rPr>
      </w:pPr>
    </w:p>
    <w:p w14:paraId="5CADD819">
      <w:pPr>
        <w:rPr>
          <w:rFonts w:hint="eastAsia" w:ascii="宋体" w:hAnsi="宋体" w:cs="宋体"/>
          <w:color w:val="auto"/>
          <w:highlight w:val="none"/>
        </w:rPr>
      </w:pPr>
    </w:p>
    <w:p w14:paraId="4EB7AEE3">
      <w:pPr>
        <w:rPr>
          <w:rFonts w:hint="eastAsia" w:ascii="宋体" w:hAnsi="宋体" w:cs="宋体"/>
          <w:color w:val="auto"/>
          <w:highlight w:val="none"/>
        </w:rPr>
      </w:pPr>
    </w:p>
    <w:p w14:paraId="5E6D3E5D">
      <w:pPr>
        <w:rPr>
          <w:rFonts w:hint="eastAsia" w:ascii="宋体" w:hAnsi="宋体" w:cs="宋体"/>
          <w:color w:val="auto"/>
          <w:highlight w:val="none"/>
        </w:rPr>
      </w:pPr>
    </w:p>
    <w:p w14:paraId="13007927">
      <w:pPr>
        <w:rPr>
          <w:rFonts w:hint="eastAsia" w:ascii="宋体" w:hAnsi="宋体" w:cs="宋体"/>
          <w:color w:val="auto"/>
          <w:highlight w:val="none"/>
        </w:rPr>
      </w:pPr>
    </w:p>
    <w:p w14:paraId="79D2B4FC">
      <w:pPr>
        <w:pStyle w:val="325"/>
        <w:rPr>
          <w:rFonts w:hint="eastAsia" w:eastAsia="宋体"/>
          <w:color w:val="auto"/>
          <w:sz w:val="32"/>
          <w:highlight w:val="none"/>
        </w:rPr>
      </w:pPr>
      <w:bookmarkStart w:id="265" w:name="_Toc34382615"/>
      <w:bookmarkStart w:id="266" w:name="_Toc25679"/>
      <w:bookmarkStart w:id="267" w:name="_Toc31588"/>
      <w:bookmarkStart w:id="268" w:name="_Toc508742126"/>
      <w:bookmarkStart w:id="269" w:name="_Toc390198818"/>
      <w:bookmarkStart w:id="270" w:name="_Toc25083"/>
      <w:r>
        <w:rPr>
          <w:rFonts w:hint="eastAsia" w:eastAsia="宋体"/>
          <w:b w:val="0"/>
          <w:color w:val="auto"/>
          <w:highlight w:val="none"/>
        </w:rPr>
        <w:br w:type="page"/>
      </w:r>
      <w:bookmarkEnd w:id="265"/>
      <w:bookmarkEnd w:id="266"/>
      <w:bookmarkEnd w:id="267"/>
      <w:bookmarkEnd w:id="268"/>
      <w:bookmarkEnd w:id="269"/>
      <w:bookmarkEnd w:id="270"/>
      <w:bookmarkStart w:id="271" w:name="_Toc13030"/>
      <w:bookmarkStart w:id="272" w:name="_Toc30194"/>
      <w:bookmarkStart w:id="273" w:name="_Toc20696"/>
      <w:bookmarkStart w:id="274" w:name="_Toc18597_WPSOffice_Level1"/>
      <w:bookmarkStart w:id="275" w:name="_Toc25588366"/>
      <w:bookmarkStart w:id="276" w:name="_Toc314211806"/>
      <w:bookmarkStart w:id="277" w:name="_Toc232074946"/>
      <w:r>
        <w:rPr>
          <w:rFonts w:hint="eastAsia" w:eastAsia="宋体"/>
          <w:color w:val="auto"/>
          <w:sz w:val="36"/>
          <w:szCs w:val="36"/>
          <w:highlight w:val="none"/>
        </w:rPr>
        <w:t>第三章</w:t>
      </w:r>
      <w:r>
        <w:rPr>
          <w:rFonts w:hint="eastAsia" w:eastAsia="宋体"/>
          <w:color w:val="auto"/>
          <w:sz w:val="36"/>
          <w:szCs w:val="36"/>
          <w:highlight w:val="none"/>
          <w:lang w:val="en-US" w:eastAsia="zh-CN"/>
        </w:rPr>
        <w:t xml:space="preserve"> </w:t>
      </w:r>
      <w:r>
        <w:rPr>
          <w:rFonts w:hint="eastAsia" w:eastAsia="宋体"/>
          <w:color w:val="auto"/>
          <w:sz w:val="36"/>
          <w:szCs w:val="36"/>
          <w:highlight w:val="none"/>
        </w:rPr>
        <w:t>评标办法</w:t>
      </w:r>
      <w:bookmarkEnd w:id="271"/>
      <w:bookmarkEnd w:id="272"/>
      <w:bookmarkEnd w:id="273"/>
      <w:bookmarkEnd w:id="274"/>
    </w:p>
    <w:p w14:paraId="46D4E561">
      <w:pPr>
        <w:spacing w:line="360" w:lineRule="auto"/>
        <w:ind w:firstLine="482"/>
        <w:jc w:val="center"/>
        <w:outlineLvl w:val="1"/>
        <w:rPr>
          <w:rFonts w:hint="eastAsia" w:ascii="宋体" w:hAnsi="宋体" w:cs="宋体"/>
          <w:b/>
          <w:bCs/>
          <w:color w:val="auto"/>
          <w:szCs w:val="24"/>
          <w:highlight w:val="none"/>
        </w:rPr>
      </w:pPr>
      <w:bookmarkStart w:id="278" w:name="_Toc465945229"/>
      <w:bookmarkStart w:id="279" w:name="_Toc1846"/>
      <w:bookmarkStart w:id="280" w:name="_Toc13964"/>
      <w:bookmarkStart w:id="281" w:name="_Toc410119221"/>
      <w:bookmarkStart w:id="282" w:name="_Toc14084_WPSOffice_Level2"/>
      <w:bookmarkStart w:id="283" w:name="_Toc410034665"/>
      <w:bookmarkStart w:id="284" w:name="_Toc20382"/>
      <w:bookmarkStart w:id="285" w:name="_Toc410033338"/>
      <w:bookmarkStart w:id="286" w:name="_Toc22873"/>
      <w:bookmarkStart w:id="287" w:name="_Hlk530577580"/>
      <w:r>
        <w:rPr>
          <w:rFonts w:hint="eastAsia" w:ascii="宋体" w:hAnsi="宋体" w:cs="宋体"/>
          <w:b/>
          <w:bCs/>
          <w:color w:val="auto"/>
          <w:szCs w:val="24"/>
          <w:highlight w:val="none"/>
        </w:rPr>
        <w:t>评标办法前附表</w:t>
      </w:r>
      <w:bookmarkEnd w:id="278"/>
      <w:bookmarkEnd w:id="279"/>
      <w:bookmarkEnd w:id="280"/>
      <w:bookmarkEnd w:id="281"/>
      <w:bookmarkEnd w:id="282"/>
      <w:bookmarkEnd w:id="283"/>
      <w:bookmarkEnd w:id="284"/>
      <w:bookmarkEnd w:id="285"/>
      <w:bookmarkEnd w:id="286"/>
    </w:p>
    <w:bookmarkEnd w:id="287"/>
    <w:tbl>
      <w:tblPr>
        <w:tblStyle w:val="52"/>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89"/>
        <w:gridCol w:w="587"/>
        <w:gridCol w:w="2247"/>
        <w:gridCol w:w="6455"/>
      </w:tblGrid>
      <w:tr w14:paraId="169D1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blHeader/>
          <w:jc w:val="center"/>
        </w:trPr>
        <w:tc>
          <w:tcPr>
            <w:tcW w:w="550" w:type="pct"/>
            <w:gridSpan w:val="2"/>
            <w:tcMar>
              <w:top w:w="28" w:type="dxa"/>
              <w:left w:w="28" w:type="dxa"/>
              <w:bottom w:w="28" w:type="dxa"/>
              <w:right w:w="28" w:type="dxa"/>
            </w:tcMar>
            <w:vAlign w:val="center"/>
          </w:tcPr>
          <w:p w14:paraId="421DC9F7">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1149" w:type="pct"/>
            <w:tcMar>
              <w:top w:w="28" w:type="dxa"/>
              <w:left w:w="28" w:type="dxa"/>
              <w:bottom w:w="28" w:type="dxa"/>
              <w:right w:w="28" w:type="dxa"/>
            </w:tcMar>
            <w:vAlign w:val="center"/>
          </w:tcPr>
          <w:p w14:paraId="1A4BE0B3">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审查因素</w:t>
            </w:r>
          </w:p>
        </w:tc>
        <w:tc>
          <w:tcPr>
            <w:tcW w:w="3300" w:type="pct"/>
            <w:tcMar>
              <w:top w:w="28" w:type="dxa"/>
              <w:left w:w="28" w:type="dxa"/>
              <w:bottom w:w="28" w:type="dxa"/>
              <w:right w:w="28" w:type="dxa"/>
            </w:tcMar>
            <w:vAlign w:val="center"/>
          </w:tcPr>
          <w:p w14:paraId="754CD2F1">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审查标准</w:t>
            </w:r>
          </w:p>
        </w:tc>
      </w:tr>
      <w:tr w14:paraId="264DA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550" w:type="pct"/>
            <w:gridSpan w:val="2"/>
            <w:tcMar>
              <w:top w:w="28" w:type="dxa"/>
              <w:left w:w="28" w:type="dxa"/>
              <w:bottom w:w="28" w:type="dxa"/>
              <w:right w:w="28" w:type="dxa"/>
            </w:tcMar>
            <w:vAlign w:val="center"/>
          </w:tcPr>
          <w:p w14:paraId="11B61DFD">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1</w:t>
            </w:r>
          </w:p>
        </w:tc>
        <w:tc>
          <w:tcPr>
            <w:tcW w:w="1149" w:type="pct"/>
            <w:tcMar>
              <w:top w:w="28" w:type="dxa"/>
              <w:left w:w="28" w:type="dxa"/>
              <w:bottom w:w="28" w:type="dxa"/>
              <w:right w:w="28" w:type="dxa"/>
            </w:tcMar>
            <w:vAlign w:val="center"/>
          </w:tcPr>
          <w:p w14:paraId="4CF52643">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资格审查方法</w:t>
            </w:r>
          </w:p>
        </w:tc>
        <w:tc>
          <w:tcPr>
            <w:tcW w:w="3300" w:type="pct"/>
            <w:tcMar>
              <w:top w:w="28" w:type="dxa"/>
              <w:left w:w="28" w:type="dxa"/>
              <w:bottom w:w="28" w:type="dxa"/>
              <w:right w:w="28" w:type="dxa"/>
            </w:tcMar>
            <w:vAlign w:val="center"/>
          </w:tcPr>
          <w:p w14:paraId="6B6DCEAF">
            <w:pPr>
              <w:pStyle w:val="230"/>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资格后审</w:t>
            </w:r>
          </w:p>
        </w:tc>
      </w:tr>
      <w:tr w14:paraId="78C7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550" w:type="pct"/>
            <w:gridSpan w:val="2"/>
            <w:tcMar>
              <w:top w:w="28" w:type="dxa"/>
              <w:left w:w="28" w:type="dxa"/>
              <w:bottom w:w="28" w:type="dxa"/>
              <w:right w:w="28" w:type="dxa"/>
            </w:tcMar>
            <w:vAlign w:val="center"/>
          </w:tcPr>
          <w:p w14:paraId="6D843665">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2</w:t>
            </w:r>
          </w:p>
        </w:tc>
        <w:tc>
          <w:tcPr>
            <w:tcW w:w="1149" w:type="pct"/>
            <w:tcMar>
              <w:top w:w="28" w:type="dxa"/>
              <w:left w:w="28" w:type="dxa"/>
              <w:bottom w:w="28" w:type="dxa"/>
              <w:right w:w="28" w:type="dxa"/>
            </w:tcMar>
            <w:vAlign w:val="center"/>
          </w:tcPr>
          <w:p w14:paraId="1C4AB489">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审查因素</w:t>
            </w:r>
          </w:p>
        </w:tc>
        <w:tc>
          <w:tcPr>
            <w:tcW w:w="3300" w:type="pct"/>
            <w:tcMar>
              <w:top w:w="28" w:type="dxa"/>
              <w:left w:w="28" w:type="dxa"/>
              <w:bottom w:w="28" w:type="dxa"/>
              <w:right w:w="28" w:type="dxa"/>
            </w:tcMar>
            <w:vAlign w:val="center"/>
          </w:tcPr>
          <w:p w14:paraId="07671492">
            <w:pPr>
              <w:pStyle w:val="230"/>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审查标准</w:t>
            </w:r>
          </w:p>
        </w:tc>
      </w:tr>
      <w:tr w14:paraId="78F28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250" w:type="pct"/>
            <w:vMerge w:val="restart"/>
            <w:tcMar>
              <w:top w:w="28" w:type="dxa"/>
              <w:left w:w="28" w:type="dxa"/>
              <w:bottom w:w="28" w:type="dxa"/>
              <w:right w:w="28" w:type="dxa"/>
            </w:tcMar>
            <w:vAlign w:val="center"/>
          </w:tcPr>
          <w:p w14:paraId="2C7A4A55">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2.1</w:t>
            </w:r>
          </w:p>
        </w:tc>
        <w:tc>
          <w:tcPr>
            <w:tcW w:w="300" w:type="pct"/>
            <w:vMerge w:val="restart"/>
            <w:tcMar>
              <w:top w:w="28" w:type="dxa"/>
              <w:left w:w="28" w:type="dxa"/>
              <w:bottom w:w="28" w:type="dxa"/>
              <w:right w:w="28" w:type="dxa"/>
            </w:tcMar>
            <w:vAlign w:val="center"/>
          </w:tcPr>
          <w:p w14:paraId="3FC70B69">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初步审查标准</w:t>
            </w:r>
          </w:p>
        </w:tc>
        <w:tc>
          <w:tcPr>
            <w:tcW w:w="1149" w:type="pct"/>
            <w:tcMar>
              <w:top w:w="28" w:type="dxa"/>
              <w:left w:w="28" w:type="dxa"/>
              <w:bottom w:w="28" w:type="dxa"/>
              <w:right w:w="28" w:type="dxa"/>
            </w:tcMar>
            <w:vAlign w:val="center"/>
          </w:tcPr>
          <w:p w14:paraId="2020B47C">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3300" w:type="pct"/>
            <w:tcMar>
              <w:top w:w="28" w:type="dxa"/>
              <w:left w:w="28" w:type="dxa"/>
              <w:bottom w:w="28" w:type="dxa"/>
              <w:right w:w="28" w:type="dxa"/>
            </w:tcMar>
            <w:vAlign w:val="center"/>
          </w:tcPr>
          <w:p w14:paraId="7173FF1F">
            <w:pPr>
              <w:pStyle w:val="230"/>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与三证合一的营业执照一致。</w:t>
            </w:r>
          </w:p>
        </w:tc>
      </w:tr>
      <w:tr w14:paraId="73B76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250" w:type="pct"/>
            <w:vMerge w:val="continue"/>
            <w:tcMar>
              <w:top w:w="28" w:type="dxa"/>
              <w:left w:w="28" w:type="dxa"/>
              <w:bottom w:w="28" w:type="dxa"/>
              <w:right w:w="28" w:type="dxa"/>
            </w:tcMar>
            <w:vAlign w:val="center"/>
          </w:tcPr>
          <w:p w14:paraId="184FE0E7">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7F6E6A66">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78F510F1">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投标文件的电子签章</w:t>
            </w:r>
          </w:p>
        </w:tc>
        <w:tc>
          <w:tcPr>
            <w:tcW w:w="3300" w:type="pct"/>
            <w:tcMar>
              <w:top w:w="28" w:type="dxa"/>
              <w:left w:w="28" w:type="dxa"/>
              <w:bottom w:w="28" w:type="dxa"/>
              <w:right w:w="28" w:type="dxa"/>
            </w:tcMar>
            <w:vAlign w:val="center"/>
          </w:tcPr>
          <w:p w14:paraId="1C8DA175">
            <w:pPr>
              <w:pStyle w:val="230"/>
              <w:spacing w:line="240" w:lineRule="auto"/>
              <w:jc w:val="left"/>
              <w:rPr>
                <w:rFonts w:hint="eastAsia" w:ascii="宋体" w:hAnsi="宋体" w:cs="宋体"/>
                <w:color w:val="auto"/>
                <w:szCs w:val="21"/>
                <w:highlight w:val="none"/>
              </w:rPr>
            </w:pPr>
            <w:r>
              <w:rPr>
                <w:rFonts w:ascii="宋体" w:hAnsi="宋体" w:eastAsia="宋体" w:cs="宋体"/>
                <w:sz w:val="21"/>
              </w:rPr>
              <w:t>符合第二章“投标人须知”第3.6.4项要求</w:t>
            </w:r>
            <w:r>
              <w:rPr>
                <w:rFonts w:hint="eastAsia" w:ascii="宋体" w:hAnsi="宋体" w:cs="宋体"/>
                <w:color w:val="auto"/>
                <w:szCs w:val="21"/>
                <w:highlight w:val="none"/>
              </w:rPr>
              <w:t>。</w:t>
            </w:r>
          </w:p>
        </w:tc>
      </w:tr>
      <w:tr w14:paraId="47ABC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250" w:type="pct"/>
            <w:vMerge w:val="continue"/>
            <w:tcMar>
              <w:top w:w="28" w:type="dxa"/>
              <w:left w:w="28" w:type="dxa"/>
              <w:bottom w:w="28" w:type="dxa"/>
              <w:right w:w="28" w:type="dxa"/>
            </w:tcMar>
            <w:vAlign w:val="center"/>
          </w:tcPr>
          <w:p w14:paraId="19E2870F">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0B7AA018">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2DF769C7">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投标文件格式及内容</w:t>
            </w:r>
          </w:p>
        </w:tc>
        <w:tc>
          <w:tcPr>
            <w:tcW w:w="3300" w:type="pct"/>
            <w:tcMar>
              <w:top w:w="28" w:type="dxa"/>
              <w:left w:w="28" w:type="dxa"/>
              <w:bottom w:w="28" w:type="dxa"/>
              <w:right w:w="28" w:type="dxa"/>
            </w:tcMar>
            <w:vAlign w:val="center"/>
          </w:tcPr>
          <w:p w14:paraId="1D8DFDA1">
            <w:pPr>
              <w:pStyle w:val="230"/>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符合第六章“投标文件格式及内容”的要求。</w:t>
            </w:r>
          </w:p>
        </w:tc>
      </w:tr>
      <w:tr w14:paraId="753EC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250" w:type="pct"/>
            <w:vMerge w:val="continue"/>
            <w:tcMar>
              <w:top w:w="28" w:type="dxa"/>
              <w:left w:w="28" w:type="dxa"/>
              <w:bottom w:w="28" w:type="dxa"/>
              <w:right w:w="28" w:type="dxa"/>
            </w:tcMar>
            <w:vAlign w:val="center"/>
          </w:tcPr>
          <w:p w14:paraId="06BFA259">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0F958673">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4BB1D2B5">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报价</w:t>
            </w:r>
          </w:p>
        </w:tc>
        <w:tc>
          <w:tcPr>
            <w:tcW w:w="3300" w:type="pct"/>
            <w:tcMar>
              <w:top w:w="28" w:type="dxa"/>
              <w:left w:w="28" w:type="dxa"/>
              <w:bottom w:w="28" w:type="dxa"/>
              <w:right w:w="28" w:type="dxa"/>
            </w:tcMar>
            <w:vAlign w:val="center"/>
          </w:tcPr>
          <w:p w14:paraId="48D8A014">
            <w:pPr>
              <w:pStyle w:val="230"/>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只能有一个报价，报价不得超过最高投标限价。</w:t>
            </w:r>
          </w:p>
        </w:tc>
      </w:tr>
      <w:tr w14:paraId="38CB3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6" w:hRule="atLeast"/>
          <w:jc w:val="center"/>
        </w:trPr>
        <w:tc>
          <w:tcPr>
            <w:tcW w:w="250" w:type="pct"/>
            <w:vMerge w:val="continue"/>
            <w:tcMar>
              <w:top w:w="28" w:type="dxa"/>
              <w:left w:w="28" w:type="dxa"/>
              <w:bottom w:w="28" w:type="dxa"/>
              <w:right w:w="28" w:type="dxa"/>
            </w:tcMar>
            <w:vAlign w:val="center"/>
          </w:tcPr>
          <w:p w14:paraId="45D4F4E8">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4D5CDA3C">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6488D55C">
            <w:pPr>
              <w:pStyle w:val="23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法定代表人身份证明或附法定代表人身份证明的授权委托书</w:t>
            </w:r>
          </w:p>
        </w:tc>
        <w:tc>
          <w:tcPr>
            <w:tcW w:w="3300" w:type="pct"/>
            <w:tcMar>
              <w:top w:w="28" w:type="dxa"/>
              <w:left w:w="28" w:type="dxa"/>
              <w:bottom w:w="28" w:type="dxa"/>
              <w:right w:w="28" w:type="dxa"/>
            </w:tcMar>
            <w:vAlign w:val="center"/>
          </w:tcPr>
          <w:p w14:paraId="6D4E1B78">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符合投标文件格式要求，内容真实有效审查上传投标文件中的扫描件。</w:t>
            </w:r>
          </w:p>
        </w:tc>
      </w:tr>
      <w:tr w14:paraId="2D3B9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250" w:type="pct"/>
            <w:vMerge w:val="restart"/>
            <w:tcMar>
              <w:top w:w="28" w:type="dxa"/>
              <w:left w:w="28" w:type="dxa"/>
              <w:bottom w:w="28" w:type="dxa"/>
              <w:right w:w="28" w:type="dxa"/>
            </w:tcMar>
            <w:vAlign w:val="center"/>
          </w:tcPr>
          <w:p w14:paraId="7CCAFCF7">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2.2</w:t>
            </w:r>
          </w:p>
        </w:tc>
        <w:tc>
          <w:tcPr>
            <w:tcW w:w="300" w:type="pct"/>
            <w:vMerge w:val="restart"/>
            <w:tcMar>
              <w:top w:w="28" w:type="dxa"/>
              <w:left w:w="28" w:type="dxa"/>
              <w:bottom w:w="28" w:type="dxa"/>
              <w:right w:w="28" w:type="dxa"/>
            </w:tcMar>
            <w:vAlign w:val="center"/>
          </w:tcPr>
          <w:p w14:paraId="1C382F64">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符合性审查标准</w:t>
            </w:r>
          </w:p>
        </w:tc>
        <w:tc>
          <w:tcPr>
            <w:tcW w:w="1149" w:type="pct"/>
            <w:tcMar>
              <w:top w:w="28" w:type="dxa"/>
              <w:left w:w="28" w:type="dxa"/>
              <w:bottom w:w="28" w:type="dxa"/>
              <w:right w:w="28" w:type="dxa"/>
            </w:tcMar>
            <w:vAlign w:val="center"/>
          </w:tcPr>
          <w:p w14:paraId="69F6A08E">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rPr>
              <w:t>营业执照</w:t>
            </w:r>
          </w:p>
        </w:tc>
        <w:tc>
          <w:tcPr>
            <w:tcW w:w="3300" w:type="pct"/>
            <w:tcMar>
              <w:top w:w="28" w:type="dxa"/>
              <w:left w:w="28" w:type="dxa"/>
              <w:bottom w:w="28" w:type="dxa"/>
              <w:right w:w="28" w:type="dxa"/>
            </w:tcMar>
            <w:vAlign w:val="center"/>
          </w:tcPr>
          <w:p w14:paraId="3FA4993C">
            <w:pPr>
              <w:pStyle w:val="23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第1.4.1项规定</w:t>
            </w:r>
          </w:p>
        </w:tc>
      </w:tr>
      <w:tr w14:paraId="02BEF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250" w:type="pct"/>
            <w:vMerge w:val="continue"/>
            <w:tcMar>
              <w:top w:w="28" w:type="dxa"/>
              <w:left w:w="28" w:type="dxa"/>
              <w:bottom w:w="28" w:type="dxa"/>
              <w:right w:w="28" w:type="dxa"/>
            </w:tcMar>
            <w:vAlign w:val="center"/>
          </w:tcPr>
          <w:p w14:paraId="08DEF041">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45519FFB">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1F504EF7">
            <w:pPr>
              <w:pStyle w:val="23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主体</w:t>
            </w:r>
            <w:r>
              <w:rPr>
                <w:rFonts w:hint="eastAsia" w:ascii="宋体" w:hAnsi="宋体" w:cs="宋体"/>
                <w:color w:val="auto"/>
                <w:szCs w:val="21"/>
                <w:highlight w:val="none"/>
              </w:rPr>
              <w:t>要求</w:t>
            </w:r>
          </w:p>
        </w:tc>
        <w:tc>
          <w:tcPr>
            <w:tcW w:w="3300" w:type="pct"/>
            <w:tcMar>
              <w:top w:w="28" w:type="dxa"/>
              <w:left w:w="28" w:type="dxa"/>
              <w:bottom w:w="28" w:type="dxa"/>
              <w:right w:w="28" w:type="dxa"/>
            </w:tcMar>
            <w:vAlign w:val="center"/>
          </w:tcPr>
          <w:p w14:paraId="35218798">
            <w:pPr>
              <w:pStyle w:val="23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第1.4.1项规定</w:t>
            </w:r>
          </w:p>
        </w:tc>
      </w:tr>
      <w:tr w14:paraId="3ACF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250" w:type="pct"/>
            <w:vMerge w:val="continue"/>
            <w:tcMar>
              <w:top w:w="28" w:type="dxa"/>
              <w:left w:w="28" w:type="dxa"/>
              <w:bottom w:w="28" w:type="dxa"/>
              <w:right w:w="28" w:type="dxa"/>
            </w:tcMar>
            <w:vAlign w:val="center"/>
          </w:tcPr>
          <w:p w14:paraId="605FADC5">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7EDD5D70">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1F11D6EC">
            <w:pPr>
              <w:pStyle w:val="230"/>
              <w:spacing w:line="240" w:lineRule="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特定资格要求</w:t>
            </w:r>
          </w:p>
        </w:tc>
        <w:tc>
          <w:tcPr>
            <w:tcW w:w="3300" w:type="pct"/>
            <w:tcMar>
              <w:top w:w="28" w:type="dxa"/>
              <w:left w:w="28" w:type="dxa"/>
              <w:bottom w:w="28" w:type="dxa"/>
              <w:right w:w="28" w:type="dxa"/>
            </w:tcMar>
            <w:vAlign w:val="center"/>
          </w:tcPr>
          <w:p w14:paraId="20BE794C">
            <w:pPr>
              <w:pStyle w:val="23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第1.4.1项规定</w:t>
            </w:r>
          </w:p>
        </w:tc>
      </w:tr>
      <w:tr w14:paraId="5AC51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250" w:type="pct"/>
            <w:vMerge w:val="continue"/>
            <w:tcMar>
              <w:top w:w="28" w:type="dxa"/>
              <w:left w:w="28" w:type="dxa"/>
              <w:bottom w:w="28" w:type="dxa"/>
              <w:right w:w="28" w:type="dxa"/>
            </w:tcMar>
            <w:vAlign w:val="center"/>
          </w:tcPr>
          <w:p w14:paraId="32E2B88D">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5FC1298C">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78B5756C">
            <w:pPr>
              <w:pStyle w:val="230"/>
              <w:spacing w:line="240" w:lineRule="auto"/>
              <w:ind w:firstLine="0" w:firstLineChars="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投融资能力要求</w:t>
            </w:r>
          </w:p>
        </w:tc>
        <w:tc>
          <w:tcPr>
            <w:tcW w:w="3300" w:type="pct"/>
            <w:tcMar>
              <w:top w:w="28" w:type="dxa"/>
              <w:left w:w="28" w:type="dxa"/>
              <w:bottom w:w="28" w:type="dxa"/>
              <w:right w:w="28" w:type="dxa"/>
            </w:tcMar>
            <w:vAlign w:val="center"/>
          </w:tcPr>
          <w:p w14:paraId="0E69248E">
            <w:pPr>
              <w:pStyle w:val="230"/>
              <w:spacing w:line="240" w:lineRule="auto"/>
              <w:ind w:firstLine="0" w:firstLineChars="0"/>
              <w:jc w:val="left"/>
              <w:rPr>
                <w:rFonts w:hint="eastAsia" w:ascii="宋体" w:hAnsi="宋体" w:eastAsia="宋体" w:cs="宋体"/>
                <w:color w:val="auto"/>
                <w:szCs w:val="21"/>
                <w:highlight w:val="none"/>
              </w:rPr>
            </w:pPr>
            <w:r>
              <w:rPr>
                <w:rFonts w:hint="eastAsia" w:ascii="宋体" w:hAnsi="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投标人须知”第1.4.1项规定</w:t>
            </w:r>
          </w:p>
        </w:tc>
      </w:tr>
      <w:tr w14:paraId="56645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50" w:type="pct"/>
            <w:vMerge w:val="continue"/>
            <w:tcMar>
              <w:top w:w="28" w:type="dxa"/>
              <w:left w:w="28" w:type="dxa"/>
              <w:bottom w:w="28" w:type="dxa"/>
              <w:right w:w="28" w:type="dxa"/>
            </w:tcMar>
            <w:vAlign w:val="center"/>
          </w:tcPr>
          <w:p w14:paraId="30B17064">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049BB35A">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322EFE39">
            <w:pPr>
              <w:pStyle w:val="230"/>
              <w:spacing w:line="240" w:lineRule="auto"/>
              <w:ind w:firstLine="0" w:firstLineChars="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财务要求</w:t>
            </w:r>
          </w:p>
        </w:tc>
        <w:tc>
          <w:tcPr>
            <w:tcW w:w="3300" w:type="pct"/>
            <w:tcMar>
              <w:top w:w="28" w:type="dxa"/>
              <w:left w:w="28" w:type="dxa"/>
              <w:bottom w:w="28" w:type="dxa"/>
              <w:right w:w="28" w:type="dxa"/>
            </w:tcMar>
            <w:vAlign w:val="center"/>
          </w:tcPr>
          <w:p w14:paraId="6D69AC3F">
            <w:pPr>
              <w:pStyle w:val="230"/>
              <w:spacing w:line="24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第1.4.1项规定</w:t>
            </w:r>
          </w:p>
        </w:tc>
      </w:tr>
      <w:tr w14:paraId="16BD9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250" w:type="pct"/>
            <w:vMerge w:val="continue"/>
            <w:tcMar>
              <w:top w:w="28" w:type="dxa"/>
              <w:left w:w="28" w:type="dxa"/>
              <w:bottom w:w="28" w:type="dxa"/>
              <w:right w:w="28" w:type="dxa"/>
            </w:tcMar>
            <w:vAlign w:val="center"/>
          </w:tcPr>
          <w:p w14:paraId="5C5C8D34">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5DA10194">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002BCF85">
            <w:pPr>
              <w:pStyle w:val="230"/>
              <w:spacing w:line="240"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信誉要求</w:t>
            </w:r>
          </w:p>
        </w:tc>
        <w:tc>
          <w:tcPr>
            <w:tcW w:w="3300" w:type="pct"/>
            <w:tcMar>
              <w:top w:w="28" w:type="dxa"/>
              <w:left w:w="28" w:type="dxa"/>
              <w:bottom w:w="28" w:type="dxa"/>
              <w:right w:w="28" w:type="dxa"/>
            </w:tcMar>
            <w:vAlign w:val="center"/>
          </w:tcPr>
          <w:p w14:paraId="135BF3A7">
            <w:pPr>
              <w:pStyle w:val="230"/>
              <w:spacing w:line="24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投标人须知”第1.4.1项规定</w:t>
            </w:r>
          </w:p>
        </w:tc>
      </w:tr>
      <w:tr w14:paraId="09ABD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250" w:type="pct"/>
            <w:vMerge w:val="continue"/>
            <w:tcMar>
              <w:top w:w="28" w:type="dxa"/>
              <w:left w:w="28" w:type="dxa"/>
              <w:bottom w:w="28" w:type="dxa"/>
              <w:right w:w="28" w:type="dxa"/>
            </w:tcMar>
            <w:vAlign w:val="center"/>
          </w:tcPr>
          <w:p w14:paraId="141E109D">
            <w:pPr>
              <w:pStyle w:val="230"/>
              <w:spacing w:line="360" w:lineRule="auto"/>
              <w:jc w:val="left"/>
              <w:rPr>
                <w:rFonts w:hint="eastAsia" w:ascii="宋体" w:hAnsi="宋体" w:cs="宋体"/>
                <w:color w:val="auto"/>
                <w:szCs w:val="21"/>
                <w:highlight w:val="none"/>
              </w:rPr>
            </w:pPr>
          </w:p>
        </w:tc>
        <w:tc>
          <w:tcPr>
            <w:tcW w:w="300" w:type="pct"/>
            <w:vMerge w:val="continue"/>
            <w:tcMar>
              <w:top w:w="28" w:type="dxa"/>
              <w:left w:w="28" w:type="dxa"/>
              <w:bottom w:w="28" w:type="dxa"/>
              <w:right w:w="28" w:type="dxa"/>
            </w:tcMar>
            <w:vAlign w:val="center"/>
          </w:tcPr>
          <w:p w14:paraId="0A88C20A">
            <w:pPr>
              <w:pStyle w:val="230"/>
              <w:spacing w:line="360" w:lineRule="auto"/>
              <w:jc w:val="left"/>
              <w:rPr>
                <w:rFonts w:hint="eastAsia" w:ascii="宋体" w:hAnsi="宋体" w:cs="宋体"/>
                <w:color w:val="auto"/>
                <w:szCs w:val="21"/>
                <w:highlight w:val="none"/>
              </w:rPr>
            </w:pPr>
          </w:p>
        </w:tc>
        <w:tc>
          <w:tcPr>
            <w:tcW w:w="1149" w:type="pct"/>
            <w:tcMar>
              <w:top w:w="28" w:type="dxa"/>
              <w:left w:w="28" w:type="dxa"/>
              <w:bottom w:w="28" w:type="dxa"/>
              <w:right w:w="28" w:type="dxa"/>
            </w:tcMar>
            <w:vAlign w:val="center"/>
          </w:tcPr>
          <w:p w14:paraId="03102A8C">
            <w:pPr>
              <w:pStyle w:val="230"/>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其他要求</w:t>
            </w:r>
          </w:p>
        </w:tc>
        <w:tc>
          <w:tcPr>
            <w:tcW w:w="3300" w:type="pct"/>
            <w:tcMar>
              <w:top w:w="28" w:type="dxa"/>
              <w:left w:w="28" w:type="dxa"/>
              <w:bottom w:w="28" w:type="dxa"/>
              <w:right w:w="28" w:type="dxa"/>
            </w:tcMar>
            <w:vAlign w:val="center"/>
          </w:tcPr>
          <w:p w14:paraId="559C7B73">
            <w:pPr>
              <w:pStyle w:val="230"/>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投标人须知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第1.4.1项规定</w:t>
            </w:r>
          </w:p>
        </w:tc>
      </w:tr>
      <w:tr w14:paraId="05362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50" w:type="pct"/>
            <w:gridSpan w:val="2"/>
            <w:tcBorders>
              <w:right w:val="single" w:color="auto" w:sz="4" w:space="0"/>
            </w:tcBorders>
            <w:tcMar>
              <w:top w:w="28" w:type="dxa"/>
              <w:left w:w="28" w:type="dxa"/>
              <w:bottom w:w="28" w:type="dxa"/>
              <w:right w:w="28" w:type="dxa"/>
            </w:tcMar>
            <w:vAlign w:val="center"/>
          </w:tcPr>
          <w:p w14:paraId="016961FB">
            <w:pPr>
              <w:pStyle w:val="230"/>
              <w:spacing w:line="360" w:lineRule="auto"/>
              <w:rPr>
                <w:rFonts w:hint="eastAsia" w:ascii="宋体" w:hAnsi="宋体" w:cs="宋体"/>
                <w:color w:val="auto"/>
                <w:szCs w:val="21"/>
                <w:highlight w:val="none"/>
              </w:rPr>
            </w:pPr>
            <w:r>
              <w:rPr>
                <w:rFonts w:hint="eastAsia" w:ascii="宋体" w:hAnsi="宋体" w:cs="宋体"/>
                <w:color w:val="auto"/>
                <w:szCs w:val="21"/>
                <w:highlight w:val="none"/>
              </w:rPr>
              <w:t>2.3</w:t>
            </w:r>
          </w:p>
        </w:tc>
        <w:tc>
          <w:tcPr>
            <w:tcW w:w="1149" w:type="pct"/>
            <w:tcBorders>
              <w:left w:val="single" w:color="auto" w:sz="4" w:space="0"/>
            </w:tcBorders>
            <w:tcMar>
              <w:top w:w="28" w:type="dxa"/>
              <w:left w:w="28" w:type="dxa"/>
              <w:bottom w:w="28" w:type="dxa"/>
              <w:right w:w="28" w:type="dxa"/>
            </w:tcMar>
            <w:vAlign w:val="center"/>
          </w:tcPr>
          <w:p w14:paraId="2F1F39C9">
            <w:pPr>
              <w:pStyle w:val="230"/>
              <w:spacing w:line="360" w:lineRule="auto"/>
              <w:rPr>
                <w:rFonts w:hint="eastAsia" w:ascii="宋体" w:hAnsi="宋体" w:cs="宋体"/>
                <w:color w:val="auto"/>
                <w:szCs w:val="21"/>
                <w:highlight w:val="none"/>
              </w:rPr>
            </w:pPr>
            <w:r>
              <w:rPr>
                <w:rFonts w:hint="eastAsia" w:ascii="宋体" w:hAnsi="宋体" w:cs="宋体"/>
                <w:color w:val="auto"/>
                <w:szCs w:val="21"/>
                <w:highlight w:val="none"/>
              </w:rPr>
              <w:t>响应性评审标准</w:t>
            </w:r>
          </w:p>
        </w:tc>
        <w:tc>
          <w:tcPr>
            <w:tcW w:w="3300" w:type="pct"/>
            <w:tcMar>
              <w:top w:w="28" w:type="dxa"/>
              <w:left w:w="28" w:type="dxa"/>
              <w:bottom w:w="28" w:type="dxa"/>
              <w:right w:w="28" w:type="dxa"/>
            </w:tcMar>
            <w:vAlign w:val="center"/>
          </w:tcPr>
          <w:p w14:paraId="540E4A7F">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（1）投标范围：符合“投标人须知前附表”第1.3.1项招标范围的规定。</w:t>
            </w:r>
          </w:p>
          <w:p w14:paraId="63678378">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eastAsia="宋体" w:cs="宋体"/>
                <w:color w:val="000000"/>
                <w:lang w:val="zh-TW" w:eastAsia="zh-CN"/>
              </w:rPr>
              <w:t>特许经营期限</w:t>
            </w:r>
            <w:r>
              <w:rPr>
                <w:rFonts w:hint="eastAsia" w:ascii="宋体" w:hAnsi="宋体" w:cs="宋体"/>
                <w:color w:val="auto"/>
                <w:szCs w:val="21"/>
                <w:highlight w:val="none"/>
              </w:rPr>
              <w:t>：符合“投标人须知前附表”第1.3.2项</w:t>
            </w:r>
            <w:r>
              <w:rPr>
                <w:rFonts w:hint="eastAsia" w:ascii="宋体" w:hAnsi="宋体" w:eastAsia="宋体" w:cs="宋体"/>
                <w:color w:val="000000"/>
                <w:lang w:val="zh-TW" w:eastAsia="zh-CN"/>
              </w:rPr>
              <w:t>特许经营期限</w:t>
            </w:r>
            <w:r>
              <w:rPr>
                <w:rFonts w:hint="eastAsia" w:ascii="宋体" w:hAnsi="宋体" w:cs="宋体"/>
                <w:color w:val="auto"/>
                <w:szCs w:val="21"/>
                <w:highlight w:val="none"/>
              </w:rPr>
              <w:t>的规定。</w:t>
            </w:r>
          </w:p>
          <w:p w14:paraId="5E43B2E5">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项目运营标准：</w:t>
            </w:r>
            <w:r>
              <w:rPr>
                <w:rFonts w:hint="eastAsia" w:ascii="宋体" w:hAnsi="宋体" w:cs="宋体"/>
                <w:color w:val="auto"/>
                <w:szCs w:val="21"/>
                <w:highlight w:val="none"/>
              </w:rPr>
              <w:t>符合“投标人须知前附表”第</w:t>
            </w:r>
            <w:r>
              <w:rPr>
                <w:rFonts w:hint="eastAsia" w:ascii="宋体" w:hAnsi="宋体" w:cs="宋体"/>
                <w:color w:val="auto"/>
                <w:sz w:val="21"/>
                <w:szCs w:val="21"/>
                <w:highlight w:val="none"/>
              </w:rPr>
              <w:t>1.3.3</w:t>
            </w:r>
            <w:r>
              <w:rPr>
                <w:rFonts w:hint="eastAsia" w:ascii="宋体" w:hAnsi="宋体" w:cs="宋体"/>
                <w:color w:val="auto"/>
                <w:szCs w:val="21"/>
                <w:highlight w:val="none"/>
              </w:rPr>
              <w:t>项的要求。</w:t>
            </w:r>
          </w:p>
          <w:p w14:paraId="2444BE56">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）投标有效期：符合“投标人须知前附表”第3.3.1项的要求。</w:t>
            </w:r>
          </w:p>
          <w:p w14:paraId="17BC33C8">
            <w:pPr>
              <w:pStyle w:val="23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）投标保证金：符合“投标人须知前附表”第3.4.1项的规定。</w:t>
            </w:r>
          </w:p>
        </w:tc>
      </w:tr>
      <w:tr w14:paraId="456F1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50" w:type="pct"/>
            <w:gridSpan w:val="2"/>
            <w:tcBorders>
              <w:right w:val="single" w:color="auto" w:sz="4" w:space="0"/>
            </w:tcBorders>
            <w:tcMar>
              <w:top w:w="28" w:type="dxa"/>
              <w:left w:w="28" w:type="dxa"/>
              <w:bottom w:w="28" w:type="dxa"/>
              <w:right w:w="28" w:type="dxa"/>
            </w:tcMar>
            <w:vAlign w:val="center"/>
          </w:tcPr>
          <w:p w14:paraId="14326F19">
            <w:pPr>
              <w:pStyle w:val="230"/>
              <w:spacing w:line="360" w:lineRule="auto"/>
              <w:rPr>
                <w:rFonts w:ascii="宋体" w:hAnsi="宋体" w:cs="宋体"/>
                <w:color w:val="auto"/>
                <w:szCs w:val="21"/>
                <w:highlight w:val="none"/>
              </w:rPr>
            </w:pPr>
            <w:r>
              <w:rPr>
                <w:rFonts w:hint="eastAsia" w:ascii="宋体" w:hAnsi="宋体" w:cs="宋体"/>
                <w:color w:val="auto"/>
                <w:szCs w:val="21"/>
                <w:highlight w:val="none"/>
              </w:rPr>
              <w:t>2.4</w:t>
            </w:r>
          </w:p>
        </w:tc>
        <w:tc>
          <w:tcPr>
            <w:tcW w:w="1149" w:type="pct"/>
            <w:tcBorders>
              <w:left w:val="single" w:color="auto" w:sz="4" w:space="0"/>
            </w:tcBorders>
            <w:tcMar>
              <w:top w:w="28" w:type="dxa"/>
              <w:left w:w="28" w:type="dxa"/>
              <w:bottom w:w="28" w:type="dxa"/>
              <w:right w:w="28" w:type="dxa"/>
            </w:tcMar>
            <w:vAlign w:val="center"/>
          </w:tcPr>
          <w:p w14:paraId="4711551B">
            <w:pPr>
              <w:pStyle w:val="23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分值构成</w:t>
            </w:r>
          </w:p>
          <w:p w14:paraId="6C5C33EE">
            <w:pPr>
              <w:pStyle w:val="2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（总分100分）</w:t>
            </w:r>
          </w:p>
        </w:tc>
        <w:tc>
          <w:tcPr>
            <w:tcW w:w="3300" w:type="pct"/>
            <w:tcMar>
              <w:top w:w="28" w:type="dxa"/>
              <w:left w:w="28" w:type="dxa"/>
              <w:bottom w:w="28" w:type="dxa"/>
              <w:right w:w="28" w:type="dxa"/>
            </w:tcMar>
            <w:vAlign w:val="center"/>
          </w:tcPr>
          <w:p w14:paraId="7AE5EE37">
            <w:pPr>
              <w:pStyle w:val="230"/>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FF0000"/>
                <w:szCs w:val="21"/>
                <w:highlight w:val="none"/>
                <w:lang w:val="en-US" w:eastAsia="zh-CN"/>
              </w:rPr>
              <w:t>总分100分，其中：报价部分</w:t>
            </w:r>
            <w:r>
              <w:rPr>
                <w:rFonts w:hint="eastAsia" w:ascii="宋体" w:hAnsi="宋体" w:cs="宋体"/>
                <w:color w:val="FF0000"/>
                <w:szCs w:val="21"/>
                <w:highlight w:val="none"/>
                <w:lang w:val="en-US" w:eastAsia="zh-CN"/>
              </w:rPr>
              <w:t>10</w:t>
            </w:r>
            <w:r>
              <w:rPr>
                <w:rFonts w:hint="eastAsia" w:ascii="宋体" w:hAnsi="宋体" w:eastAsia="宋体" w:cs="宋体"/>
                <w:color w:val="FF0000"/>
                <w:szCs w:val="21"/>
                <w:highlight w:val="none"/>
              </w:rPr>
              <w:t>分</w:t>
            </w:r>
            <w:r>
              <w:rPr>
                <w:rFonts w:hint="eastAsia" w:ascii="宋体" w:hAnsi="宋体" w:cs="宋体"/>
                <w:color w:val="FF0000"/>
                <w:szCs w:val="21"/>
                <w:highlight w:val="none"/>
                <w:lang w:eastAsia="zh-CN"/>
              </w:rPr>
              <w:t>，技术</w:t>
            </w:r>
            <w:r>
              <w:rPr>
                <w:rFonts w:hint="eastAsia" w:ascii="宋体" w:hAnsi="宋体" w:cs="宋体"/>
                <w:color w:val="FF0000"/>
                <w:szCs w:val="21"/>
                <w:highlight w:val="none"/>
                <w:lang w:val="en-US" w:eastAsia="zh-CN"/>
              </w:rPr>
              <w:t>部分70</w:t>
            </w:r>
            <w:r>
              <w:rPr>
                <w:rFonts w:hint="eastAsia" w:ascii="宋体" w:hAnsi="宋体" w:eastAsia="宋体" w:cs="宋体"/>
                <w:color w:val="FF0000"/>
                <w:szCs w:val="21"/>
                <w:highlight w:val="none"/>
                <w:lang w:val="en-US" w:eastAsia="zh-CN"/>
              </w:rPr>
              <w:t>分，</w:t>
            </w:r>
            <w:r>
              <w:rPr>
                <w:rFonts w:hint="eastAsia" w:ascii="宋体" w:hAnsi="宋体" w:cs="宋体"/>
                <w:color w:val="FF0000"/>
                <w:szCs w:val="21"/>
                <w:highlight w:val="none"/>
                <w:lang w:val="en-US" w:eastAsia="zh-CN"/>
              </w:rPr>
              <w:t>商务部分20分</w:t>
            </w:r>
            <w:r>
              <w:rPr>
                <w:rFonts w:hint="eastAsia" w:ascii="宋体" w:hAnsi="宋体" w:eastAsia="宋体" w:cs="宋体"/>
                <w:color w:val="FF0000"/>
                <w:szCs w:val="21"/>
                <w:highlight w:val="none"/>
                <w:lang w:eastAsia="zh-CN"/>
              </w:rPr>
              <w:t>。</w:t>
            </w:r>
          </w:p>
        </w:tc>
      </w:tr>
      <w:tr w14:paraId="638D6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699" w:type="pct"/>
            <w:gridSpan w:val="3"/>
            <w:tcMar>
              <w:top w:w="28" w:type="dxa"/>
              <w:left w:w="28" w:type="dxa"/>
              <w:bottom w:w="28" w:type="dxa"/>
              <w:right w:w="28" w:type="dxa"/>
            </w:tcMar>
            <w:vAlign w:val="center"/>
          </w:tcPr>
          <w:p w14:paraId="47C6705F">
            <w:pPr>
              <w:adjustRightInd w:val="0"/>
              <w:snapToGrid w:val="0"/>
              <w:spacing w:before="100" w:after="100" w:line="288" w:lineRule="auto"/>
              <w:ind w:left="0" w:leftChars="0" w:firstLine="0" w:firstLineChars="0"/>
              <w:jc w:val="center"/>
              <w:rPr>
                <w:rFonts w:hint="eastAsia" w:ascii="宋体" w:hAnsi="宋体" w:cs="宋体"/>
                <w:color w:val="auto"/>
                <w:szCs w:val="21"/>
                <w:highlight w:val="none"/>
              </w:rPr>
            </w:pPr>
            <w:r>
              <w:rPr>
                <w:rFonts w:hint="eastAsia" w:ascii="宋体" w:hAnsi="宋体" w:cs="宋体"/>
                <w:bCs/>
                <w:color w:val="auto"/>
                <w:highlight w:val="none"/>
              </w:rPr>
              <w:t>判断投标是否被否决</w:t>
            </w:r>
          </w:p>
        </w:tc>
        <w:tc>
          <w:tcPr>
            <w:tcW w:w="3300" w:type="pct"/>
            <w:tcMar>
              <w:top w:w="28" w:type="dxa"/>
              <w:left w:w="28" w:type="dxa"/>
              <w:bottom w:w="28" w:type="dxa"/>
              <w:right w:w="28" w:type="dxa"/>
            </w:tcMar>
            <w:vAlign w:val="center"/>
          </w:tcPr>
          <w:p w14:paraId="3EAB8CDD">
            <w:pPr>
              <w:adjustRightInd w:val="0"/>
              <w:snapToGrid w:val="0"/>
              <w:spacing w:before="100" w:after="100" w:line="288" w:lineRule="auto"/>
              <w:ind w:firstLine="360" w:firstLineChars="0"/>
              <w:jc w:val="left"/>
              <w:rPr>
                <w:rFonts w:hint="eastAsia" w:ascii="宋体" w:hAnsi="宋体" w:cs="宋体"/>
                <w:color w:val="auto"/>
                <w:szCs w:val="21"/>
                <w:highlight w:val="none"/>
              </w:rPr>
            </w:pPr>
            <w:r>
              <w:rPr>
                <w:rFonts w:hint="eastAsia" w:ascii="宋体" w:hAnsi="宋体" w:cs="宋体"/>
                <w:bCs/>
                <w:color w:val="auto"/>
                <w:highlight w:val="none"/>
              </w:rPr>
              <w:t>详见第三章“评标办法”附件</w:t>
            </w:r>
            <w:r>
              <w:rPr>
                <w:rFonts w:hint="eastAsia" w:ascii="宋体" w:hAnsi="宋体" w:cs="宋体"/>
                <w:bCs/>
                <w:color w:val="auto"/>
                <w:highlight w:val="none"/>
                <w:lang w:val="en-US" w:eastAsia="zh-CN"/>
              </w:rPr>
              <w:t>A</w:t>
            </w:r>
            <w:r>
              <w:rPr>
                <w:rFonts w:hint="eastAsia" w:ascii="宋体" w:hAnsi="宋体" w:cs="宋体"/>
                <w:bCs/>
                <w:color w:val="auto"/>
                <w:highlight w:val="none"/>
              </w:rPr>
              <w:t>：否决投标条款。</w:t>
            </w:r>
          </w:p>
        </w:tc>
      </w:tr>
    </w:tbl>
    <w:p w14:paraId="1AAA1EFA">
      <w:pPr>
        <w:spacing w:before="163" w:after="163" w:line="360" w:lineRule="auto"/>
        <w:ind w:firstLine="0"/>
        <w:outlineLvl w:val="1"/>
        <w:rPr>
          <w:rFonts w:hint="eastAsia" w:ascii="宋体" w:hAnsi="宋体" w:cs="宋体"/>
          <w:b/>
          <w:color w:val="auto"/>
          <w:kern w:val="44"/>
          <w:sz w:val="21"/>
          <w:szCs w:val="21"/>
          <w:highlight w:val="none"/>
        </w:rPr>
      </w:pPr>
      <w:bookmarkStart w:id="288" w:name="_Toc10628"/>
      <w:bookmarkStart w:id="289" w:name="_Toc17785"/>
      <w:bookmarkStart w:id="290" w:name="_Toc18594_WPSOffice_Level2"/>
      <w:bookmarkStart w:id="291" w:name="_Toc10089"/>
      <w:bookmarkStart w:id="292" w:name="_Toc356"/>
      <w:bookmarkStart w:id="293" w:name="_Toc478020011"/>
      <w:bookmarkStart w:id="294" w:name="_Toc421834178"/>
      <w:bookmarkStart w:id="295" w:name="_Toc460246767"/>
      <w:bookmarkStart w:id="296" w:name="_Toc12698"/>
      <w:bookmarkStart w:id="297" w:name="_Toc20422"/>
      <w:bookmarkStart w:id="298" w:name="_Toc28176"/>
      <w:bookmarkStart w:id="299" w:name="_Toc22434_WPSOffice_Level2"/>
      <w:r>
        <w:rPr>
          <w:rFonts w:hint="eastAsia" w:ascii="宋体" w:hAnsi="宋体" w:cs="宋体"/>
          <w:b/>
          <w:color w:val="auto"/>
          <w:kern w:val="44"/>
          <w:sz w:val="21"/>
          <w:szCs w:val="21"/>
          <w:highlight w:val="none"/>
        </w:rPr>
        <w:t>1.审查方法</w:t>
      </w:r>
      <w:bookmarkEnd w:id="288"/>
      <w:bookmarkEnd w:id="289"/>
      <w:bookmarkEnd w:id="290"/>
      <w:bookmarkEnd w:id="291"/>
      <w:bookmarkEnd w:id="292"/>
      <w:bookmarkEnd w:id="293"/>
      <w:bookmarkEnd w:id="294"/>
      <w:bookmarkEnd w:id="295"/>
      <w:bookmarkEnd w:id="296"/>
      <w:bookmarkEnd w:id="297"/>
      <w:bookmarkEnd w:id="298"/>
    </w:p>
    <w:p w14:paraId="610335BB">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本次资格</w:t>
      </w:r>
      <w:r>
        <w:rPr>
          <w:rFonts w:hint="eastAsia" w:ascii="宋体" w:hAnsi="宋体" w:cs="宋体"/>
          <w:color w:val="auto"/>
          <w:kern w:val="2"/>
          <w:sz w:val="21"/>
          <w:szCs w:val="21"/>
          <w:highlight w:val="none"/>
        </w:rPr>
        <w:t>审查</w:t>
      </w:r>
      <w:r>
        <w:rPr>
          <w:rFonts w:hint="eastAsia" w:ascii="宋体" w:hAnsi="宋体" w:cs="宋体"/>
          <w:color w:val="auto"/>
          <w:kern w:val="2"/>
          <w:sz w:val="21"/>
          <w:szCs w:val="21"/>
          <w:highlight w:val="none"/>
          <w:lang w:val="zh-CN"/>
        </w:rPr>
        <w:t>采用合格制。</w:t>
      </w:r>
    </w:p>
    <w:p w14:paraId="4913457E">
      <w:pPr>
        <w:widowControl w:val="0"/>
        <w:spacing w:line="360" w:lineRule="auto"/>
        <w:ind w:firstLine="420" w:firstLineChars="200"/>
        <w:jc w:val="both"/>
        <w:rPr>
          <w:rFonts w:hint="default"/>
          <w:color w:val="auto"/>
          <w:sz w:val="21"/>
          <w:szCs w:val="21"/>
          <w:highlight w:val="none"/>
          <w:u w:val="none"/>
          <w:lang w:val="en-US" w:eastAsia="zh-CN"/>
        </w:rPr>
      </w:pPr>
      <w:r>
        <w:rPr>
          <w:rFonts w:hint="eastAsia"/>
          <w:color w:val="auto"/>
          <w:sz w:val="21"/>
          <w:szCs w:val="21"/>
          <w:highlight w:val="none"/>
          <w:lang w:val="en-US" w:eastAsia="zh-CN"/>
        </w:rPr>
        <w:t>1.1本项目按照115号文件中鼓励民营企业参与的精神，要求由民营企业独资或控股（详见国务院办公厅转发国家发展改革委、财政部《关于规范实施政府和社会资本合作新机制的指导意见》的通知（国办函〔2023〕115号））附件：</w:t>
      </w:r>
      <w:r>
        <w:rPr>
          <w:rFonts w:hint="eastAsia"/>
          <w:color w:val="auto"/>
          <w:sz w:val="21"/>
          <w:szCs w:val="21"/>
          <w:highlight w:val="none"/>
          <w:u w:val="none"/>
          <w:lang w:val="en-US" w:eastAsia="zh-CN"/>
        </w:rPr>
        <w:t>支持民营企业参与的特许经营新建（含改扩建项目清单，一、应由民营企业独资或控股的项目（一）环保领域1.垃圾固废处理和垃圾焚烧发电项目</w:t>
      </w:r>
      <w:r>
        <w:rPr>
          <w:rFonts w:hint="eastAsia"/>
          <w:color w:val="auto"/>
          <w:sz w:val="21"/>
          <w:szCs w:val="21"/>
          <w:highlight w:val="none"/>
          <w:lang w:val="en-US" w:eastAsia="zh-CN"/>
        </w:rPr>
        <w:t>）</w:t>
      </w:r>
    </w:p>
    <w:p w14:paraId="112206EE">
      <w:pPr>
        <w:widowControl w:val="0"/>
        <w:spacing w:line="360" w:lineRule="auto"/>
        <w:ind w:firstLine="420" w:firstLineChars="200"/>
        <w:jc w:val="both"/>
        <w:rPr>
          <w:rFonts w:hint="eastAsia"/>
          <w:color w:val="auto"/>
          <w:sz w:val="21"/>
          <w:szCs w:val="21"/>
          <w:highlight w:val="none"/>
          <w:lang w:val="en-US" w:eastAsia="zh-CN"/>
        </w:rPr>
      </w:pPr>
      <w:r>
        <w:rPr>
          <w:rFonts w:hint="eastAsia"/>
          <w:color w:val="auto"/>
          <w:sz w:val="21"/>
          <w:szCs w:val="21"/>
          <w:highlight w:val="none"/>
          <w:lang w:val="en-US" w:eastAsia="zh-CN"/>
        </w:rPr>
        <w:t>1.2</w:t>
      </w:r>
      <w:r>
        <w:rPr>
          <w:rFonts w:hint="eastAsia"/>
          <w:color w:val="auto"/>
          <w:sz w:val="21"/>
          <w:szCs w:val="21"/>
          <w:highlight w:val="none"/>
        </w:rPr>
        <w:t>关于民营企业的界定</w:t>
      </w:r>
      <w:r>
        <w:rPr>
          <w:rFonts w:hint="eastAsia"/>
          <w:color w:val="auto"/>
          <w:sz w:val="21"/>
          <w:szCs w:val="21"/>
          <w:highlight w:val="none"/>
          <w:lang w:val="en-US" w:eastAsia="zh-CN"/>
        </w:rPr>
        <w:t>：根据清华大学投融资政策研究中心公布的《政府和社会资本合作新机制政策问答（三）》第二条：“我国法律并未对‘民营企业’进行明确定义。可以通过排除法进行认定，即除国有独资企业、国有控股企业和外商投资企业外的其他企业均可考虑认定为民营企业”。</w:t>
      </w:r>
    </w:p>
    <w:p w14:paraId="795497F7">
      <w:pPr>
        <w:widowControl w:val="0"/>
        <w:spacing w:line="360" w:lineRule="auto"/>
        <w:ind w:firstLine="420" w:firstLineChars="200"/>
        <w:jc w:val="both"/>
        <w:rPr>
          <w:rFonts w:hint="eastAsia"/>
          <w:color w:val="auto"/>
          <w:sz w:val="21"/>
          <w:szCs w:val="21"/>
          <w:highlight w:val="none"/>
          <w:lang w:val="en-US" w:eastAsia="zh-CN"/>
        </w:rPr>
      </w:pPr>
      <w:r>
        <w:rPr>
          <w:rFonts w:hint="eastAsia"/>
          <w:color w:val="auto"/>
          <w:sz w:val="21"/>
          <w:szCs w:val="21"/>
          <w:highlight w:val="none"/>
          <w:lang w:val="en-US" w:eastAsia="zh-CN"/>
        </w:rPr>
        <w:t>“国有控股企业”的界定，按照《中华人民共和国公司法》（2023年修订）第二百六十五条第（二）款执行，即“控股股东，是指其出资额占有限责任公司资本总额超过百分之五十或者其持有的股份占股份有限公司股本总额超过百分之五十的股东”。</w:t>
      </w:r>
    </w:p>
    <w:p w14:paraId="6138CD28">
      <w:pPr>
        <w:widowControl w:val="0"/>
        <w:spacing w:line="360" w:lineRule="auto"/>
        <w:ind w:firstLine="420" w:firstLineChars="200"/>
        <w:jc w:val="both"/>
        <w:rPr>
          <w:rFonts w:hint="eastAsia"/>
          <w:color w:val="auto"/>
          <w:sz w:val="21"/>
          <w:szCs w:val="21"/>
          <w:highlight w:val="none"/>
          <w:lang w:val="en-US" w:eastAsia="zh-CN"/>
        </w:rPr>
      </w:pPr>
      <w:r>
        <w:rPr>
          <w:rFonts w:hint="eastAsia"/>
          <w:color w:val="auto"/>
          <w:sz w:val="21"/>
          <w:szCs w:val="21"/>
          <w:highlight w:val="none"/>
          <w:lang w:val="en-US" w:eastAsia="zh-CN"/>
        </w:rPr>
        <w:t>清华大学投融资政策研究中心公布的《政府和社会资本合作新机制政策问答（三）》第一条明确：“PPP新机制强调要‘坚持初衷、回归本源’，就是主要鼓励民营企业和外商投资企业参与。”《关于规范实施政府和社会资本合作新机制的指导意见》（国办函〔2023〕115号）规定：“外商投资企业参与政府和社会资本合作项目按照外商投资管理有关要求并参照上述规定执行。”因此，本项目同样鼓励外商投资企业参与投标。</w:t>
      </w:r>
    </w:p>
    <w:p w14:paraId="00DC7C70">
      <w:pPr>
        <w:widowControl w:val="0"/>
        <w:spacing w:line="360" w:lineRule="auto"/>
        <w:ind w:firstLine="420" w:firstLineChars="200"/>
        <w:jc w:val="both"/>
        <w:rPr>
          <w:rFonts w:hint="default"/>
          <w:color w:val="auto"/>
          <w:sz w:val="21"/>
          <w:szCs w:val="21"/>
          <w:highlight w:val="none"/>
          <w:lang w:val="en-US" w:eastAsia="zh-CN"/>
        </w:rPr>
      </w:pPr>
      <w:r>
        <w:rPr>
          <w:rFonts w:hint="eastAsia"/>
          <w:color w:val="auto"/>
          <w:sz w:val="21"/>
          <w:szCs w:val="21"/>
          <w:highlight w:val="none"/>
          <w:lang w:val="en-US" w:eastAsia="zh-CN"/>
        </w:rPr>
        <w:t>综上，本项目招标公告中已明确：“投标人应满足《指导意见》要求的“应由民营企业独资或控股”的条件，即投标人（或投标人联合体）应为民营企业或民营企业牵头的联合体，且民营企业应在项目公司中持股高于50%；外商投资企业可参照民营企业的上述要求投标本项目。”</w:t>
      </w:r>
    </w:p>
    <w:p w14:paraId="26FE4AF6">
      <w:pPr>
        <w:spacing w:before="163" w:after="163" w:line="360" w:lineRule="auto"/>
        <w:ind w:firstLine="0"/>
        <w:outlineLvl w:val="1"/>
        <w:rPr>
          <w:rFonts w:hint="eastAsia" w:ascii="宋体" w:hAnsi="宋体" w:cs="宋体"/>
          <w:b/>
          <w:color w:val="auto"/>
          <w:kern w:val="44"/>
          <w:sz w:val="21"/>
          <w:szCs w:val="21"/>
          <w:highlight w:val="none"/>
        </w:rPr>
      </w:pPr>
      <w:bookmarkStart w:id="300" w:name="_Toc3332"/>
      <w:bookmarkStart w:id="301" w:name="_Toc12680"/>
      <w:bookmarkStart w:id="302" w:name="_Toc25239"/>
      <w:bookmarkStart w:id="303" w:name="_Toc26764"/>
      <w:bookmarkStart w:id="304" w:name="_Toc26108"/>
      <w:bookmarkStart w:id="305" w:name="_Toc17940_WPSOffice_Level2"/>
      <w:bookmarkStart w:id="306" w:name="_Toc31442"/>
      <w:bookmarkStart w:id="307" w:name="_Toc9405"/>
      <w:r>
        <w:rPr>
          <w:rFonts w:hint="eastAsia" w:ascii="宋体" w:hAnsi="宋体" w:cs="宋体"/>
          <w:b/>
          <w:color w:val="auto"/>
          <w:kern w:val="44"/>
          <w:sz w:val="21"/>
          <w:szCs w:val="21"/>
          <w:highlight w:val="none"/>
        </w:rPr>
        <w:t>2.审查标准</w:t>
      </w:r>
      <w:bookmarkEnd w:id="300"/>
      <w:bookmarkEnd w:id="301"/>
      <w:bookmarkEnd w:id="302"/>
      <w:bookmarkEnd w:id="303"/>
      <w:bookmarkEnd w:id="304"/>
      <w:bookmarkEnd w:id="305"/>
      <w:bookmarkEnd w:id="306"/>
      <w:bookmarkEnd w:id="307"/>
    </w:p>
    <w:p w14:paraId="5B4671CA">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08" w:name="_Toc1672"/>
      <w:bookmarkStart w:id="309" w:name="_Toc11567"/>
      <w:bookmarkStart w:id="310" w:name="_Toc489633711"/>
      <w:bookmarkStart w:id="311" w:name="_Toc3461"/>
      <w:bookmarkStart w:id="312" w:name="_Toc24915"/>
      <w:bookmarkStart w:id="313" w:name="_Toc15629"/>
      <w:bookmarkStart w:id="314" w:name="_Toc2979"/>
      <w:bookmarkStart w:id="315" w:name="_Toc460246769"/>
      <w:bookmarkStart w:id="316" w:name="_Toc10285"/>
      <w:bookmarkStart w:id="317" w:name="_Toc27654"/>
      <w:bookmarkStart w:id="318" w:name="_Toc21242"/>
      <w:bookmarkStart w:id="319" w:name="_Toc17450"/>
      <w:bookmarkStart w:id="320" w:name="_Toc478020013"/>
      <w:bookmarkStart w:id="321" w:name="_Toc26409"/>
      <w:bookmarkStart w:id="322" w:name="_Toc9413"/>
      <w:bookmarkStart w:id="323" w:name="_Toc31143"/>
      <w:bookmarkStart w:id="324" w:name="_Toc421834180"/>
      <w:r>
        <w:rPr>
          <w:rFonts w:hint="eastAsia" w:ascii="宋体" w:hAnsi="宋体" w:cs="宋体"/>
          <w:b/>
          <w:bCs/>
          <w:color w:val="auto"/>
          <w:kern w:val="2"/>
          <w:sz w:val="21"/>
          <w:szCs w:val="21"/>
          <w:highlight w:val="none"/>
          <w:lang w:val="zh-CN"/>
        </w:rPr>
        <w:t>2.1初步审查标准</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3F1DA388">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初步审查标准：见评标办法前附表。</w:t>
      </w:r>
    </w:p>
    <w:p w14:paraId="128EC1F7">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25" w:name="_Toc489633712"/>
      <w:bookmarkStart w:id="326" w:name="_Toc10191"/>
      <w:bookmarkStart w:id="327" w:name="_Toc6721"/>
      <w:bookmarkStart w:id="328" w:name="_Toc10083"/>
      <w:bookmarkStart w:id="329" w:name="_Toc11053"/>
      <w:bookmarkStart w:id="330" w:name="_Toc28887"/>
      <w:bookmarkStart w:id="331" w:name="_Toc975"/>
      <w:bookmarkStart w:id="332" w:name="_Toc460246770"/>
      <w:bookmarkStart w:id="333" w:name="_Toc9644"/>
      <w:bookmarkStart w:id="334" w:name="_Toc28581"/>
      <w:bookmarkStart w:id="335" w:name="_Toc4329"/>
      <w:bookmarkStart w:id="336" w:name="_Toc25053"/>
      <w:bookmarkStart w:id="337" w:name="_Toc421834181"/>
      <w:bookmarkStart w:id="338" w:name="_Toc29266"/>
      <w:bookmarkStart w:id="339" w:name="_Toc29390"/>
      <w:bookmarkStart w:id="340" w:name="_Toc478020014"/>
      <w:bookmarkStart w:id="341" w:name="_Toc28254"/>
      <w:r>
        <w:rPr>
          <w:rFonts w:hint="eastAsia" w:ascii="宋体" w:hAnsi="宋体" w:cs="宋体"/>
          <w:b/>
          <w:bCs/>
          <w:color w:val="auto"/>
          <w:kern w:val="2"/>
          <w:sz w:val="21"/>
          <w:szCs w:val="21"/>
          <w:highlight w:val="none"/>
          <w:lang w:val="zh-CN"/>
        </w:rPr>
        <w:t>2.2符合性审查标准</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20C5E753">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bookmarkStart w:id="342" w:name="_Toc489633713"/>
      <w:bookmarkStart w:id="343" w:name="_Toc23183"/>
      <w:bookmarkStart w:id="344" w:name="_Toc30192"/>
      <w:r>
        <w:rPr>
          <w:rFonts w:hint="eastAsia" w:ascii="宋体" w:hAnsi="宋体" w:eastAsia="宋体" w:cs="宋体"/>
          <w:color w:val="auto"/>
          <w:kern w:val="2"/>
          <w:sz w:val="21"/>
          <w:szCs w:val="21"/>
          <w:highlight w:val="none"/>
          <w:lang w:val="zh-CN"/>
        </w:rPr>
        <w:t>符合性审查标准：见评标办法前附表。</w:t>
      </w:r>
      <w:bookmarkEnd w:id="342"/>
      <w:bookmarkEnd w:id="343"/>
      <w:bookmarkEnd w:id="344"/>
    </w:p>
    <w:p w14:paraId="1C6BBEE4">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45" w:name="_Toc11389"/>
      <w:bookmarkStart w:id="346" w:name="_Toc10850"/>
      <w:bookmarkStart w:id="347" w:name="_Toc32365"/>
      <w:bookmarkStart w:id="348" w:name="_Toc6278"/>
      <w:bookmarkStart w:id="349" w:name="_Toc273"/>
      <w:bookmarkStart w:id="350" w:name="_Toc28773"/>
      <w:bookmarkStart w:id="351" w:name="_Toc5136"/>
      <w:bookmarkStart w:id="352" w:name="_Toc15843"/>
      <w:bookmarkStart w:id="353" w:name="_Toc1722"/>
      <w:bookmarkStart w:id="354" w:name="_Toc1426"/>
      <w:r>
        <w:rPr>
          <w:rFonts w:hint="eastAsia" w:ascii="宋体" w:hAnsi="宋体" w:cs="宋体"/>
          <w:b/>
          <w:bCs/>
          <w:color w:val="auto"/>
          <w:kern w:val="2"/>
          <w:sz w:val="21"/>
          <w:szCs w:val="21"/>
          <w:highlight w:val="none"/>
          <w:lang w:val="zh-CN"/>
        </w:rPr>
        <w:t>2.3响应性审查标准</w:t>
      </w:r>
      <w:bookmarkEnd w:id="345"/>
      <w:bookmarkEnd w:id="346"/>
      <w:bookmarkEnd w:id="347"/>
      <w:bookmarkEnd w:id="348"/>
      <w:bookmarkEnd w:id="349"/>
      <w:bookmarkEnd w:id="350"/>
      <w:bookmarkEnd w:id="351"/>
      <w:bookmarkEnd w:id="352"/>
      <w:bookmarkEnd w:id="353"/>
      <w:bookmarkEnd w:id="354"/>
    </w:p>
    <w:p w14:paraId="4BD22E1D">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响应性标准：见评标办法前附表。</w:t>
      </w:r>
    </w:p>
    <w:p w14:paraId="7F4EAA06">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55" w:name="_Toc31641"/>
      <w:bookmarkStart w:id="356" w:name="_Toc10143"/>
      <w:bookmarkStart w:id="357" w:name="_Toc24486"/>
      <w:r>
        <w:rPr>
          <w:rFonts w:hint="eastAsia" w:ascii="宋体" w:hAnsi="宋体" w:cs="宋体"/>
          <w:b/>
          <w:bCs/>
          <w:color w:val="auto"/>
          <w:kern w:val="2"/>
          <w:sz w:val="21"/>
          <w:szCs w:val="21"/>
          <w:highlight w:val="none"/>
          <w:lang w:val="zh-CN"/>
        </w:rPr>
        <w:t>2.4投标人的最后得分</w:t>
      </w:r>
      <w:bookmarkEnd w:id="355"/>
      <w:bookmarkEnd w:id="356"/>
      <w:bookmarkEnd w:id="357"/>
    </w:p>
    <w:p w14:paraId="615440B8">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投标人的最后得分：见评标办法前附表。</w:t>
      </w:r>
    </w:p>
    <w:p w14:paraId="25C83C79">
      <w:pPr>
        <w:spacing w:before="163" w:after="163" w:line="360" w:lineRule="auto"/>
        <w:ind w:firstLine="0"/>
        <w:outlineLvl w:val="1"/>
        <w:rPr>
          <w:rFonts w:hint="eastAsia" w:ascii="宋体" w:hAnsi="宋体" w:cs="宋体"/>
          <w:b/>
          <w:color w:val="auto"/>
          <w:kern w:val="44"/>
          <w:sz w:val="21"/>
          <w:szCs w:val="21"/>
          <w:highlight w:val="none"/>
        </w:rPr>
      </w:pPr>
      <w:bookmarkStart w:id="358" w:name="_Toc27909"/>
      <w:bookmarkStart w:id="359" w:name="_Toc18958"/>
      <w:bookmarkStart w:id="360" w:name="_Toc4091"/>
      <w:bookmarkStart w:id="361" w:name="_Toc27085"/>
      <w:bookmarkStart w:id="362" w:name="_Toc478020015"/>
      <w:bookmarkStart w:id="363" w:name="_Toc23969"/>
      <w:bookmarkStart w:id="364" w:name="_Toc460246771"/>
      <w:bookmarkStart w:id="365" w:name="_Toc28074"/>
      <w:bookmarkStart w:id="366" w:name="_Toc12246"/>
      <w:bookmarkStart w:id="367" w:name="_Toc421834182"/>
      <w:bookmarkStart w:id="368" w:name="_Toc30990_WPSOffice_Level2"/>
      <w:r>
        <w:rPr>
          <w:rFonts w:hint="eastAsia" w:ascii="宋体" w:hAnsi="宋体" w:cs="宋体"/>
          <w:b/>
          <w:color w:val="auto"/>
          <w:kern w:val="44"/>
          <w:sz w:val="21"/>
          <w:szCs w:val="21"/>
          <w:highlight w:val="none"/>
        </w:rPr>
        <w:t>3.审查程序</w:t>
      </w:r>
      <w:bookmarkEnd w:id="358"/>
      <w:bookmarkEnd w:id="359"/>
      <w:bookmarkEnd w:id="360"/>
      <w:bookmarkEnd w:id="361"/>
      <w:bookmarkEnd w:id="362"/>
      <w:bookmarkEnd w:id="363"/>
      <w:bookmarkEnd w:id="364"/>
      <w:bookmarkEnd w:id="365"/>
      <w:bookmarkEnd w:id="366"/>
      <w:bookmarkEnd w:id="367"/>
      <w:bookmarkEnd w:id="368"/>
    </w:p>
    <w:p w14:paraId="57B89C26">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69" w:name="_Toc421834183"/>
      <w:bookmarkStart w:id="370" w:name="_Toc4330"/>
      <w:bookmarkStart w:id="371" w:name="_Toc489633715"/>
      <w:bookmarkStart w:id="372" w:name="_Toc28152"/>
      <w:bookmarkStart w:id="373" w:name="_Toc28123"/>
      <w:bookmarkStart w:id="374" w:name="_Toc27081"/>
      <w:bookmarkStart w:id="375" w:name="_Toc2648"/>
      <w:bookmarkStart w:id="376" w:name="_Toc7355"/>
      <w:bookmarkStart w:id="377" w:name="_Toc25874"/>
      <w:bookmarkStart w:id="378" w:name="_Toc6287"/>
      <w:bookmarkStart w:id="379" w:name="_Toc7105"/>
      <w:bookmarkStart w:id="380" w:name="_Toc23652"/>
      <w:bookmarkStart w:id="381" w:name="_Toc478020016"/>
      <w:bookmarkStart w:id="382" w:name="_Toc460246772"/>
      <w:bookmarkStart w:id="383" w:name="_Toc22799"/>
      <w:bookmarkStart w:id="384" w:name="_Toc5068"/>
      <w:bookmarkStart w:id="385" w:name="_Toc7281"/>
      <w:r>
        <w:rPr>
          <w:rFonts w:hint="eastAsia" w:ascii="宋体" w:hAnsi="宋体" w:cs="宋体"/>
          <w:b/>
          <w:bCs/>
          <w:color w:val="auto"/>
          <w:kern w:val="2"/>
          <w:sz w:val="21"/>
          <w:szCs w:val="21"/>
          <w:highlight w:val="none"/>
          <w:lang w:val="zh-CN"/>
        </w:rPr>
        <w:t>3.1初步审查</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13D6EBFD">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3.1.1评标委员会依据本章资格审查办法前附表第2.1款规定的标准，对投标文件资格审查进行初步审查。有一项因素不符合审查标准的，不能通过</w:t>
      </w:r>
      <w:r>
        <w:rPr>
          <w:rFonts w:hint="eastAsia" w:ascii="宋体" w:hAnsi="宋体" w:cs="宋体"/>
          <w:color w:val="auto"/>
          <w:kern w:val="2"/>
          <w:sz w:val="21"/>
          <w:szCs w:val="21"/>
          <w:highlight w:val="none"/>
        </w:rPr>
        <w:t>初步</w:t>
      </w:r>
      <w:r>
        <w:rPr>
          <w:rFonts w:hint="eastAsia" w:ascii="宋体" w:hAnsi="宋体" w:cs="宋体"/>
          <w:color w:val="auto"/>
          <w:kern w:val="2"/>
          <w:sz w:val="21"/>
          <w:szCs w:val="21"/>
          <w:highlight w:val="none"/>
          <w:lang w:val="zh-CN"/>
        </w:rPr>
        <w:t>审查。</w:t>
      </w:r>
    </w:p>
    <w:p w14:paraId="4B69A7DE">
      <w:pPr>
        <w:widowControl w:val="0"/>
        <w:spacing w:line="360" w:lineRule="auto"/>
        <w:ind w:firstLine="422" w:firstLineChars="200"/>
        <w:jc w:val="both"/>
        <w:rPr>
          <w:rFonts w:hint="eastAsia" w:ascii="宋体" w:hAnsi="宋体" w:cs="宋体"/>
          <w:b/>
          <w:bCs/>
          <w:color w:val="auto"/>
          <w:kern w:val="2"/>
          <w:sz w:val="21"/>
          <w:szCs w:val="21"/>
          <w:highlight w:val="none"/>
          <w:lang w:val="zh-CN"/>
        </w:rPr>
      </w:pPr>
      <w:bookmarkStart w:id="386" w:name="_Toc16104"/>
      <w:bookmarkStart w:id="387" w:name="_Toc11488"/>
      <w:bookmarkStart w:id="388" w:name="_Toc489633716"/>
      <w:bookmarkStart w:id="389" w:name="_Toc28682"/>
      <w:bookmarkStart w:id="390" w:name="_Toc12103"/>
      <w:bookmarkStart w:id="391" w:name="_Toc17456"/>
      <w:bookmarkStart w:id="392" w:name="_Toc421834184"/>
      <w:bookmarkStart w:id="393" w:name="_Toc857"/>
      <w:bookmarkStart w:id="394" w:name="_Toc29595"/>
      <w:bookmarkStart w:id="395" w:name="_Toc478020017"/>
      <w:bookmarkStart w:id="396" w:name="_Toc460246773"/>
      <w:bookmarkStart w:id="397" w:name="_Toc26599"/>
      <w:bookmarkStart w:id="398" w:name="_Toc30587"/>
      <w:bookmarkStart w:id="399" w:name="_Toc14593"/>
      <w:bookmarkStart w:id="400" w:name="_Toc305"/>
      <w:bookmarkStart w:id="401" w:name="_Toc29209"/>
      <w:r>
        <w:rPr>
          <w:rFonts w:hint="eastAsia" w:ascii="宋体" w:hAnsi="宋体" w:cs="宋体"/>
          <w:b/>
          <w:bCs/>
          <w:color w:val="auto"/>
          <w:kern w:val="2"/>
          <w:sz w:val="21"/>
          <w:szCs w:val="21"/>
          <w:highlight w:val="none"/>
          <w:lang w:val="zh-CN"/>
        </w:rPr>
        <w:t>3.2符合性审查</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45B27CB7">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3.2.1评标委员会依据本章资格审查办法前附表第2.2款规定的标准，对通过初步审查的投标文件进行符合性审查。有一项因素不符合审查标准的，不能通过符合性审查。</w:t>
      </w:r>
    </w:p>
    <w:p w14:paraId="6E923679">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3.2.2通过符合性审查的投标人，除应满足本章资格审查办法前附表第2.1款、第2.2款、第2.3款规定的审查标准外，还不得存在下列任何一种情形：</w:t>
      </w:r>
    </w:p>
    <w:p w14:paraId="4D6693BD">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（1）不按评标委员会要求澄清或说明的；</w:t>
      </w:r>
    </w:p>
    <w:p w14:paraId="118A008A">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（2）有第二章“投标人须知”第1.4.3项规定情形的；</w:t>
      </w:r>
    </w:p>
    <w:p w14:paraId="11F6587E">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（3）在资格审查过程中弄虚作假、行贿或有其他违法违规行为的。</w:t>
      </w:r>
    </w:p>
    <w:p w14:paraId="235F11EC">
      <w:pPr>
        <w:widowControl w:val="0"/>
        <w:spacing w:line="360" w:lineRule="auto"/>
        <w:ind w:firstLine="420" w:firstLineChars="200"/>
        <w:jc w:val="both"/>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对未通过初步评审、符合性评审、响应性评审的投标人，评标委员会应通过相关的决议或在评标报告中说明情况。经评标委员会评审，有效投标文件不足3家使得投标明显缺乏竞争的，评标委员会可以否决全部投标。所有投标被否决后，招标人应当依法重新招标。当有效投标文件不足3家，而评标委员会认为仍能满足招标文件要求，并具有竞争性的，将按下述方法推荐中标候选人：（1）若有两家单位的，则仍然按上述评标办法推荐；（2）若只有一家单位，则由评标委员会对该单位投标文件做出综合评议推荐。</w:t>
      </w:r>
    </w:p>
    <w:p w14:paraId="24094810">
      <w:pPr>
        <w:spacing w:before="163" w:after="163" w:line="360" w:lineRule="auto"/>
        <w:ind w:firstLine="0"/>
        <w:jc w:val="left"/>
        <w:outlineLvl w:val="1"/>
        <w:rPr>
          <w:rFonts w:hint="eastAsia" w:ascii="宋体" w:hAnsi="宋体" w:cs="宋体"/>
          <w:b/>
          <w:bCs/>
          <w:color w:val="auto"/>
          <w:sz w:val="21"/>
          <w:szCs w:val="21"/>
          <w:highlight w:val="none"/>
        </w:rPr>
      </w:pPr>
      <w:bookmarkStart w:id="402" w:name="_Toc412"/>
      <w:bookmarkStart w:id="403" w:name="_Toc18815"/>
      <w:bookmarkStart w:id="404" w:name="_Toc13320"/>
      <w:bookmarkStart w:id="405" w:name="_Toc9671"/>
      <w:bookmarkStart w:id="406" w:name="_Toc7818"/>
      <w:bookmarkStart w:id="407" w:name="_Toc1498"/>
      <w:bookmarkStart w:id="408" w:name="_Toc11848"/>
      <w:r>
        <w:rPr>
          <w:rFonts w:hint="eastAsia" w:ascii="宋体" w:hAnsi="宋体" w:cs="宋体"/>
          <w:b/>
          <w:bCs/>
          <w:color w:val="auto"/>
          <w:sz w:val="21"/>
          <w:szCs w:val="21"/>
          <w:highlight w:val="none"/>
        </w:rPr>
        <w:t>4.详细</w:t>
      </w:r>
      <w:r>
        <w:rPr>
          <w:rFonts w:hint="eastAsia" w:ascii="宋体" w:hAnsi="宋体" w:cs="宋体"/>
          <w:b/>
          <w:bCs w:val="0"/>
          <w:color w:val="auto"/>
          <w:kern w:val="44"/>
          <w:sz w:val="21"/>
          <w:szCs w:val="21"/>
          <w:highlight w:val="none"/>
        </w:rPr>
        <w:t>评审</w:t>
      </w:r>
      <w:r>
        <w:rPr>
          <w:rFonts w:hint="eastAsia" w:ascii="宋体" w:hAnsi="宋体" w:cs="宋体"/>
          <w:b/>
          <w:bCs/>
          <w:color w:val="auto"/>
          <w:sz w:val="21"/>
          <w:szCs w:val="21"/>
          <w:highlight w:val="none"/>
        </w:rPr>
        <w:t>标准</w:t>
      </w:r>
      <w:bookmarkEnd w:id="299"/>
      <w:bookmarkEnd w:id="402"/>
      <w:bookmarkEnd w:id="403"/>
      <w:bookmarkEnd w:id="404"/>
      <w:bookmarkEnd w:id="405"/>
      <w:bookmarkEnd w:id="406"/>
      <w:bookmarkEnd w:id="407"/>
      <w:bookmarkEnd w:id="408"/>
    </w:p>
    <w:p w14:paraId="4D3EDA81">
      <w:pPr>
        <w:widowControl w:val="0"/>
        <w:spacing w:line="360" w:lineRule="auto"/>
        <w:ind w:firstLine="422" w:firstLineChars="200"/>
        <w:outlineLvl w:val="1"/>
        <w:rPr>
          <w:rFonts w:hint="eastAsia" w:ascii="宋体" w:hAnsi="宋体" w:cs="宋体"/>
          <w:b/>
          <w:bCs/>
          <w:color w:val="auto"/>
          <w:kern w:val="2"/>
          <w:sz w:val="21"/>
          <w:szCs w:val="21"/>
          <w:highlight w:val="none"/>
        </w:rPr>
      </w:pPr>
      <w:bookmarkStart w:id="409" w:name="_Toc460317737"/>
      <w:bookmarkStart w:id="410" w:name="_Toc460413572"/>
      <w:bookmarkStart w:id="411" w:name="_Toc3911"/>
      <w:bookmarkStart w:id="412" w:name="_Toc15381"/>
      <w:bookmarkStart w:id="413" w:name="_Toc10281"/>
      <w:bookmarkStart w:id="414" w:name="_Toc10514_WPSOffice_Level2"/>
      <w:bookmarkStart w:id="415" w:name="_Toc9825"/>
      <w:bookmarkStart w:id="416" w:name="_Toc18975"/>
      <w:bookmarkStart w:id="417" w:name="_Toc487632299"/>
      <w:bookmarkStart w:id="418" w:name="_Toc7173"/>
      <w:bookmarkStart w:id="419" w:name="_Toc26036"/>
      <w:bookmarkStart w:id="420" w:name="_Toc2760"/>
      <w:r>
        <w:rPr>
          <w:rFonts w:hint="eastAsia" w:ascii="宋体" w:hAnsi="宋体" w:cs="宋体"/>
          <w:b/>
          <w:bCs/>
          <w:color w:val="auto"/>
          <w:kern w:val="2"/>
          <w:sz w:val="21"/>
          <w:szCs w:val="21"/>
          <w:highlight w:val="none"/>
        </w:rPr>
        <w:t>4.1</w:t>
      </w:r>
      <w:bookmarkEnd w:id="409"/>
      <w:bookmarkEnd w:id="410"/>
      <w:r>
        <w:rPr>
          <w:rFonts w:hint="eastAsia" w:ascii="宋体" w:hAnsi="宋体" w:cs="宋体"/>
          <w:b/>
          <w:bCs/>
          <w:color w:val="auto"/>
          <w:kern w:val="2"/>
          <w:sz w:val="21"/>
          <w:szCs w:val="21"/>
          <w:highlight w:val="none"/>
        </w:rPr>
        <w:t>分值构成评审方法</w:t>
      </w:r>
      <w:bookmarkEnd w:id="411"/>
      <w:bookmarkEnd w:id="412"/>
      <w:bookmarkEnd w:id="413"/>
      <w:bookmarkEnd w:id="414"/>
      <w:bookmarkEnd w:id="415"/>
      <w:bookmarkEnd w:id="416"/>
      <w:bookmarkEnd w:id="417"/>
      <w:bookmarkEnd w:id="418"/>
      <w:bookmarkEnd w:id="419"/>
      <w:bookmarkEnd w:id="420"/>
    </w:p>
    <w:p w14:paraId="352BF44D">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本项目评标采用综合评估法进行评标。评标委员会对满足招标文件实质性要求的投标文件，按照招标文件的评分标准进行打分，并按得分由高到低顺序推荐中标候选人。若得分相同，按</w:t>
      </w:r>
      <w:r>
        <w:rPr>
          <w:rFonts w:hint="eastAsia" w:ascii="宋体" w:hAnsi="宋体" w:cs="宋体"/>
          <w:color w:val="auto"/>
          <w:kern w:val="2"/>
          <w:sz w:val="21"/>
          <w:szCs w:val="21"/>
          <w:highlight w:val="none"/>
          <w:lang w:val="en-US" w:eastAsia="zh-CN"/>
        </w:rPr>
        <w:t>投标报价部分</w:t>
      </w:r>
      <w:r>
        <w:rPr>
          <w:rFonts w:hint="eastAsia" w:ascii="宋体" w:hAnsi="宋体" w:cs="宋体"/>
          <w:color w:val="auto"/>
          <w:kern w:val="2"/>
          <w:sz w:val="21"/>
          <w:szCs w:val="21"/>
          <w:highlight w:val="none"/>
          <w:lang w:val="zh-CN"/>
        </w:rPr>
        <w:t>得分高低顺序排序，若还相同，</w:t>
      </w:r>
      <w:r>
        <w:rPr>
          <w:rFonts w:hint="eastAsia" w:ascii="宋体" w:hAnsi="宋体" w:cs="宋体"/>
          <w:color w:val="auto"/>
          <w:kern w:val="2"/>
          <w:sz w:val="21"/>
          <w:szCs w:val="21"/>
          <w:highlight w:val="none"/>
        </w:rPr>
        <w:t>由评标委员会不记名投票</w:t>
      </w:r>
      <w:r>
        <w:rPr>
          <w:rFonts w:hint="eastAsia" w:ascii="宋体" w:hAnsi="宋体" w:cs="宋体"/>
          <w:color w:val="auto"/>
          <w:kern w:val="2"/>
          <w:sz w:val="21"/>
          <w:szCs w:val="21"/>
          <w:highlight w:val="none"/>
          <w:lang w:val="zh-CN"/>
        </w:rPr>
        <w:t>排序。</w:t>
      </w:r>
    </w:p>
    <w:p w14:paraId="60CACCED">
      <w:pPr>
        <w:widowControl w:val="0"/>
        <w:spacing w:line="360" w:lineRule="auto"/>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按照</w:t>
      </w:r>
      <w:r>
        <w:rPr>
          <w:rFonts w:hint="eastAsia" w:ascii="宋体" w:hAnsi="宋体" w:cs="宋体"/>
          <w:color w:val="auto"/>
          <w:kern w:val="2"/>
          <w:sz w:val="21"/>
          <w:szCs w:val="21"/>
          <w:highlight w:val="none"/>
          <w:lang w:val="en-US" w:eastAsia="zh-CN"/>
        </w:rPr>
        <w:t>评分标准</w:t>
      </w:r>
      <w:r>
        <w:rPr>
          <w:rFonts w:hint="eastAsia" w:ascii="宋体" w:hAnsi="宋体" w:cs="宋体"/>
          <w:color w:val="auto"/>
          <w:kern w:val="2"/>
          <w:sz w:val="21"/>
          <w:szCs w:val="21"/>
          <w:highlight w:val="none"/>
          <w:lang w:val="zh-CN"/>
        </w:rPr>
        <w:t>计算投标最终得分，评分分值计算保留小数点后两位，小数点后第三位“四舍五入”。</w:t>
      </w:r>
      <w:bookmarkStart w:id="421" w:name="_Toc18158"/>
      <w:bookmarkStart w:id="422" w:name="_Toc2770"/>
      <w:bookmarkStart w:id="423" w:name="_Toc23184"/>
    </w:p>
    <w:p w14:paraId="22933B9A">
      <w:pPr>
        <w:widowControl w:val="0"/>
        <w:spacing w:line="360" w:lineRule="auto"/>
        <w:ind w:firstLine="422" w:firstLineChars="200"/>
        <w:jc w:val="both"/>
        <w:rPr>
          <w:rFonts w:hint="eastAsia" w:ascii="宋体" w:hAnsi="宋体" w:cs="宋体"/>
          <w:b/>
          <w:bCs/>
          <w:color w:val="auto"/>
          <w:kern w:val="2"/>
          <w:sz w:val="21"/>
          <w:szCs w:val="21"/>
          <w:highlight w:val="none"/>
        </w:rPr>
      </w:pPr>
    </w:p>
    <w:p w14:paraId="6BB35E9C">
      <w:pPr>
        <w:widowControl w:val="0"/>
        <w:spacing w:line="360" w:lineRule="auto"/>
        <w:ind w:firstLine="422" w:firstLineChars="200"/>
        <w:jc w:val="both"/>
        <w:rPr>
          <w:rFonts w:hint="eastAsia" w:ascii="宋体" w:hAnsi="宋体" w:cs="宋体"/>
          <w:b/>
          <w:bCs/>
          <w:color w:val="auto"/>
          <w:kern w:val="2"/>
          <w:sz w:val="21"/>
          <w:szCs w:val="21"/>
          <w:highlight w:val="none"/>
        </w:rPr>
      </w:pPr>
    </w:p>
    <w:p w14:paraId="200D7BEE">
      <w:pPr>
        <w:widowControl w:val="0"/>
        <w:spacing w:line="360" w:lineRule="auto"/>
        <w:ind w:firstLine="422" w:firstLineChars="200"/>
        <w:jc w:val="both"/>
        <w:rPr>
          <w:rFonts w:hint="eastAsia" w:ascii="宋体" w:hAnsi="宋体" w:cs="宋体"/>
          <w:b/>
          <w:bCs/>
          <w:color w:val="auto"/>
          <w:kern w:val="2"/>
          <w:sz w:val="21"/>
          <w:szCs w:val="21"/>
          <w:highlight w:val="none"/>
        </w:rPr>
      </w:pPr>
    </w:p>
    <w:p w14:paraId="2B7618BA">
      <w:pPr>
        <w:widowControl w:val="0"/>
        <w:spacing w:line="360" w:lineRule="auto"/>
        <w:ind w:firstLine="422" w:firstLineChars="200"/>
        <w:jc w:val="both"/>
        <w:rPr>
          <w:rFonts w:hint="eastAsia" w:ascii="宋体" w:hAnsi="宋体" w:cs="宋体"/>
          <w:b/>
          <w:bCs/>
          <w:color w:val="auto"/>
          <w:kern w:val="2"/>
          <w:sz w:val="21"/>
          <w:szCs w:val="21"/>
          <w:highlight w:val="none"/>
        </w:rPr>
      </w:pPr>
    </w:p>
    <w:p w14:paraId="11ACC69B">
      <w:pPr>
        <w:widowControl w:val="0"/>
        <w:spacing w:line="360" w:lineRule="auto"/>
        <w:ind w:firstLine="422" w:firstLineChars="200"/>
        <w:jc w:val="both"/>
        <w:rPr>
          <w:rFonts w:hint="eastAsia" w:ascii="宋体" w:hAnsi="宋体" w:cs="宋体"/>
          <w:b/>
          <w:bCs/>
          <w:color w:val="auto"/>
          <w:kern w:val="2"/>
          <w:sz w:val="21"/>
          <w:szCs w:val="21"/>
          <w:highlight w:val="none"/>
        </w:rPr>
      </w:pPr>
    </w:p>
    <w:p w14:paraId="35565C04">
      <w:pPr>
        <w:widowControl w:val="0"/>
        <w:spacing w:line="360" w:lineRule="auto"/>
        <w:ind w:firstLine="422" w:firstLineChars="200"/>
        <w:jc w:val="both"/>
        <w:rPr>
          <w:rFonts w:hint="eastAsia" w:ascii="宋体" w:hAnsi="宋体" w:cs="宋体"/>
          <w:b/>
          <w:bCs/>
          <w:color w:val="auto"/>
          <w:kern w:val="2"/>
          <w:sz w:val="21"/>
          <w:szCs w:val="21"/>
          <w:highlight w:val="none"/>
        </w:rPr>
      </w:pPr>
    </w:p>
    <w:p w14:paraId="0DBF9B7C">
      <w:pPr>
        <w:widowControl w:val="0"/>
        <w:spacing w:line="360" w:lineRule="auto"/>
        <w:ind w:firstLine="422" w:firstLineChars="200"/>
        <w:jc w:val="both"/>
        <w:rPr>
          <w:rFonts w:hint="eastAsia" w:ascii="宋体" w:hAnsi="宋体" w:cs="宋体"/>
          <w:b/>
          <w:bCs/>
          <w:color w:val="auto"/>
          <w:kern w:val="2"/>
          <w:sz w:val="21"/>
          <w:szCs w:val="21"/>
          <w:highlight w:val="none"/>
        </w:rPr>
      </w:pPr>
    </w:p>
    <w:p w14:paraId="1862F531">
      <w:pPr>
        <w:widowControl w:val="0"/>
        <w:spacing w:line="360" w:lineRule="auto"/>
        <w:ind w:firstLine="422" w:firstLineChars="200"/>
        <w:jc w:val="both"/>
        <w:rPr>
          <w:rFonts w:hint="eastAsia" w:ascii="宋体" w:hAnsi="宋体" w:cs="宋体"/>
          <w:b/>
          <w:bCs/>
          <w:color w:val="auto"/>
          <w:kern w:val="2"/>
          <w:sz w:val="21"/>
          <w:szCs w:val="21"/>
          <w:highlight w:val="none"/>
        </w:rPr>
      </w:pPr>
    </w:p>
    <w:p w14:paraId="684955B0">
      <w:pPr>
        <w:widowControl w:val="0"/>
        <w:spacing w:line="360" w:lineRule="auto"/>
        <w:ind w:firstLine="422" w:firstLineChars="200"/>
        <w:jc w:val="both"/>
        <w:rPr>
          <w:rFonts w:hint="eastAsia"/>
          <w:color w:val="auto"/>
          <w:highlight w:val="none"/>
          <w:lang w:val="zh-CN"/>
        </w:rPr>
      </w:pPr>
      <w:r>
        <w:rPr>
          <w:rFonts w:hint="eastAsia" w:ascii="宋体" w:hAnsi="宋体" w:cs="宋体"/>
          <w:b/>
          <w:bCs/>
          <w:color w:val="auto"/>
          <w:kern w:val="2"/>
          <w:sz w:val="21"/>
          <w:szCs w:val="21"/>
          <w:highlight w:val="none"/>
        </w:rPr>
        <w:t>4.2评分指标及标准</w:t>
      </w:r>
    </w:p>
    <w:tbl>
      <w:tblPr>
        <w:tblStyle w:val="52"/>
        <w:tblpPr w:leftFromText="180" w:rightFromText="180" w:vertAnchor="text" w:horzAnchor="page" w:tblpX="1406" w:tblpY="405"/>
        <w:tblOverlap w:val="never"/>
        <w:tblW w:w="93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97"/>
        <w:gridCol w:w="1310"/>
        <w:gridCol w:w="602"/>
        <w:gridCol w:w="6690"/>
      </w:tblGrid>
      <w:tr w14:paraId="0284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3" w:hRule="atLeast"/>
        </w:trPr>
        <w:tc>
          <w:tcPr>
            <w:tcW w:w="79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14BC99">
            <w:pPr>
              <w:ind w:firstLine="0"/>
              <w:jc w:val="center"/>
              <w:textAlignment w:val="center"/>
              <w:rPr>
                <w:rFonts w:hint="eastAsia" w:ascii="宋体" w:hAnsi="宋体" w:cs="宋体"/>
                <w:color w:val="auto"/>
                <w:sz w:val="21"/>
                <w:szCs w:val="21"/>
                <w:highlight w:val="none"/>
              </w:rPr>
            </w:pPr>
            <w:bookmarkStart w:id="424" w:name="_Toc18178"/>
            <w:bookmarkStart w:id="425" w:name="_Toc6609"/>
            <w:bookmarkStart w:id="426" w:name="_Toc11074"/>
            <w:bookmarkStart w:id="427" w:name="_Toc15099"/>
            <w:bookmarkStart w:id="428" w:name="_Toc12013"/>
            <w:bookmarkStart w:id="429" w:name="_Toc21616"/>
            <w:bookmarkStart w:id="430" w:name="_Toc5795"/>
            <w:r>
              <w:rPr>
                <w:rFonts w:hint="eastAsia" w:ascii="宋体" w:hAnsi="宋体" w:cs="宋体"/>
                <w:color w:val="auto"/>
                <w:sz w:val="21"/>
                <w:szCs w:val="21"/>
                <w:highlight w:val="none"/>
                <w:lang w:bidi="ar"/>
              </w:rPr>
              <w:t>项目</w:t>
            </w:r>
          </w:p>
        </w:tc>
        <w:tc>
          <w:tcPr>
            <w:tcW w:w="13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4BCAE6">
            <w:pPr>
              <w:ind w:firstLine="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评审内容</w:t>
            </w:r>
          </w:p>
        </w:tc>
        <w:tc>
          <w:tcPr>
            <w:tcW w:w="7292" w:type="dxa"/>
            <w:gridSpan w:val="2"/>
            <w:tcBorders>
              <w:top w:val="single" w:color="000000" w:sz="4" w:space="0"/>
              <w:left w:val="single" w:color="000000" w:sz="4" w:space="0"/>
              <w:bottom w:val="nil"/>
              <w:right w:val="single" w:color="000000" w:sz="4" w:space="0"/>
            </w:tcBorders>
            <w:tcMar>
              <w:top w:w="15" w:type="dxa"/>
              <w:left w:w="15" w:type="dxa"/>
              <w:right w:w="15" w:type="dxa"/>
            </w:tcMar>
            <w:vAlign w:val="center"/>
          </w:tcPr>
          <w:p w14:paraId="4829D6FE">
            <w:pPr>
              <w:ind w:firstLine="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评分标准</w:t>
            </w:r>
          </w:p>
        </w:tc>
      </w:tr>
      <w:tr w14:paraId="6897B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3" w:hRule="atLeast"/>
        </w:trPr>
        <w:tc>
          <w:tcPr>
            <w:tcW w:w="797"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7873C6BE">
            <w:pPr>
              <w:spacing w:line="360" w:lineRule="auto"/>
              <w:ind w:firstLine="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评标基准价计算方法</w:t>
            </w:r>
          </w:p>
        </w:tc>
        <w:tc>
          <w:tcPr>
            <w:tcW w:w="1310"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14:paraId="3CE657A3">
            <w:pPr>
              <w:spacing w:line="360" w:lineRule="auto"/>
              <w:ind w:firstLine="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评标基准价计算方法</w:t>
            </w:r>
          </w:p>
        </w:tc>
        <w:tc>
          <w:tcPr>
            <w:tcW w:w="72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ED5DF2">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评标基准价的计算：</w:t>
            </w:r>
          </w:p>
          <w:p w14:paraId="515C4B20">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（1）评标价的确定：</w:t>
            </w:r>
          </w:p>
          <w:p w14:paraId="2484DF60">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评标价=投标函报价</w:t>
            </w:r>
          </w:p>
          <w:p w14:paraId="78E4DEE0">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（2）评标基准价</w:t>
            </w:r>
            <w:r>
              <w:rPr>
                <w:rFonts w:hint="eastAsia" w:ascii="宋体" w:hAnsi="宋体" w:cs="宋体"/>
                <w:color w:val="auto"/>
                <w:sz w:val="21"/>
                <w:szCs w:val="21"/>
                <w:highlight w:val="none"/>
                <w:lang w:bidi="ar"/>
              </w:rPr>
              <w:t>P值</w:t>
            </w:r>
            <w:r>
              <w:rPr>
                <w:rFonts w:hint="eastAsia" w:ascii="宋体" w:hAnsi="宋体" w:cs="宋体"/>
                <w:color w:val="auto"/>
                <w:sz w:val="21"/>
                <w:szCs w:val="21"/>
                <w:highlight w:val="none"/>
                <w:lang w:val="zh-CN" w:bidi="ar"/>
              </w:rPr>
              <w:t>的确定</w:t>
            </w:r>
          </w:p>
          <w:p w14:paraId="3E7B18F5">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公式一：（适用于当有效投标报价个数n在n≥</w:t>
            </w: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zh-CN" w:bidi="ar"/>
              </w:rPr>
              <w:t>范围时）</w:t>
            </w:r>
          </w:p>
          <w:p w14:paraId="536620A4">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P=(t1＋t2＋…tn-2)÷(n-2)</w:t>
            </w:r>
          </w:p>
          <w:p w14:paraId="5445B821">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其中：t1、t2、…、tn-2指去掉一个最高值和一个最低值后的投标报价；</w:t>
            </w:r>
          </w:p>
          <w:p w14:paraId="79FE80BC">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公式</w:t>
            </w:r>
            <w:r>
              <w:rPr>
                <w:rFonts w:hint="eastAsia" w:ascii="宋体" w:hAnsi="宋体" w:cs="宋体"/>
                <w:color w:val="auto"/>
                <w:sz w:val="21"/>
                <w:szCs w:val="21"/>
                <w:highlight w:val="none"/>
                <w:lang w:bidi="ar"/>
              </w:rPr>
              <w:t>二</w:t>
            </w:r>
            <w:r>
              <w:rPr>
                <w:rFonts w:hint="eastAsia" w:ascii="宋体" w:hAnsi="宋体" w:cs="宋体"/>
                <w:color w:val="auto"/>
                <w:sz w:val="21"/>
                <w:szCs w:val="21"/>
                <w:highlight w:val="none"/>
                <w:lang w:val="zh-CN" w:bidi="ar"/>
              </w:rPr>
              <w:t>：（适用于当有效投标报价个数n在n</w:t>
            </w:r>
            <w:r>
              <w:rPr>
                <w:rFonts w:hint="eastAsia" w:ascii="宋体" w:hAnsi="宋体" w:cs="宋体"/>
                <w:color w:val="auto"/>
                <w:sz w:val="21"/>
                <w:szCs w:val="21"/>
                <w:highlight w:val="none"/>
                <w:lang w:val="en-US" w:eastAsia="zh-CN" w:bidi="ar"/>
              </w:rPr>
              <w:t>＜</w:t>
            </w: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zh-CN" w:bidi="ar"/>
              </w:rPr>
              <w:t>范围时）</w:t>
            </w:r>
          </w:p>
          <w:p w14:paraId="06DA3038">
            <w:pPr>
              <w:spacing w:line="360" w:lineRule="auto"/>
              <w:ind w:firstLine="0"/>
              <w:contextualSpacing/>
              <w:textAlignment w:val="center"/>
              <w:rPr>
                <w:rFonts w:hint="eastAsia" w:ascii="宋体" w:hAnsi="宋体" w:cs="宋体"/>
                <w:color w:val="auto"/>
                <w:sz w:val="21"/>
                <w:szCs w:val="21"/>
                <w:highlight w:val="none"/>
                <w:lang w:val="zh-CN" w:bidi="ar"/>
              </w:rPr>
            </w:pPr>
            <w:r>
              <w:rPr>
                <w:rFonts w:hint="eastAsia" w:ascii="宋体" w:hAnsi="宋体" w:cs="宋体"/>
                <w:color w:val="auto"/>
                <w:sz w:val="21"/>
                <w:szCs w:val="21"/>
                <w:highlight w:val="none"/>
                <w:lang w:val="zh-CN" w:bidi="ar"/>
              </w:rPr>
              <w:t>P=(t1＋t2＋…tn)÷n</w:t>
            </w:r>
          </w:p>
          <w:p w14:paraId="64B55E91">
            <w:pPr>
              <w:spacing w:line="360" w:lineRule="auto"/>
              <w:ind w:firstLine="0"/>
              <w:contextualSpacing/>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zh-CN" w:bidi="ar"/>
              </w:rPr>
              <w:t>其中：t1、t2、…、tn指投标报价。</w:t>
            </w:r>
          </w:p>
        </w:tc>
      </w:tr>
      <w:tr w14:paraId="270B9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continue"/>
            <w:tcBorders>
              <w:left w:val="single" w:color="000000" w:sz="4" w:space="0"/>
              <w:bottom w:val="single" w:color="auto" w:sz="4" w:space="0"/>
              <w:right w:val="single" w:color="000000" w:sz="4" w:space="0"/>
            </w:tcBorders>
            <w:tcMar>
              <w:top w:w="15" w:type="dxa"/>
              <w:left w:w="15" w:type="dxa"/>
              <w:right w:w="15" w:type="dxa"/>
            </w:tcMar>
            <w:vAlign w:val="center"/>
          </w:tcPr>
          <w:p w14:paraId="1BC80398">
            <w:pPr>
              <w:spacing w:line="360" w:lineRule="auto"/>
              <w:ind w:firstLine="0"/>
              <w:jc w:val="center"/>
              <w:textAlignment w:val="center"/>
              <w:rPr>
                <w:rFonts w:hint="eastAsia" w:ascii="宋体" w:hAnsi="宋体" w:cs="宋体"/>
                <w:color w:val="auto"/>
                <w:sz w:val="21"/>
                <w:szCs w:val="21"/>
                <w:highlight w:val="none"/>
                <w:lang w:bidi="ar"/>
              </w:rPr>
            </w:pPr>
          </w:p>
        </w:tc>
        <w:tc>
          <w:tcPr>
            <w:tcW w:w="1310" w:type="dxa"/>
            <w:tcBorders>
              <w:top w:val="single" w:color="000000" w:sz="4" w:space="0"/>
              <w:left w:val="single" w:color="000000" w:sz="4" w:space="0"/>
              <w:bottom w:val="single" w:color="auto" w:sz="4" w:space="0"/>
              <w:right w:val="nil"/>
            </w:tcBorders>
            <w:tcMar>
              <w:top w:w="15" w:type="dxa"/>
              <w:left w:w="15" w:type="dxa"/>
              <w:right w:w="15" w:type="dxa"/>
            </w:tcMar>
            <w:vAlign w:val="center"/>
          </w:tcPr>
          <w:p w14:paraId="561C73A7">
            <w:pPr>
              <w:spacing w:line="360" w:lineRule="auto"/>
              <w:ind w:firstLine="0"/>
              <w:jc w:val="center"/>
              <w:textAlignment w:val="center"/>
              <w:rPr>
                <w:rFonts w:hint="eastAsia" w:ascii="宋体" w:hAnsi="宋体" w:cs="宋体"/>
                <w:color w:val="auto"/>
                <w:sz w:val="21"/>
                <w:szCs w:val="21"/>
                <w:highlight w:val="none"/>
                <w:lang w:bidi="ar"/>
              </w:rPr>
            </w:pPr>
            <w:r>
              <w:rPr>
                <w:color w:val="auto"/>
                <w:sz w:val="21"/>
                <w:szCs w:val="21"/>
                <w:highlight w:val="none"/>
              </w:rPr>
              <w:t>评标价的偏差率计算公式</w:t>
            </w:r>
          </w:p>
        </w:tc>
        <w:tc>
          <w:tcPr>
            <w:tcW w:w="7292" w:type="dxa"/>
            <w:gridSpan w:val="2"/>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679CB942">
            <w:pPr>
              <w:spacing w:line="360" w:lineRule="auto"/>
              <w:ind w:firstLine="0"/>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偏差率=100%×</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bidi="ar"/>
              </w:rPr>
              <w:t>投标人的评标价-评标基准价）/评标基准价</w:t>
            </w:r>
          </w:p>
          <w:p w14:paraId="12A1EC54">
            <w:pPr>
              <w:spacing w:line="360" w:lineRule="auto"/>
              <w:ind w:firstLine="0"/>
              <w:textAlignment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百分号前保留2位小数</w:t>
            </w:r>
          </w:p>
        </w:tc>
      </w:tr>
      <w:tr w14:paraId="1336E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5" w:hRule="atLeast"/>
        </w:trPr>
        <w:tc>
          <w:tcPr>
            <w:tcW w:w="797" w:type="dxa"/>
            <w:tcBorders>
              <w:top w:val="single" w:color="auto" w:sz="4" w:space="0"/>
              <w:left w:val="single" w:color="000000" w:sz="4" w:space="0"/>
              <w:right w:val="single" w:color="000000" w:sz="4" w:space="0"/>
            </w:tcBorders>
            <w:tcMar>
              <w:top w:w="15" w:type="dxa"/>
              <w:left w:w="15" w:type="dxa"/>
              <w:right w:w="15" w:type="dxa"/>
            </w:tcMar>
            <w:vAlign w:val="center"/>
          </w:tcPr>
          <w:p w14:paraId="612CCEBF">
            <w:pPr>
              <w:spacing w:line="36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投标报价（10分）</w:t>
            </w: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76A25D3">
            <w:pPr>
              <w:spacing w:line="360" w:lineRule="auto"/>
              <w:ind w:firstLine="0" w:firstLineChars="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餐厨垃圾处理服务费报价</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1985D5D">
            <w:pPr>
              <w:spacing w:line="360" w:lineRule="auto"/>
              <w:ind w:firstLine="0" w:firstLineChars="0"/>
              <w:jc w:val="center"/>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611229">
            <w:pPr>
              <w:spacing w:line="360" w:lineRule="auto"/>
              <w:ind w:firstLine="0" w:firstLineChars="0"/>
              <w:textAlignment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投标人报价等于评标基准价时得满分</w:t>
            </w:r>
            <w:r>
              <w:rPr>
                <w:rFonts w:hint="eastAsia" w:ascii="宋体" w:hAnsi="宋体" w:cs="宋体"/>
                <w:color w:val="auto"/>
                <w:sz w:val="21"/>
                <w:szCs w:val="21"/>
                <w:highlight w:val="none"/>
                <w:lang w:val="en-US" w:eastAsia="zh-CN" w:bidi="ar"/>
              </w:rPr>
              <w:t>10</w:t>
            </w:r>
            <w:r>
              <w:rPr>
                <w:rFonts w:hint="eastAsia" w:ascii="宋体" w:hAnsi="宋体" w:cs="宋体"/>
                <w:color w:val="auto"/>
                <w:sz w:val="21"/>
                <w:szCs w:val="21"/>
                <w:highlight w:val="none"/>
                <w:lang w:bidi="ar"/>
              </w:rPr>
              <w:t>分；有效投标报价与评标基准价相比（偏差率）每上浮</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大于</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bidi="ar"/>
              </w:rPr>
              <w:t>1%扣0</w:t>
            </w:r>
            <w:r>
              <w:rPr>
                <w:rFonts w:hint="eastAsia" w:ascii="宋体" w:hAnsi="宋体" w:cs="宋体"/>
                <w:color w:val="auto"/>
                <w:sz w:val="21"/>
                <w:szCs w:val="21"/>
                <w:highlight w:val="none"/>
                <w:lang w:val="en-US" w:eastAsia="zh-CN" w:bidi="ar"/>
              </w:rPr>
              <w:t>.8</w:t>
            </w:r>
            <w:r>
              <w:rPr>
                <w:rFonts w:hint="eastAsia" w:ascii="宋体" w:hAnsi="宋体" w:cs="宋体"/>
                <w:color w:val="auto"/>
                <w:sz w:val="21"/>
                <w:szCs w:val="21"/>
                <w:highlight w:val="none"/>
                <w:lang w:bidi="ar"/>
              </w:rPr>
              <w:t>分，每下浮</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小于</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bidi="ar"/>
              </w:rPr>
              <w:t>1%扣</w:t>
            </w:r>
            <w:r>
              <w:rPr>
                <w:rFonts w:hint="eastAsia" w:ascii="宋体" w:hAnsi="宋体" w:cs="宋体"/>
                <w:color w:val="auto"/>
                <w:sz w:val="21"/>
                <w:szCs w:val="21"/>
                <w:highlight w:val="none"/>
                <w:lang w:val="en-US" w:eastAsia="zh-CN" w:bidi="ar"/>
              </w:rPr>
              <w:t>0.5</w:t>
            </w:r>
            <w:r>
              <w:rPr>
                <w:rFonts w:hint="eastAsia" w:ascii="宋体" w:hAnsi="宋体" w:cs="宋体"/>
                <w:color w:val="auto"/>
                <w:sz w:val="21"/>
                <w:szCs w:val="21"/>
                <w:highlight w:val="none"/>
                <w:lang w:bidi="ar"/>
              </w:rPr>
              <w:t>分，分值扣完为止（扣减分值的中间值用插入法，小数点后保留两位）。</w:t>
            </w:r>
          </w:p>
        </w:tc>
      </w:tr>
      <w:tr w14:paraId="150E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restart"/>
            <w:tcBorders>
              <w:top w:val="single" w:color="auto" w:sz="4" w:space="0"/>
              <w:left w:val="single" w:color="000000" w:sz="4" w:space="0"/>
              <w:right w:val="single" w:color="auto" w:sz="4" w:space="0"/>
            </w:tcBorders>
            <w:tcMar>
              <w:top w:w="15" w:type="dxa"/>
              <w:left w:w="15" w:type="dxa"/>
              <w:right w:w="15" w:type="dxa"/>
            </w:tcMar>
            <w:vAlign w:val="center"/>
          </w:tcPr>
          <w:p w14:paraId="00CFE52C">
            <w:pPr>
              <w:spacing w:line="360" w:lineRule="auto"/>
              <w:ind w:firstLine="0"/>
              <w:jc w:val="center"/>
              <w:textAlignment w:val="cente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技术部分（70分）</w:t>
            </w: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6B232FEE">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投融资方案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582EA7DC">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F416720">
            <w:pPr>
              <w:shd w:val="clear" w:color="auto" w:fill="auto"/>
              <w:adjustRightInd w:val="0"/>
              <w:snapToGrid w:val="0"/>
              <w:spacing w:line="360" w:lineRule="auto"/>
              <w:ind w:left="0" w:lef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针对本项目制定</w:t>
            </w:r>
            <w:r>
              <w:rPr>
                <w:rFonts w:hint="eastAsia" w:ascii="宋体" w:hAnsi="宋体" w:eastAsia="宋体" w:cs="宋体"/>
                <w:b w:val="0"/>
                <w:bCs w:val="0"/>
                <w:color w:val="auto"/>
                <w:kern w:val="2"/>
                <w:sz w:val="21"/>
                <w:szCs w:val="21"/>
                <w:highlight w:val="none"/>
                <w:lang w:val="en-US" w:eastAsia="zh-CN" w:bidi="ar-SA"/>
              </w:rPr>
              <w:t>详细完善的</w:t>
            </w:r>
            <w:r>
              <w:rPr>
                <w:rFonts w:hint="eastAsia" w:ascii="宋体" w:hAnsi="宋体" w:eastAsia="宋体" w:cs="宋体"/>
                <w:b w:val="0"/>
                <w:bCs w:val="0"/>
                <w:color w:val="auto"/>
                <w:kern w:val="2"/>
                <w:sz w:val="21"/>
                <w:szCs w:val="21"/>
                <w:highlight w:val="none"/>
                <w:lang w:val="en-US" w:eastAsia="zh-CN"/>
              </w:rPr>
              <w:t>方案</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sz w:val="21"/>
                <w:szCs w:val="21"/>
                <w:highlight w:val="none"/>
              </w:rPr>
              <w:t>方案包括但不限于下述要点</w:t>
            </w:r>
            <w:r>
              <w:rPr>
                <w:rFonts w:hint="eastAsia" w:ascii="宋体" w:hAnsi="宋体" w:eastAsia="宋体" w:cs="宋体"/>
                <w:b w:val="0"/>
                <w:bCs w:val="0"/>
                <w:color w:val="auto"/>
                <w:kern w:val="2"/>
                <w:sz w:val="21"/>
                <w:szCs w:val="21"/>
                <w:highlight w:val="none"/>
                <w:lang w:val="en-US" w:eastAsia="zh-CN" w:bidi="ar-SA"/>
              </w:rPr>
              <w:t>：（1）投融资能力、自有资金情况；（2）资金来源、融资资金筹措及保障措施等方面；（3）根据建设进度计划，制定建设资金到位时间、数额及使用计划等方面；（4）项目盈利能力、偿债能力、财务生存能力以及财务管理制度等方面。</w:t>
            </w:r>
          </w:p>
          <w:p w14:paraId="098BDA20">
            <w:pPr>
              <w:adjustRightInd w:val="0"/>
              <w:snapToGrid w:val="0"/>
              <w:spacing w:line="360" w:lineRule="auto"/>
              <w:ind w:left="0" w:leftChars="0" w:firstLine="0" w:firstLineChars="0"/>
              <w:jc w:val="both"/>
              <w:rPr>
                <w:rStyle w:val="371"/>
                <w:rFonts w:hint="eastAsia" w:ascii="宋体" w:hAnsi="宋体" w:eastAsia="宋体" w:cs="宋体"/>
                <w:b w:val="0"/>
                <w:bCs w:val="0"/>
                <w:color w:val="auto"/>
                <w:sz w:val="21"/>
                <w:szCs w:val="21"/>
                <w:highlight w:val="none"/>
                <w:lang w:eastAsia="zh-CN" w:bidi="ar"/>
              </w:rPr>
            </w:pPr>
            <w:r>
              <w:rPr>
                <w:rStyle w:val="371"/>
                <w:rFonts w:hint="eastAsia" w:ascii="宋体" w:hAnsi="宋体" w:eastAsia="宋体" w:cs="宋体"/>
                <w:b w:val="0"/>
                <w:bCs w:val="0"/>
                <w:color w:val="auto"/>
                <w:sz w:val="21"/>
                <w:szCs w:val="21"/>
                <w:highlight w:val="none"/>
                <w:lang w:val="en-US" w:eastAsia="zh-CN" w:bidi="ar"/>
              </w:rPr>
              <w:t>1</w:t>
            </w:r>
            <w:r>
              <w:rPr>
                <w:rStyle w:val="371"/>
                <w:rFonts w:hint="eastAsia" w:ascii="宋体" w:hAnsi="宋体" w:eastAsia="宋体" w:cs="宋体"/>
                <w:b w:val="0"/>
                <w:bCs w:val="0"/>
                <w:color w:val="auto"/>
                <w:sz w:val="21"/>
                <w:szCs w:val="21"/>
                <w:highlight w:val="none"/>
                <w:lang w:eastAsia="zh-CN" w:bidi="ar"/>
              </w:rPr>
              <w:t>）</w:t>
            </w:r>
            <w:r>
              <w:rPr>
                <w:rStyle w:val="371"/>
                <w:rFonts w:hint="eastAsia" w:ascii="宋体" w:hAnsi="宋体" w:eastAsia="宋体" w:cs="宋体"/>
                <w:b w:val="0"/>
                <w:bCs w:val="0"/>
                <w:color w:val="auto"/>
                <w:sz w:val="21"/>
                <w:szCs w:val="21"/>
                <w:highlight w:val="none"/>
                <w:lang w:bidi="ar"/>
              </w:rPr>
              <w:t>以上每项</w:t>
            </w:r>
            <w:r>
              <w:rPr>
                <w:rFonts w:hint="eastAsia" w:ascii="宋体" w:hAnsi="宋体" w:eastAsia="宋体" w:cs="宋体"/>
                <w:b w:val="0"/>
                <w:bCs w:val="0"/>
                <w:color w:val="auto"/>
                <w:sz w:val="21"/>
                <w:szCs w:val="21"/>
                <w:highlight w:val="none"/>
                <w:lang w:val="en-US" w:eastAsia="zh-CN"/>
              </w:rPr>
              <w:t>方案</w:t>
            </w:r>
            <w:r>
              <w:rPr>
                <w:rStyle w:val="371"/>
                <w:rFonts w:hint="eastAsia" w:ascii="宋体" w:hAnsi="宋体" w:eastAsia="宋体" w:cs="宋体"/>
                <w:b w:val="0"/>
                <w:bCs w:val="0"/>
                <w:color w:val="auto"/>
                <w:sz w:val="21"/>
                <w:szCs w:val="21"/>
                <w:highlight w:val="none"/>
                <w:lang w:bidi="ar"/>
              </w:rPr>
              <w:t>内容</w:t>
            </w:r>
            <w:r>
              <w:rPr>
                <w:rFonts w:hint="eastAsia" w:ascii="宋体" w:hAnsi="宋体" w:eastAsia="宋体" w:cs="宋体"/>
                <w:b w:val="0"/>
                <w:bCs w:val="0"/>
                <w:color w:val="auto"/>
                <w:sz w:val="21"/>
                <w:szCs w:val="21"/>
                <w:highlight w:val="none"/>
                <w:lang w:val="en-US" w:eastAsia="zh-CN"/>
              </w:rPr>
              <w:t>合理、</w:t>
            </w:r>
            <w:r>
              <w:rPr>
                <w:rStyle w:val="371"/>
                <w:rFonts w:hint="eastAsia" w:ascii="宋体" w:hAnsi="宋体" w:eastAsia="宋体" w:cs="宋体"/>
                <w:b w:val="0"/>
                <w:bCs w:val="0"/>
                <w:color w:val="auto"/>
                <w:sz w:val="21"/>
                <w:szCs w:val="21"/>
                <w:highlight w:val="none"/>
                <w:lang w:val="en-US" w:eastAsia="zh-CN" w:bidi="ar"/>
              </w:rPr>
              <w:t>无</w:t>
            </w:r>
            <w:r>
              <w:rPr>
                <w:rFonts w:hint="eastAsia" w:ascii="宋体" w:hAnsi="宋体" w:eastAsia="宋体" w:cs="宋体"/>
                <w:b w:val="0"/>
                <w:bCs w:val="0"/>
                <w:color w:val="auto"/>
                <w:sz w:val="21"/>
                <w:szCs w:val="21"/>
                <w:highlight w:val="none"/>
              </w:rPr>
              <w:t>缺陷</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有针对性</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符合项目需求</w:t>
            </w:r>
            <w:r>
              <w:rPr>
                <w:rStyle w:val="371"/>
                <w:rFonts w:hint="eastAsia" w:ascii="宋体" w:hAnsi="宋体" w:eastAsia="宋体" w:cs="宋体"/>
                <w:b w:val="0"/>
                <w:bCs w:val="0"/>
                <w:color w:val="auto"/>
                <w:sz w:val="21"/>
                <w:szCs w:val="21"/>
                <w:highlight w:val="none"/>
                <w:lang w:eastAsia="zh-CN" w:bidi="ar"/>
              </w:rPr>
              <w:t>得</w:t>
            </w:r>
            <w:r>
              <w:rPr>
                <w:rStyle w:val="371"/>
                <w:rFonts w:hint="eastAsia" w:ascii="宋体" w:hAnsi="宋体" w:eastAsia="宋体" w:cs="宋体"/>
                <w:b w:val="0"/>
                <w:bCs w:val="0"/>
                <w:color w:val="auto"/>
                <w:sz w:val="21"/>
                <w:szCs w:val="21"/>
                <w:highlight w:val="none"/>
                <w:lang w:val="en-US" w:eastAsia="zh-CN" w:bidi="ar"/>
              </w:rPr>
              <w:t>2.5分</w:t>
            </w:r>
            <w:r>
              <w:rPr>
                <w:rStyle w:val="371"/>
                <w:rFonts w:hint="eastAsia" w:ascii="宋体" w:hAnsi="宋体" w:eastAsia="宋体" w:cs="宋体"/>
                <w:b w:val="0"/>
                <w:bCs w:val="0"/>
                <w:color w:val="auto"/>
                <w:sz w:val="21"/>
                <w:szCs w:val="21"/>
                <w:highlight w:val="none"/>
                <w:lang w:eastAsia="zh-CN" w:bidi="ar"/>
              </w:rPr>
              <w:t>；</w:t>
            </w:r>
          </w:p>
          <w:p w14:paraId="03EEE98E">
            <w:pPr>
              <w:adjustRightInd w:val="0"/>
              <w:snapToGrid w:val="0"/>
              <w:spacing w:line="360" w:lineRule="auto"/>
              <w:ind w:left="0" w:leftChars="0" w:firstLine="0" w:firstLineChars="0"/>
              <w:jc w:val="both"/>
              <w:rPr>
                <w:rStyle w:val="371"/>
                <w:rFonts w:hint="eastAsia" w:ascii="宋体" w:hAnsi="宋体" w:eastAsia="宋体" w:cs="宋体"/>
                <w:b w:val="0"/>
                <w:bCs w:val="0"/>
                <w:color w:val="auto"/>
                <w:sz w:val="21"/>
                <w:szCs w:val="21"/>
                <w:highlight w:val="none"/>
                <w:lang w:bidi="ar"/>
              </w:rPr>
            </w:pPr>
            <w:r>
              <w:rPr>
                <w:rStyle w:val="371"/>
                <w:rFonts w:hint="eastAsia" w:ascii="宋体" w:hAnsi="宋体" w:eastAsia="宋体" w:cs="宋体"/>
                <w:b w:val="0"/>
                <w:bCs w:val="0"/>
                <w:color w:val="auto"/>
                <w:sz w:val="21"/>
                <w:szCs w:val="21"/>
                <w:highlight w:val="none"/>
                <w:lang w:val="en-US" w:eastAsia="zh-CN" w:bidi="ar"/>
              </w:rPr>
              <w:t>2</w:t>
            </w:r>
            <w:r>
              <w:rPr>
                <w:rStyle w:val="371"/>
                <w:rFonts w:hint="eastAsia" w:ascii="宋体" w:hAnsi="宋体" w:eastAsia="宋体" w:cs="宋体"/>
                <w:b w:val="0"/>
                <w:bCs w:val="0"/>
                <w:color w:val="auto"/>
                <w:sz w:val="21"/>
                <w:szCs w:val="21"/>
                <w:highlight w:val="none"/>
                <w:lang w:eastAsia="zh-CN" w:bidi="ar"/>
              </w:rPr>
              <w:t>）</w:t>
            </w:r>
            <w:r>
              <w:rPr>
                <w:rStyle w:val="371"/>
                <w:rFonts w:hint="eastAsia" w:ascii="宋体" w:hAnsi="宋体" w:eastAsia="宋体" w:cs="宋体"/>
                <w:b w:val="0"/>
                <w:bCs w:val="0"/>
                <w:color w:val="auto"/>
                <w:sz w:val="21"/>
                <w:szCs w:val="21"/>
                <w:highlight w:val="none"/>
                <w:lang w:bidi="ar"/>
              </w:rPr>
              <w:t>以上每项</w:t>
            </w:r>
            <w:r>
              <w:rPr>
                <w:rFonts w:hint="eastAsia" w:ascii="宋体" w:hAnsi="宋体" w:eastAsia="宋体" w:cs="宋体"/>
                <w:b w:val="0"/>
                <w:bCs w:val="0"/>
                <w:color w:val="auto"/>
                <w:sz w:val="21"/>
                <w:szCs w:val="21"/>
                <w:highlight w:val="none"/>
                <w:lang w:val="en-US" w:eastAsia="zh-CN"/>
              </w:rPr>
              <w:t>方案</w:t>
            </w:r>
            <w:r>
              <w:rPr>
                <w:rStyle w:val="371"/>
                <w:rFonts w:hint="eastAsia" w:ascii="宋体" w:hAnsi="宋体" w:eastAsia="宋体" w:cs="宋体"/>
                <w:b w:val="0"/>
                <w:bCs w:val="0"/>
                <w:color w:val="auto"/>
                <w:sz w:val="21"/>
                <w:szCs w:val="21"/>
                <w:highlight w:val="none"/>
                <w:lang w:bidi="ar"/>
              </w:rPr>
              <w:t>内容</w:t>
            </w:r>
            <w:r>
              <w:rPr>
                <w:rStyle w:val="371"/>
                <w:rFonts w:hint="eastAsia" w:ascii="宋体" w:hAnsi="宋体" w:eastAsia="宋体" w:cs="宋体"/>
                <w:b w:val="0"/>
                <w:bCs w:val="0"/>
                <w:color w:val="auto"/>
                <w:sz w:val="21"/>
                <w:szCs w:val="21"/>
                <w:highlight w:val="none"/>
                <w:lang w:val="en-US" w:eastAsia="zh-CN" w:bidi="ar"/>
              </w:rPr>
              <w:t>无</w:t>
            </w:r>
            <w:r>
              <w:rPr>
                <w:rFonts w:hint="eastAsia" w:ascii="宋体" w:hAnsi="宋体" w:eastAsia="宋体" w:cs="宋体"/>
                <w:b w:val="0"/>
                <w:bCs w:val="0"/>
                <w:color w:val="auto"/>
                <w:sz w:val="21"/>
                <w:szCs w:val="21"/>
                <w:highlight w:val="none"/>
              </w:rPr>
              <w:t>缺陷</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但</w:t>
            </w:r>
            <w:r>
              <w:rPr>
                <w:rStyle w:val="371"/>
                <w:rFonts w:hint="eastAsia" w:ascii="宋体" w:hAnsi="宋体" w:eastAsia="宋体" w:cs="宋体"/>
                <w:b w:val="0"/>
                <w:bCs w:val="0"/>
                <w:color w:val="auto"/>
                <w:sz w:val="21"/>
                <w:szCs w:val="21"/>
                <w:highlight w:val="none"/>
                <w:lang w:val="en-US" w:eastAsia="zh-CN" w:bidi="ar"/>
              </w:rPr>
              <w:t>缺乏针对性得1.5分；</w:t>
            </w:r>
          </w:p>
          <w:p w14:paraId="6BC40208">
            <w:pPr>
              <w:adjustRightInd w:val="0"/>
              <w:snapToGrid w:val="0"/>
              <w:spacing w:line="360" w:lineRule="auto"/>
              <w:ind w:left="0" w:leftChars="0" w:firstLine="0" w:firstLineChars="0"/>
              <w:jc w:val="both"/>
              <w:rPr>
                <w:rStyle w:val="371"/>
                <w:rFonts w:hint="eastAsia" w:ascii="宋体" w:hAnsi="宋体" w:eastAsia="宋体" w:cs="宋体"/>
                <w:b w:val="0"/>
                <w:bCs w:val="0"/>
                <w:color w:val="auto"/>
                <w:sz w:val="21"/>
                <w:szCs w:val="21"/>
                <w:highlight w:val="none"/>
                <w:lang w:val="en-US" w:eastAsia="zh-CN" w:bidi="ar"/>
              </w:rPr>
            </w:pPr>
            <w:r>
              <w:rPr>
                <w:rStyle w:val="371"/>
                <w:rFonts w:hint="eastAsia" w:ascii="宋体" w:hAnsi="宋体" w:eastAsia="宋体" w:cs="宋体"/>
                <w:b w:val="0"/>
                <w:bCs w:val="0"/>
                <w:color w:val="auto"/>
                <w:sz w:val="21"/>
                <w:szCs w:val="21"/>
                <w:highlight w:val="none"/>
                <w:lang w:val="en-US" w:eastAsia="zh-CN" w:bidi="ar"/>
              </w:rPr>
              <w:t>3</w:t>
            </w:r>
            <w:r>
              <w:rPr>
                <w:rStyle w:val="371"/>
                <w:rFonts w:hint="eastAsia" w:ascii="宋体" w:hAnsi="宋体" w:eastAsia="宋体" w:cs="宋体"/>
                <w:b w:val="0"/>
                <w:bCs w:val="0"/>
                <w:color w:val="auto"/>
                <w:sz w:val="21"/>
                <w:szCs w:val="21"/>
                <w:highlight w:val="none"/>
                <w:lang w:eastAsia="zh-CN" w:bidi="ar"/>
              </w:rPr>
              <w:t>）</w:t>
            </w:r>
            <w:r>
              <w:rPr>
                <w:rStyle w:val="371"/>
                <w:rFonts w:hint="eastAsia" w:ascii="宋体" w:hAnsi="宋体" w:eastAsia="宋体" w:cs="宋体"/>
                <w:b w:val="0"/>
                <w:bCs w:val="0"/>
                <w:color w:val="auto"/>
                <w:sz w:val="21"/>
                <w:szCs w:val="21"/>
                <w:highlight w:val="none"/>
                <w:lang w:bidi="ar"/>
              </w:rPr>
              <w:t>以上每项</w:t>
            </w:r>
            <w:r>
              <w:rPr>
                <w:rFonts w:hint="eastAsia" w:ascii="宋体" w:hAnsi="宋体" w:eastAsia="宋体" w:cs="宋体"/>
                <w:b w:val="0"/>
                <w:bCs w:val="0"/>
                <w:color w:val="auto"/>
                <w:sz w:val="21"/>
                <w:szCs w:val="21"/>
                <w:highlight w:val="none"/>
                <w:lang w:val="en-US" w:eastAsia="zh-CN"/>
              </w:rPr>
              <w:t>方案</w:t>
            </w:r>
            <w:r>
              <w:rPr>
                <w:rStyle w:val="371"/>
                <w:rFonts w:hint="eastAsia" w:ascii="宋体" w:hAnsi="宋体" w:eastAsia="宋体" w:cs="宋体"/>
                <w:b w:val="0"/>
                <w:bCs w:val="0"/>
                <w:color w:val="auto"/>
                <w:sz w:val="21"/>
                <w:szCs w:val="21"/>
                <w:highlight w:val="none"/>
                <w:lang w:bidi="ar"/>
              </w:rPr>
              <w:t>内容</w:t>
            </w:r>
            <w:r>
              <w:rPr>
                <w:rStyle w:val="371"/>
                <w:rFonts w:hint="eastAsia" w:ascii="宋体" w:hAnsi="宋体" w:eastAsia="宋体" w:cs="宋体"/>
                <w:b w:val="0"/>
                <w:bCs w:val="0"/>
                <w:color w:val="auto"/>
                <w:sz w:val="21"/>
                <w:szCs w:val="21"/>
                <w:highlight w:val="none"/>
                <w:lang w:val="en-US" w:eastAsia="zh-CN" w:bidi="ar"/>
              </w:rPr>
              <w:t>存在</w:t>
            </w:r>
            <w:r>
              <w:rPr>
                <w:rFonts w:hint="eastAsia" w:ascii="宋体" w:hAnsi="宋体" w:eastAsia="宋体" w:cs="宋体"/>
                <w:b w:val="0"/>
                <w:bCs w:val="0"/>
                <w:color w:val="auto"/>
                <w:sz w:val="21"/>
                <w:szCs w:val="21"/>
                <w:highlight w:val="none"/>
              </w:rPr>
              <w:t>缺陷</w:t>
            </w:r>
            <w:r>
              <w:rPr>
                <w:rStyle w:val="371"/>
                <w:rFonts w:hint="eastAsia" w:ascii="宋体" w:hAnsi="宋体" w:eastAsia="宋体" w:cs="宋体"/>
                <w:b w:val="0"/>
                <w:bCs w:val="0"/>
                <w:color w:val="auto"/>
                <w:sz w:val="21"/>
                <w:szCs w:val="21"/>
                <w:highlight w:val="none"/>
                <w:lang w:bidi="ar"/>
              </w:rPr>
              <w:t>得1分；</w:t>
            </w:r>
          </w:p>
          <w:p w14:paraId="43FF7ECE">
            <w:pPr>
              <w:adjustRightInd w:val="0"/>
              <w:snapToGrid w:val="0"/>
              <w:spacing w:line="360" w:lineRule="auto"/>
              <w:ind w:left="0" w:leftChars="0" w:firstLine="0" w:firstLineChars="0"/>
              <w:jc w:val="both"/>
              <w:rPr>
                <w:rStyle w:val="371"/>
                <w:rFonts w:hint="eastAsia" w:ascii="宋体" w:hAnsi="宋体" w:eastAsia="宋体" w:cs="宋体"/>
                <w:b w:val="0"/>
                <w:bCs w:val="0"/>
                <w:color w:val="auto"/>
                <w:sz w:val="21"/>
                <w:szCs w:val="21"/>
                <w:highlight w:val="none"/>
                <w:lang w:eastAsia="zh-CN" w:bidi="ar"/>
              </w:rPr>
            </w:pPr>
            <w:r>
              <w:rPr>
                <w:rStyle w:val="371"/>
                <w:rFonts w:hint="eastAsia" w:ascii="宋体" w:hAnsi="宋体" w:eastAsia="宋体" w:cs="宋体"/>
                <w:b w:val="0"/>
                <w:bCs w:val="0"/>
                <w:color w:val="auto"/>
                <w:sz w:val="21"/>
                <w:szCs w:val="21"/>
                <w:highlight w:val="none"/>
                <w:lang w:val="en-US" w:eastAsia="zh-CN" w:bidi="ar"/>
              </w:rPr>
              <w:t>4</w:t>
            </w:r>
            <w:r>
              <w:rPr>
                <w:rStyle w:val="371"/>
                <w:rFonts w:hint="eastAsia" w:ascii="宋体" w:hAnsi="宋体" w:eastAsia="宋体" w:cs="宋体"/>
                <w:b w:val="0"/>
                <w:bCs w:val="0"/>
                <w:color w:val="auto"/>
                <w:sz w:val="21"/>
                <w:szCs w:val="21"/>
                <w:highlight w:val="none"/>
                <w:lang w:eastAsia="zh-CN" w:bidi="ar"/>
              </w:rPr>
              <w:t>）</w:t>
            </w:r>
            <w:r>
              <w:rPr>
                <w:rStyle w:val="371"/>
                <w:rFonts w:hint="eastAsia" w:ascii="宋体" w:hAnsi="宋体" w:eastAsia="宋体" w:cs="宋体"/>
                <w:b w:val="0"/>
                <w:bCs w:val="0"/>
                <w:color w:val="auto"/>
                <w:sz w:val="21"/>
                <w:szCs w:val="21"/>
                <w:highlight w:val="none"/>
                <w:lang w:bidi="ar"/>
              </w:rPr>
              <w:t>以上每项</w:t>
            </w:r>
            <w:r>
              <w:rPr>
                <w:rFonts w:hint="eastAsia" w:ascii="宋体" w:hAnsi="宋体" w:eastAsia="宋体" w:cs="宋体"/>
                <w:b w:val="0"/>
                <w:bCs w:val="0"/>
                <w:color w:val="auto"/>
                <w:sz w:val="21"/>
                <w:szCs w:val="21"/>
                <w:highlight w:val="none"/>
                <w:lang w:val="en-US" w:eastAsia="zh-CN"/>
              </w:rPr>
              <w:t>方案</w:t>
            </w:r>
            <w:r>
              <w:rPr>
                <w:rStyle w:val="371"/>
                <w:rFonts w:hint="eastAsia" w:ascii="宋体" w:hAnsi="宋体" w:eastAsia="宋体" w:cs="宋体"/>
                <w:b w:val="0"/>
                <w:bCs w:val="0"/>
                <w:color w:val="auto"/>
                <w:sz w:val="21"/>
                <w:szCs w:val="21"/>
                <w:highlight w:val="none"/>
                <w:lang w:bidi="ar"/>
              </w:rPr>
              <w:t>内容</w:t>
            </w:r>
            <w:r>
              <w:rPr>
                <w:rFonts w:hint="eastAsia" w:ascii="宋体" w:hAnsi="宋体" w:eastAsia="宋体" w:cs="宋体"/>
                <w:b w:val="0"/>
                <w:bCs w:val="0"/>
                <w:color w:val="auto"/>
                <w:sz w:val="21"/>
                <w:szCs w:val="21"/>
                <w:highlight w:val="none"/>
                <w:lang w:eastAsia="zh-CN"/>
              </w:rPr>
              <w:t>不符合项目需求</w:t>
            </w:r>
            <w:r>
              <w:rPr>
                <w:rFonts w:hint="eastAsia" w:ascii="宋体" w:hAnsi="宋体" w:eastAsia="宋体" w:cs="宋体"/>
                <w:b w:val="0"/>
                <w:bCs w:val="0"/>
                <w:color w:val="auto"/>
                <w:sz w:val="21"/>
                <w:szCs w:val="21"/>
                <w:highlight w:val="none"/>
                <w:lang w:val="en-US" w:eastAsia="zh-CN"/>
              </w:rPr>
              <w:t>或</w:t>
            </w:r>
            <w:r>
              <w:rPr>
                <w:rStyle w:val="371"/>
                <w:rFonts w:hint="eastAsia" w:ascii="宋体" w:hAnsi="宋体" w:eastAsia="宋体" w:cs="宋体"/>
                <w:b w:val="0"/>
                <w:bCs w:val="0"/>
                <w:color w:val="auto"/>
                <w:sz w:val="21"/>
                <w:szCs w:val="21"/>
                <w:highlight w:val="none"/>
                <w:lang w:bidi="ar"/>
              </w:rPr>
              <w:t>未提供得</w:t>
            </w:r>
            <w:r>
              <w:rPr>
                <w:rStyle w:val="371"/>
                <w:rFonts w:hint="eastAsia" w:ascii="宋体" w:hAnsi="宋体" w:eastAsia="宋体" w:cs="宋体"/>
                <w:b w:val="0"/>
                <w:bCs w:val="0"/>
                <w:color w:val="auto"/>
                <w:sz w:val="21"/>
                <w:szCs w:val="21"/>
                <w:highlight w:val="none"/>
                <w:lang w:val="en-US" w:eastAsia="zh-CN" w:bidi="ar"/>
              </w:rPr>
              <w:t>0</w:t>
            </w:r>
            <w:r>
              <w:rPr>
                <w:rStyle w:val="371"/>
                <w:rFonts w:hint="eastAsia" w:ascii="宋体" w:hAnsi="宋体" w:eastAsia="宋体" w:cs="宋体"/>
                <w:b w:val="0"/>
                <w:bCs w:val="0"/>
                <w:color w:val="auto"/>
                <w:sz w:val="21"/>
                <w:szCs w:val="21"/>
                <w:highlight w:val="none"/>
                <w:lang w:bidi="ar"/>
              </w:rPr>
              <w:t>分</w:t>
            </w:r>
            <w:r>
              <w:rPr>
                <w:rStyle w:val="371"/>
                <w:rFonts w:hint="eastAsia" w:ascii="宋体" w:hAnsi="宋体" w:eastAsia="宋体" w:cs="宋体"/>
                <w:b w:val="0"/>
                <w:bCs w:val="0"/>
                <w:color w:val="auto"/>
                <w:sz w:val="21"/>
                <w:szCs w:val="21"/>
                <w:highlight w:val="none"/>
                <w:lang w:eastAsia="zh-CN" w:bidi="ar"/>
              </w:rPr>
              <w:t>。</w:t>
            </w:r>
          </w:p>
          <w:p w14:paraId="5D437AFE">
            <w:pPr>
              <w:spacing w:line="360" w:lineRule="auto"/>
              <w:ind w:firstLine="0" w:firstLineChars="0"/>
              <w:textAlignment w:val="center"/>
              <w:rPr>
                <w:rFonts w:hint="eastAsia" w:ascii="宋体" w:hAnsi="宋体" w:eastAsia="宋体" w:cs="宋体"/>
                <w:color w:val="auto"/>
                <w:sz w:val="21"/>
                <w:szCs w:val="21"/>
                <w:highlight w:val="none"/>
                <w:lang w:eastAsia="zh-CN" w:bidi="ar"/>
              </w:rPr>
            </w:pPr>
            <w:r>
              <w:rPr>
                <w:rStyle w:val="371"/>
                <w:rFonts w:hint="eastAsia" w:ascii="宋体" w:hAnsi="宋体" w:eastAsia="宋体" w:cs="宋体"/>
                <w:b w:val="0"/>
                <w:bCs w:val="0"/>
                <w:color w:val="auto"/>
                <w:sz w:val="21"/>
                <w:szCs w:val="21"/>
                <w:highlight w:val="none"/>
                <w:lang w:bidi="ar"/>
              </w:rPr>
              <w:t>本项最多得</w:t>
            </w:r>
            <w:r>
              <w:rPr>
                <w:rStyle w:val="371"/>
                <w:rFonts w:hint="eastAsia" w:ascii="宋体" w:hAnsi="宋体" w:eastAsia="宋体" w:cs="宋体"/>
                <w:b w:val="0"/>
                <w:bCs w:val="0"/>
                <w:color w:val="auto"/>
                <w:sz w:val="21"/>
                <w:szCs w:val="21"/>
                <w:highlight w:val="none"/>
                <w:lang w:val="en-US" w:eastAsia="zh-CN" w:bidi="ar"/>
              </w:rPr>
              <w:t>10</w:t>
            </w:r>
            <w:r>
              <w:rPr>
                <w:rStyle w:val="371"/>
                <w:rFonts w:hint="eastAsia" w:ascii="宋体" w:hAnsi="宋体" w:eastAsia="宋体" w:cs="宋体"/>
                <w:b w:val="0"/>
                <w:bCs w:val="0"/>
                <w:color w:val="auto"/>
                <w:sz w:val="21"/>
                <w:szCs w:val="21"/>
                <w:highlight w:val="none"/>
                <w:lang w:bidi="ar"/>
              </w:rPr>
              <w:t>分。</w:t>
            </w:r>
          </w:p>
        </w:tc>
      </w:tr>
      <w:tr w14:paraId="27E5B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4109AA78">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249C901B">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运营计划与目标方案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107AEFCD">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73B64CD">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针对本项目制定详细完善的方案，方案包括但不限于下述要点：（1）目标明确；（2）技术创新措施；（3）阶段合理；（4）安全生产措施。</w:t>
            </w:r>
          </w:p>
          <w:p w14:paraId="1B3BD884">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1）以上每项方案内容合理、无缺陷、有针对性、符合项目需求得2.5分；</w:t>
            </w:r>
          </w:p>
          <w:p w14:paraId="7A62581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349BE58C">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4D2DA70A">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12C1CD79">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2A465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81"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4BE23C6D">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34660CD0">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收运与处理方案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18CA5CD6">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E7AAB70">
            <w:pPr>
              <w:spacing w:line="360" w:lineRule="auto"/>
              <w:ind w:firstLine="0" w:firstLineChars="0"/>
              <w:jc w:val="left"/>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投标人针对采购需求内容，制定符合实际的运营管理方案！（1）限于餐厨垃圾的收运环节；（2）餐厨垃圾的处置环节（3）台账资料整理（4）信息系统管理。</w:t>
            </w:r>
          </w:p>
          <w:p w14:paraId="128FCF26">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1）以上每项方案内容合理、无缺陷、有针对性、符合项目需求得2.5分；</w:t>
            </w:r>
          </w:p>
          <w:p w14:paraId="532398D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21A0B7C2">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1167C926">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5416047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0CDFA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26"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03385903">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6232EA9B">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维护与更新方案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1706E4E3">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00DB0F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针对本项目制定详细完善的方案，方案包括但不限于下述要点：（1）设备维护计划；（2）智慧管理系统应用；（3）环境保护措施；（4）人员管理措施。</w:t>
            </w:r>
          </w:p>
          <w:p w14:paraId="07F2D86B">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1）以上每项方案内容合理、无缺陷、有针对性、符合项目需求得2.5分；</w:t>
            </w:r>
          </w:p>
          <w:p w14:paraId="62437DC4">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6B884E23">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0DC4FA37">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241C21E5">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0F624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01FC86E3">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5C71F47C">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风险管理与应对措施方案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24E08694">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7024789">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针对本项目制定详细完善的方案，方案包括但不限于下述要点：（1）风险识别全面性；（2）应对策略有效性；（3）应急预案完备性；（4）风险分担机制合理性。</w:t>
            </w:r>
          </w:p>
          <w:p w14:paraId="4A70B8FE">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1）以上每项方案内容合理、无缺陷、有针对性、符合项目需求得2.5分；</w:t>
            </w:r>
          </w:p>
          <w:p w14:paraId="094DC5B2">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1CD2B51D">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1E042575">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4FB2DEB2">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2B5AC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69E3E9CC">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16C87277">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建设方案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58926B8A">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D3A054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针对本项目制定详细完善的方案，方案包括但不限于下述要点：（1）施工技术方案；（2）功能适配方案；（3）安全保障方案；（4）成本控制措施方案。</w:t>
            </w:r>
          </w:p>
          <w:p w14:paraId="1D8F68FC">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1）以上每项方案内容合理、无缺陷、有针对性、项目需求得2.5分；</w:t>
            </w:r>
          </w:p>
          <w:p w14:paraId="1FDA6273">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002603FB">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096D342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60C72B5E">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21EE3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atLeast"/>
        </w:trPr>
        <w:tc>
          <w:tcPr>
            <w:tcW w:w="797" w:type="dxa"/>
            <w:vMerge w:val="continue"/>
            <w:tcBorders>
              <w:left w:val="single" w:color="000000" w:sz="4" w:space="0"/>
              <w:right w:val="single" w:color="auto" w:sz="4" w:space="0"/>
            </w:tcBorders>
            <w:tcMar>
              <w:top w:w="15" w:type="dxa"/>
              <w:left w:w="15" w:type="dxa"/>
              <w:right w:w="15" w:type="dxa"/>
            </w:tcMar>
            <w:vAlign w:val="center"/>
          </w:tcPr>
          <w:p w14:paraId="699D7EE8">
            <w:pPr>
              <w:spacing w:line="360" w:lineRule="auto"/>
              <w:ind w:firstLine="0"/>
              <w:jc w:val="center"/>
              <w:textAlignment w:val="center"/>
              <w:rPr>
                <w:rFonts w:hint="eastAsia" w:ascii="宋体" w:hAnsi="宋体" w:cs="宋体"/>
                <w:color w:val="auto"/>
                <w:sz w:val="21"/>
                <w:szCs w:val="21"/>
                <w:highlight w:val="none"/>
                <w:lang w:val="en-US" w:eastAsia="zh-CN" w:bidi="ar"/>
              </w:rPr>
            </w:pPr>
          </w:p>
        </w:tc>
        <w:tc>
          <w:tcPr>
            <w:tcW w:w="1310" w:type="dxa"/>
            <w:tcBorders>
              <w:top w:val="single" w:color="auto" w:sz="4" w:space="0"/>
              <w:left w:val="single" w:color="auto" w:sz="4" w:space="0"/>
              <w:right w:val="single" w:color="auto" w:sz="4" w:space="0"/>
            </w:tcBorders>
            <w:tcMar>
              <w:top w:w="15" w:type="dxa"/>
              <w:left w:w="15" w:type="dxa"/>
              <w:right w:w="15" w:type="dxa"/>
            </w:tcMar>
            <w:vAlign w:val="center"/>
          </w:tcPr>
          <w:p w14:paraId="6C1EA43F">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移交方案</w:t>
            </w:r>
          </w:p>
        </w:tc>
        <w:tc>
          <w:tcPr>
            <w:tcW w:w="602" w:type="dxa"/>
            <w:tcBorders>
              <w:top w:val="single" w:color="auto" w:sz="4" w:space="0"/>
              <w:left w:val="single" w:color="auto" w:sz="4" w:space="0"/>
              <w:right w:val="single" w:color="auto" w:sz="4" w:space="0"/>
            </w:tcBorders>
            <w:tcMar>
              <w:top w:w="15" w:type="dxa"/>
              <w:left w:w="15" w:type="dxa"/>
              <w:right w:w="15" w:type="dxa"/>
            </w:tcMar>
            <w:vAlign w:val="center"/>
          </w:tcPr>
          <w:p w14:paraId="4F808699">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10分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C954FA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针对本项目制定详细完善的方案，方案包括但不限于下述要点：（1）移交范围时间安排；（2）移交的内容；（3）移交期间项目运作实施的保障措施；（4）移交验收程序。</w:t>
            </w:r>
          </w:p>
          <w:p w14:paraId="4E73B52D">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1）以上每项方案内容合理、无缺陷、有针对性、符合项目需求得2.5分；</w:t>
            </w:r>
          </w:p>
          <w:p w14:paraId="2C3FC00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2）以上每项方案内容无缺陷、但缺乏针对性得1.5分；</w:t>
            </w:r>
          </w:p>
          <w:p w14:paraId="575218CB">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3）以上每项方案内容存在缺陷得1分；</w:t>
            </w:r>
          </w:p>
          <w:p w14:paraId="2ED130C1">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4）以上每项方案内容不符合项目需求或未提供得0分。</w:t>
            </w:r>
          </w:p>
          <w:p w14:paraId="7F1FFFDA">
            <w:pPr>
              <w:spacing w:line="360" w:lineRule="auto"/>
              <w:ind w:firstLine="0" w:firstLineChars="0"/>
              <w:jc w:val="left"/>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本项最多得10分。</w:t>
            </w:r>
          </w:p>
        </w:tc>
      </w:tr>
      <w:tr w14:paraId="6B3B1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797" w:type="dxa"/>
            <w:vMerge w:val="restart"/>
            <w:tcBorders>
              <w:top w:val="single" w:color="auto" w:sz="4" w:space="0"/>
              <w:left w:val="single" w:color="auto" w:sz="4" w:space="0"/>
              <w:right w:val="single" w:color="auto" w:sz="4" w:space="0"/>
            </w:tcBorders>
            <w:tcMar>
              <w:top w:w="15" w:type="dxa"/>
              <w:left w:w="15" w:type="dxa"/>
              <w:right w:w="15" w:type="dxa"/>
            </w:tcMar>
            <w:vAlign w:val="center"/>
          </w:tcPr>
          <w:p w14:paraId="517ED052">
            <w:pPr>
              <w:ind w:left="0" w:leftChars="0" w:firstLine="0" w:firstLineChars="0"/>
              <w:jc w:val="both"/>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商务部分（20分）</w:t>
            </w: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08BE781">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设备投入情况</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754A09F">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52BDDFB">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根据项目需求，制定本项目的设备投入承诺书，并详细列明所投入的设备名称及数量：设备投入种类、数量满足采购需求的，得</w:t>
            </w:r>
            <w:r>
              <w:rPr>
                <w:rFonts w:hint="eastAsia" w:ascii="宋体" w:hAnsi="宋体" w:eastAsia="宋体" w:cs="宋体"/>
                <w:color w:val="auto"/>
                <w:sz w:val="21"/>
                <w:szCs w:val="21"/>
                <w:highlight w:val="none"/>
                <w:lang w:val="en-US" w:eastAsia="zh-CN" w:bidi="ar"/>
              </w:rPr>
              <w:t>4</w:t>
            </w:r>
            <w:r>
              <w:rPr>
                <w:rFonts w:hint="default" w:ascii="宋体" w:hAnsi="宋体" w:eastAsia="宋体" w:cs="宋体"/>
                <w:color w:val="auto"/>
                <w:sz w:val="21"/>
                <w:szCs w:val="21"/>
                <w:highlight w:val="none"/>
                <w:lang w:val="en-US" w:eastAsia="zh-CN" w:bidi="ar"/>
              </w:rPr>
              <w:t>分；设备投入种类、数量不满足采购需求的不得分。须提供设备投入承诺书，格式自拟，无提供不得分。</w:t>
            </w:r>
          </w:p>
        </w:tc>
      </w:tr>
      <w:tr w14:paraId="5AC7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97" w:type="dxa"/>
            <w:vMerge w:val="continue"/>
            <w:tcBorders>
              <w:left w:val="single" w:color="auto" w:sz="4" w:space="0"/>
              <w:right w:val="single" w:color="auto" w:sz="4" w:space="0"/>
            </w:tcBorders>
            <w:tcMar>
              <w:top w:w="15" w:type="dxa"/>
              <w:left w:w="15" w:type="dxa"/>
              <w:right w:w="15" w:type="dxa"/>
            </w:tcMar>
            <w:vAlign w:val="center"/>
          </w:tcPr>
          <w:p w14:paraId="18A864EC">
            <w:pPr>
              <w:jc w:val="center"/>
              <w:rPr>
                <w:rFonts w:hint="eastAsia" w:ascii="宋体" w:hAnsi="宋体" w:cs="宋体"/>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F4D2112">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服务团队投入情况</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4176065">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3</w:t>
            </w:r>
            <w:r>
              <w:rPr>
                <w:rFonts w:hint="eastAsia" w:ascii="宋体" w:hAnsi="宋体" w:eastAsia="宋体" w:cs="宋体"/>
                <w:color w:val="auto"/>
                <w:sz w:val="21"/>
                <w:szCs w:val="21"/>
                <w:highlight w:val="none"/>
                <w:lang w:val="en-US" w:eastAsia="zh-CN" w:bidi="ar"/>
              </w:rPr>
              <w:t>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42141E8">
            <w:pPr>
              <w:spacing w:line="360" w:lineRule="auto"/>
              <w:ind w:firstLine="0" w:firstLineChars="0"/>
              <w:jc w:val="left"/>
              <w:textAlignment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根据项目需求，制定本项目的服务团队投入承诺书，并详细列明所投入的服务团队岗位、数量和人员要求：服务团队投入岗位、数量和人员要求满足采购需求的，得</w:t>
            </w:r>
            <w:r>
              <w:rPr>
                <w:rFonts w:hint="eastAsia" w:ascii="宋体" w:hAnsi="宋体" w:cs="宋体"/>
                <w:color w:val="auto"/>
                <w:sz w:val="21"/>
                <w:szCs w:val="21"/>
                <w:highlight w:val="none"/>
                <w:lang w:val="en-US" w:eastAsia="zh-CN" w:bidi="ar"/>
              </w:rPr>
              <w:t>3</w:t>
            </w:r>
            <w:r>
              <w:rPr>
                <w:rFonts w:hint="default" w:ascii="宋体" w:hAnsi="宋体" w:eastAsia="宋体" w:cs="宋体"/>
                <w:color w:val="auto"/>
                <w:sz w:val="21"/>
                <w:szCs w:val="21"/>
                <w:highlight w:val="none"/>
                <w:lang w:val="en-US" w:eastAsia="zh-CN" w:bidi="ar"/>
              </w:rPr>
              <w:t>分；服务团队投入岗位、数量和人员要求不满足采购需求的不得分。须提供服务团队投入承诺书，格式自拟，无提供不得分。</w:t>
            </w:r>
          </w:p>
          <w:p w14:paraId="1916741C">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注：（1）提供劳动合同</w:t>
            </w:r>
            <w:r>
              <w:rPr>
                <w:rFonts w:hint="eastAsia" w:ascii="宋体" w:hAnsi="宋体" w:cs="宋体"/>
                <w:color w:val="auto"/>
                <w:sz w:val="21"/>
                <w:szCs w:val="21"/>
                <w:highlight w:val="none"/>
                <w:lang w:val="en-US" w:eastAsia="zh-CN" w:bidi="ar"/>
              </w:rPr>
              <w:t>和</w:t>
            </w:r>
            <w:r>
              <w:rPr>
                <w:rFonts w:hint="eastAsia" w:ascii="宋体" w:hAnsi="宋体" w:eastAsia="宋体" w:cs="宋体"/>
                <w:color w:val="auto"/>
                <w:sz w:val="21"/>
                <w:szCs w:val="21"/>
                <w:highlight w:val="none"/>
                <w:lang w:val="en-US" w:eastAsia="zh-CN" w:bidi="ar"/>
              </w:rPr>
              <w:t>社保证明</w:t>
            </w:r>
            <w:r>
              <w:rPr>
                <w:rFonts w:hint="eastAsia" w:ascii="宋体" w:hAnsi="宋体" w:cs="宋体"/>
                <w:color w:val="auto"/>
                <w:sz w:val="21"/>
                <w:szCs w:val="21"/>
                <w:highlight w:val="none"/>
                <w:lang w:val="en-US" w:eastAsia="zh-CN" w:bidi="ar"/>
              </w:rPr>
              <w:t>等</w:t>
            </w:r>
            <w:r>
              <w:rPr>
                <w:rFonts w:hint="eastAsia" w:ascii="宋体" w:hAnsi="宋体" w:eastAsia="宋体" w:cs="宋体"/>
                <w:color w:val="auto"/>
                <w:sz w:val="21"/>
                <w:szCs w:val="21"/>
                <w:highlight w:val="none"/>
                <w:lang w:val="en-US" w:eastAsia="zh-CN" w:bidi="ar"/>
              </w:rPr>
              <w:t>清晰扫描件；</w:t>
            </w:r>
          </w:p>
        </w:tc>
      </w:tr>
      <w:tr w14:paraId="7EF47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85" w:hRule="atLeast"/>
        </w:trPr>
        <w:tc>
          <w:tcPr>
            <w:tcW w:w="797" w:type="dxa"/>
            <w:vMerge w:val="continue"/>
            <w:tcBorders>
              <w:left w:val="single" w:color="auto" w:sz="4" w:space="0"/>
              <w:right w:val="single" w:color="auto" w:sz="4" w:space="0"/>
            </w:tcBorders>
            <w:tcMar>
              <w:top w:w="15" w:type="dxa"/>
              <w:left w:w="15" w:type="dxa"/>
              <w:right w:w="15" w:type="dxa"/>
            </w:tcMar>
            <w:vAlign w:val="center"/>
          </w:tcPr>
          <w:p w14:paraId="7A4347DC">
            <w:pPr>
              <w:jc w:val="center"/>
              <w:rPr>
                <w:rFonts w:hint="eastAsia" w:ascii="宋体" w:hAnsi="宋体" w:cs="宋体"/>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C95514D">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企业综合实力</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A42D79F">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9分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D80EFE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2020年1月1日至投标截止时间投标人具有餐厨垃圾处理相关的专利（发明专利、实用新型专利）、软件著作权的，每提供1项得3分，本项最高得9分。</w:t>
            </w:r>
          </w:p>
          <w:p w14:paraId="1600CE7A">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注：提供相关证明材料扫描件。</w:t>
            </w:r>
          </w:p>
        </w:tc>
      </w:tr>
      <w:tr w14:paraId="44F3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85" w:hRule="atLeast"/>
        </w:trPr>
        <w:tc>
          <w:tcPr>
            <w:tcW w:w="797" w:type="dxa"/>
            <w:vMerge w:val="continue"/>
            <w:tcBorders>
              <w:left w:val="single" w:color="auto" w:sz="4" w:space="0"/>
              <w:right w:val="single" w:color="auto" w:sz="4" w:space="0"/>
            </w:tcBorders>
            <w:tcMar>
              <w:top w:w="15" w:type="dxa"/>
              <w:left w:w="15" w:type="dxa"/>
              <w:right w:w="15" w:type="dxa"/>
            </w:tcMar>
            <w:vAlign w:val="center"/>
          </w:tcPr>
          <w:p w14:paraId="4E734391">
            <w:pPr>
              <w:jc w:val="center"/>
              <w:rPr>
                <w:rFonts w:hint="eastAsia" w:ascii="宋体" w:hAnsi="宋体" w:cs="宋体"/>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EA318E">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项目管理经验</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A2FACC">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val="en-US" w:eastAsia="zh-CN" w:bidi="ar"/>
              </w:rPr>
              <w:t>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D10B46C">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根据投标人提供的市政或环保工程项目特许经营类业绩证明材料，每提供一项业绩得</w:t>
            </w:r>
            <w:r>
              <w:rPr>
                <w:rFonts w:hint="eastAsia" w:ascii="宋体" w:hAnsi="宋体" w:cs="宋体"/>
                <w:color w:val="auto"/>
                <w:sz w:val="21"/>
                <w:szCs w:val="21"/>
                <w:highlight w:val="none"/>
                <w:lang w:val="en-US" w:eastAsia="zh-CN" w:bidi="ar"/>
              </w:rPr>
              <w:t>0.5</w:t>
            </w:r>
            <w:r>
              <w:rPr>
                <w:rFonts w:hint="eastAsia" w:ascii="宋体" w:hAnsi="宋体" w:eastAsia="宋体" w:cs="宋体"/>
                <w:color w:val="auto"/>
                <w:sz w:val="21"/>
                <w:szCs w:val="21"/>
                <w:highlight w:val="none"/>
                <w:lang w:val="en-US" w:eastAsia="zh-CN" w:bidi="ar"/>
              </w:rPr>
              <w:t>分，最多得</w:t>
            </w:r>
            <w:r>
              <w:rPr>
                <w:rFonts w:hint="eastAsia" w:ascii="宋体" w:hAnsi="宋体" w:cs="宋体"/>
                <w:color w:val="auto"/>
                <w:sz w:val="21"/>
                <w:szCs w:val="21"/>
                <w:highlight w:val="none"/>
                <w:lang w:val="en-US" w:eastAsia="zh-CN" w:bidi="ar"/>
              </w:rPr>
              <w:t>1</w:t>
            </w:r>
            <w:r>
              <w:rPr>
                <w:rFonts w:hint="eastAsia" w:ascii="宋体" w:hAnsi="宋体" w:eastAsia="宋体" w:cs="宋体"/>
                <w:color w:val="auto"/>
                <w:sz w:val="21"/>
                <w:szCs w:val="21"/>
                <w:highlight w:val="none"/>
                <w:lang w:val="en-US" w:eastAsia="zh-CN" w:bidi="ar"/>
              </w:rPr>
              <w:t>分。</w:t>
            </w:r>
          </w:p>
          <w:p w14:paraId="61513D7E">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w:t>
            </w:r>
          </w:p>
          <w:p w14:paraId="58D345F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①特许经营类业绩指BOT、TOT、ROT、BOOT、DBFOT等形式业绩；</w:t>
            </w:r>
          </w:p>
          <w:p w14:paraId="59738DF5">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②需提供中标通知书或合同协议书或备案证明，无法充分体现项目规模及工作内容等情况的，可附业主证明材料或政府部门审批文件佐证；</w:t>
            </w:r>
          </w:p>
        </w:tc>
      </w:tr>
      <w:tr w14:paraId="51140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0" w:hRule="atLeast"/>
        </w:trPr>
        <w:tc>
          <w:tcPr>
            <w:tcW w:w="797" w:type="dxa"/>
            <w:vMerge w:val="continue"/>
            <w:tcBorders>
              <w:left w:val="single" w:color="auto" w:sz="4" w:space="0"/>
              <w:right w:val="single" w:color="auto" w:sz="4" w:space="0"/>
            </w:tcBorders>
            <w:tcMar>
              <w:top w:w="15" w:type="dxa"/>
              <w:left w:w="15" w:type="dxa"/>
              <w:right w:w="15" w:type="dxa"/>
            </w:tcMar>
            <w:vAlign w:val="center"/>
          </w:tcPr>
          <w:p w14:paraId="759C8F80">
            <w:pPr>
              <w:jc w:val="left"/>
              <w:rPr>
                <w:rFonts w:hint="eastAsia" w:ascii="宋体" w:hAnsi="宋体" w:cs="宋体"/>
                <w:color w:val="auto"/>
                <w:sz w:val="21"/>
                <w:szCs w:val="21"/>
                <w:highlight w:val="none"/>
              </w:rPr>
            </w:pPr>
          </w:p>
        </w:tc>
        <w:tc>
          <w:tcPr>
            <w:tcW w:w="131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ADDC96">
            <w:pPr>
              <w:spacing w:line="36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认证情况</w:t>
            </w:r>
          </w:p>
        </w:tc>
        <w:tc>
          <w:tcPr>
            <w:tcW w:w="60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F035C17">
            <w:pPr>
              <w:spacing w:line="36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3分</w:t>
            </w:r>
          </w:p>
        </w:tc>
        <w:tc>
          <w:tcPr>
            <w:tcW w:w="669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DDD44FA">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投标人具备以下有效证书：①质量管理体系认证证书；②环境管理体系认证证书；③职业健康安全管理体系认证证书；每提供上述一个认证证书得1分，本项最高得3分； 注：</w:t>
            </w:r>
            <w:r>
              <w:rPr>
                <w:rFonts w:hint="eastAsia" w:ascii="宋体" w:hAnsi="宋体" w:cs="宋体"/>
                <w:color w:val="auto"/>
                <w:sz w:val="21"/>
                <w:szCs w:val="21"/>
                <w:highlight w:val="none"/>
                <w:lang w:val="en-US" w:eastAsia="zh-CN" w:bidi="ar"/>
              </w:rPr>
              <w:t>投标</w:t>
            </w:r>
            <w:r>
              <w:rPr>
                <w:rFonts w:hint="eastAsia" w:ascii="宋体" w:hAnsi="宋体" w:eastAsia="宋体" w:cs="宋体"/>
                <w:color w:val="auto"/>
                <w:sz w:val="21"/>
                <w:szCs w:val="21"/>
                <w:highlight w:val="none"/>
                <w:lang w:val="en-US" w:eastAsia="zh-CN" w:bidi="ar"/>
              </w:rPr>
              <w:t>文件中须同时提供以上证书扫描件及国家认证认可监督管理委员的“全国认证认可信息公共服务平台”（http://cx.cnca.cn）查询结果截图，失效、撤销或暂停的对应项不得分。</w:t>
            </w:r>
          </w:p>
        </w:tc>
      </w:tr>
      <w:bookmarkEnd w:id="421"/>
      <w:bookmarkEnd w:id="422"/>
      <w:bookmarkEnd w:id="423"/>
      <w:bookmarkEnd w:id="424"/>
      <w:bookmarkEnd w:id="425"/>
      <w:bookmarkEnd w:id="426"/>
      <w:bookmarkEnd w:id="427"/>
      <w:bookmarkEnd w:id="428"/>
      <w:bookmarkEnd w:id="429"/>
      <w:bookmarkEnd w:id="430"/>
    </w:tbl>
    <w:p w14:paraId="0CF5CF2E">
      <w:pPr>
        <w:spacing w:line="360" w:lineRule="auto"/>
        <w:ind w:firstLine="482"/>
        <w:jc w:val="left"/>
        <w:outlineLvl w:val="1"/>
        <w:rPr>
          <w:rFonts w:hint="eastAsia" w:ascii="宋体" w:hAnsi="宋体" w:cs="宋体"/>
          <w:b/>
          <w:bCs/>
          <w:color w:val="auto"/>
          <w:szCs w:val="24"/>
          <w:highlight w:val="none"/>
        </w:rPr>
      </w:pPr>
      <w:bookmarkStart w:id="431" w:name="_Toc4048_WPSOffice_Level2"/>
      <w:bookmarkStart w:id="432" w:name="_Toc22900"/>
      <w:bookmarkStart w:id="433" w:name="_Toc13067"/>
      <w:bookmarkStart w:id="434" w:name="_Toc23790"/>
      <w:bookmarkStart w:id="435" w:name="_Toc16942"/>
      <w:bookmarkStart w:id="436" w:name="_Toc11663"/>
      <w:bookmarkStart w:id="437" w:name="_Toc8214"/>
      <w:bookmarkStart w:id="438" w:name="_Toc26488"/>
      <w:bookmarkStart w:id="439" w:name="_Toc11910"/>
      <w:r>
        <w:rPr>
          <w:rFonts w:hint="eastAsia" w:ascii="宋体" w:hAnsi="宋体" w:cs="宋体"/>
          <w:b/>
          <w:bCs/>
          <w:color w:val="auto"/>
          <w:szCs w:val="24"/>
          <w:highlight w:val="none"/>
          <w:lang w:val="en-US" w:eastAsia="zh-CN"/>
        </w:rPr>
        <w:t>5</w:t>
      </w:r>
      <w:r>
        <w:rPr>
          <w:rFonts w:hint="eastAsia" w:ascii="宋体" w:hAnsi="宋体" w:cs="宋体"/>
          <w:b/>
          <w:bCs/>
          <w:color w:val="auto"/>
          <w:szCs w:val="24"/>
          <w:highlight w:val="none"/>
        </w:rPr>
        <w:t>.评审程序</w:t>
      </w:r>
      <w:bookmarkEnd w:id="431"/>
      <w:bookmarkEnd w:id="432"/>
      <w:bookmarkEnd w:id="433"/>
      <w:bookmarkEnd w:id="434"/>
      <w:bookmarkEnd w:id="435"/>
      <w:bookmarkEnd w:id="436"/>
      <w:bookmarkEnd w:id="437"/>
      <w:bookmarkEnd w:id="438"/>
      <w:bookmarkEnd w:id="439"/>
    </w:p>
    <w:p w14:paraId="1E17A8F3">
      <w:pPr>
        <w:spacing w:line="360" w:lineRule="auto"/>
        <w:ind w:firstLine="480"/>
        <w:rPr>
          <w:rFonts w:hint="eastAsia" w:ascii="宋体" w:hAnsi="宋体" w:cs="宋体"/>
          <w:color w:val="auto"/>
          <w:highlight w:val="none"/>
          <w:lang w:val="zh-CN"/>
        </w:rPr>
      </w:pPr>
      <w:bookmarkStart w:id="440" w:name="_Toc24150"/>
      <w:r>
        <w:rPr>
          <w:rFonts w:hint="eastAsia" w:ascii="宋体" w:hAnsi="宋体" w:cs="宋体"/>
          <w:color w:val="auto"/>
          <w:highlight w:val="none"/>
          <w:lang w:val="en-US" w:eastAsia="zh-CN"/>
        </w:rPr>
        <w:t>5</w:t>
      </w:r>
      <w:r>
        <w:rPr>
          <w:rFonts w:hint="eastAsia" w:ascii="宋体" w:hAnsi="宋体" w:cs="宋体"/>
          <w:color w:val="auto"/>
          <w:highlight w:val="none"/>
          <w:lang w:val="zh-CN"/>
        </w:rPr>
        <w:t>.1评审工作按以下程序进行：</w:t>
      </w:r>
      <w:bookmarkEnd w:id="440"/>
    </w:p>
    <w:p w14:paraId="446DD94C">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（1）投标文件初步审查；</w:t>
      </w:r>
    </w:p>
    <w:p w14:paraId="434ABB8E">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（2）澄清有关问题（如有）；</w:t>
      </w:r>
    </w:p>
    <w:p w14:paraId="0757CCDD">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（3）比较与评分；</w:t>
      </w:r>
    </w:p>
    <w:p w14:paraId="406A7129">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（4）推荐中标候选人名单；</w:t>
      </w:r>
    </w:p>
    <w:p w14:paraId="0DA65D0B">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（5）出具评标报告。</w:t>
      </w:r>
    </w:p>
    <w:p w14:paraId="48E26643">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5</w:t>
      </w:r>
      <w:r>
        <w:rPr>
          <w:rFonts w:hint="eastAsia" w:ascii="宋体" w:hAnsi="宋体" w:cs="宋体"/>
          <w:color w:val="auto"/>
          <w:highlight w:val="none"/>
          <w:lang w:val="zh-CN"/>
        </w:rPr>
        <w:t>.2评标委员会按照上述程序审查投标人的投标文件，评审程序中的前一项程序未通过的投标文件不再进入下一程序的评审。</w:t>
      </w:r>
    </w:p>
    <w:p w14:paraId="4CD591A1">
      <w:pPr>
        <w:spacing w:line="360" w:lineRule="auto"/>
        <w:ind w:firstLine="482"/>
        <w:outlineLvl w:val="1"/>
        <w:rPr>
          <w:rFonts w:hint="eastAsia" w:ascii="宋体" w:hAnsi="宋体" w:cs="宋体"/>
          <w:b/>
          <w:bCs/>
          <w:color w:val="auto"/>
          <w:szCs w:val="24"/>
          <w:highlight w:val="none"/>
        </w:rPr>
      </w:pPr>
      <w:bookmarkStart w:id="441" w:name="_Toc4709"/>
      <w:bookmarkStart w:id="442" w:name="_Toc29388"/>
      <w:bookmarkStart w:id="443" w:name="_Toc32118"/>
      <w:bookmarkStart w:id="444" w:name="_Toc30850_WPSOffice_Level2"/>
      <w:bookmarkStart w:id="445" w:name="_Toc4967"/>
      <w:bookmarkStart w:id="446" w:name="_Toc6515"/>
      <w:bookmarkStart w:id="447" w:name="_Toc9085"/>
      <w:bookmarkStart w:id="448" w:name="_Toc4947"/>
      <w:bookmarkStart w:id="449" w:name="_Toc487632302"/>
      <w:bookmarkStart w:id="450" w:name="_Toc23737"/>
      <w:r>
        <w:rPr>
          <w:rFonts w:hint="eastAsia" w:ascii="宋体" w:hAnsi="宋体" w:cs="宋体"/>
          <w:b/>
          <w:bCs/>
          <w:color w:val="auto"/>
          <w:szCs w:val="24"/>
          <w:highlight w:val="none"/>
          <w:lang w:val="en-US" w:eastAsia="zh-CN"/>
        </w:rPr>
        <w:t>6</w:t>
      </w:r>
      <w:r>
        <w:rPr>
          <w:rFonts w:hint="eastAsia" w:ascii="宋体" w:hAnsi="宋体" w:cs="宋体"/>
          <w:b/>
          <w:bCs/>
          <w:color w:val="auto"/>
          <w:szCs w:val="24"/>
          <w:highlight w:val="none"/>
        </w:rPr>
        <w:t>.澄清有关问题</w:t>
      </w:r>
      <w:bookmarkEnd w:id="441"/>
      <w:bookmarkEnd w:id="442"/>
      <w:bookmarkEnd w:id="443"/>
      <w:bookmarkEnd w:id="444"/>
      <w:bookmarkEnd w:id="445"/>
      <w:bookmarkEnd w:id="446"/>
      <w:bookmarkEnd w:id="447"/>
      <w:bookmarkEnd w:id="448"/>
      <w:bookmarkEnd w:id="449"/>
      <w:bookmarkEnd w:id="450"/>
    </w:p>
    <w:p w14:paraId="056DA17E">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6</w:t>
      </w:r>
      <w:r>
        <w:rPr>
          <w:rFonts w:hint="eastAsia" w:ascii="宋体" w:hAnsi="宋体" w:cs="宋体"/>
          <w:color w:val="auto"/>
          <w:highlight w:val="none"/>
          <w:lang w:val="zh-CN"/>
        </w:rPr>
        <w:t>.1对投标文件中含义不明确、同类问题表述不一致或者有明显文字和计算错误的内容，评标委员会可以书面形式要求投标人作出必要的澄清、说明或者补正。投标人的澄清、说明或者补正应当采用书面形式，由其法定代表人或授权的委托代理人签字，并不得超出投标文件的范围或者改变投标文件的实质性内容。</w:t>
      </w:r>
    </w:p>
    <w:p w14:paraId="12206A72">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6</w:t>
      </w:r>
      <w:r>
        <w:rPr>
          <w:rFonts w:hint="eastAsia" w:ascii="宋体" w:hAnsi="宋体" w:cs="宋体"/>
          <w:color w:val="auto"/>
          <w:highlight w:val="none"/>
          <w:lang w:val="zh-CN"/>
        </w:rPr>
        <w:t>.2评标委员会要求投标人澄清、说明或者更正投标文件应当以书面形式作出。投标人的澄清、说明或者更正应当由法定代表人或其委托代理人签字或者加盖公章。由委托代理人签字的，应当附法定代表人授权书。</w:t>
      </w:r>
    </w:p>
    <w:p w14:paraId="27281467">
      <w:pPr>
        <w:spacing w:line="360" w:lineRule="auto"/>
        <w:ind w:firstLine="482"/>
        <w:outlineLvl w:val="1"/>
        <w:rPr>
          <w:rFonts w:hint="eastAsia" w:ascii="宋体" w:hAnsi="宋体" w:cs="宋体"/>
          <w:b/>
          <w:bCs/>
          <w:color w:val="auto"/>
          <w:szCs w:val="24"/>
          <w:highlight w:val="none"/>
        </w:rPr>
      </w:pPr>
      <w:bookmarkStart w:id="451" w:name="_Toc27347"/>
      <w:bookmarkStart w:id="452" w:name="_Toc8832"/>
      <w:bookmarkStart w:id="453" w:name="_Toc13374_WPSOffice_Level2"/>
      <w:bookmarkStart w:id="454" w:name="_Toc487632303"/>
      <w:bookmarkStart w:id="455" w:name="_Toc32050"/>
      <w:bookmarkStart w:id="456" w:name="_Toc6827"/>
      <w:bookmarkStart w:id="457" w:name="_Toc18392"/>
      <w:bookmarkStart w:id="458" w:name="_Toc10265"/>
      <w:bookmarkStart w:id="459" w:name="_Toc20586"/>
      <w:bookmarkStart w:id="460" w:name="_Toc28506"/>
      <w:r>
        <w:rPr>
          <w:rFonts w:hint="eastAsia" w:ascii="宋体" w:hAnsi="宋体" w:cs="宋体"/>
          <w:b/>
          <w:bCs/>
          <w:color w:val="auto"/>
          <w:szCs w:val="24"/>
          <w:highlight w:val="none"/>
          <w:lang w:val="en-US" w:eastAsia="zh-CN"/>
        </w:rPr>
        <w:t>7</w:t>
      </w:r>
      <w:r>
        <w:rPr>
          <w:rFonts w:hint="eastAsia" w:ascii="宋体" w:hAnsi="宋体" w:cs="宋体"/>
          <w:b/>
          <w:bCs/>
          <w:color w:val="auto"/>
          <w:szCs w:val="24"/>
          <w:highlight w:val="none"/>
        </w:rPr>
        <w:t>.比较与评价</w:t>
      </w:r>
      <w:bookmarkEnd w:id="451"/>
      <w:bookmarkEnd w:id="452"/>
      <w:bookmarkEnd w:id="453"/>
      <w:bookmarkEnd w:id="454"/>
      <w:bookmarkEnd w:id="455"/>
      <w:bookmarkEnd w:id="456"/>
      <w:bookmarkEnd w:id="457"/>
      <w:bookmarkEnd w:id="458"/>
      <w:bookmarkEnd w:id="459"/>
      <w:bookmarkEnd w:id="460"/>
    </w:p>
    <w:p w14:paraId="529C52C4">
      <w:pPr>
        <w:spacing w:line="360" w:lineRule="auto"/>
        <w:ind w:firstLine="480"/>
        <w:rPr>
          <w:rFonts w:hint="eastAsia" w:ascii="宋体" w:hAnsi="宋体" w:cs="宋体"/>
          <w:color w:val="auto"/>
          <w:highlight w:val="none"/>
          <w:lang w:val="zh-CN"/>
        </w:rPr>
      </w:pPr>
      <w:bookmarkStart w:id="461" w:name="_Toc20768"/>
      <w:r>
        <w:rPr>
          <w:rFonts w:hint="eastAsia" w:ascii="宋体" w:hAnsi="宋体" w:cs="宋体"/>
          <w:color w:val="auto"/>
          <w:highlight w:val="none"/>
          <w:lang w:val="en-US" w:eastAsia="zh-CN"/>
        </w:rPr>
        <w:t>7</w:t>
      </w:r>
      <w:r>
        <w:rPr>
          <w:rFonts w:hint="eastAsia" w:ascii="宋体" w:hAnsi="宋体" w:cs="宋体"/>
          <w:color w:val="auto"/>
          <w:highlight w:val="none"/>
          <w:lang w:val="zh-CN"/>
        </w:rPr>
        <w:t>.1投标文件的大写金额和小写金额不一致的，以大写金额为准。</w:t>
      </w:r>
      <w:bookmarkEnd w:id="461"/>
    </w:p>
    <w:p w14:paraId="7DA8D31B">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7</w:t>
      </w:r>
      <w:r>
        <w:rPr>
          <w:rFonts w:hint="eastAsia" w:ascii="宋体" w:hAnsi="宋体" w:cs="宋体"/>
          <w:color w:val="auto"/>
          <w:highlight w:val="none"/>
          <w:lang w:val="zh-CN"/>
        </w:rPr>
        <w:t>.2按招标文件中规定的评标方法和标准，对通过初步评审和响应性评审的投标文件进行详细评审，详细评审标准：见本章1、2及3节相关规定。</w:t>
      </w:r>
    </w:p>
    <w:p w14:paraId="5D3B3722">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7</w:t>
      </w:r>
      <w:r>
        <w:rPr>
          <w:rFonts w:hint="eastAsia" w:ascii="宋体" w:hAnsi="宋体" w:cs="宋体"/>
          <w:color w:val="auto"/>
          <w:highlight w:val="none"/>
          <w:lang w:val="zh-CN"/>
        </w:rPr>
        <w:t>.3评标委员会按规定的量化指标和分值进行对各投标人的投标文件打分，并计算出综合评审得分并签字确认。</w:t>
      </w:r>
    </w:p>
    <w:p w14:paraId="0B5AE7CD">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7</w:t>
      </w:r>
      <w:r>
        <w:rPr>
          <w:rFonts w:hint="eastAsia" w:ascii="宋体" w:hAnsi="宋体" w:cs="宋体"/>
          <w:color w:val="auto"/>
          <w:highlight w:val="none"/>
          <w:lang w:val="zh-CN"/>
        </w:rPr>
        <w:t>.4汇总全体评标委员会对各投标人的打分并统计算术平均值，即投标人的最终评审得分。</w:t>
      </w:r>
    </w:p>
    <w:p w14:paraId="65819175">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7</w:t>
      </w:r>
      <w:r>
        <w:rPr>
          <w:rFonts w:hint="eastAsia" w:ascii="宋体" w:hAnsi="宋体" w:cs="宋体"/>
          <w:color w:val="auto"/>
          <w:highlight w:val="none"/>
          <w:lang w:val="zh-CN"/>
        </w:rPr>
        <w:t>.5评分分值计算保留小数点后两位，小数点后第三位“四舍五入”。</w:t>
      </w:r>
    </w:p>
    <w:p w14:paraId="6789D287">
      <w:pPr>
        <w:spacing w:line="360" w:lineRule="auto"/>
        <w:ind w:firstLine="482"/>
        <w:outlineLvl w:val="1"/>
        <w:rPr>
          <w:rFonts w:hint="eastAsia" w:ascii="宋体" w:hAnsi="宋体" w:cs="宋体"/>
          <w:b/>
          <w:bCs/>
          <w:color w:val="auto"/>
          <w:szCs w:val="24"/>
          <w:highlight w:val="none"/>
        </w:rPr>
      </w:pPr>
      <w:bookmarkStart w:id="462" w:name="_Toc16418"/>
      <w:bookmarkStart w:id="463" w:name="_Toc23140"/>
      <w:bookmarkStart w:id="464" w:name="_Toc487632305"/>
      <w:bookmarkStart w:id="465" w:name="_Toc12729"/>
      <w:bookmarkStart w:id="466" w:name="_Toc15636"/>
      <w:bookmarkStart w:id="467" w:name="_Toc7413"/>
      <w:bookmarkStart w:id="468" w:name="_Toc21708"/>
      <w:bookmarkStart w:id="469" w:name="_Toc28545_WPSOffice_Level2"/>
      <w:bookmarkStart w:id="470" w:name="_Toc21739"/>
      <w:bookmarkStart w:id="471" w:name="_Toc18472"/>
      <w:r>
        <w:rPr>
          <w:rFonts w:hint="eastAsia" w:ascii="宋体" w:hAnsi="宋体" w:cs="宋体"/>
          <w:b/>
          <w:bCs/>
          <w:color w:val="auto"/>
          <w:szCs w:val="24"/>
          <w:highlight w:val="none"/>
          <w:lang w:val="en-US" w:eastAsia="zh-CN"/>
        </w:rPr>
        <w:t>8</w:t>
      </w:r>
      <w:r>
        <w:rPr>
          <w:rFonts w:hint="eastAsia" w:ascii="宋体" w:hAnsi="宋体" w:cs="宋体"/>
          <w:b/>
          <w:bCs/>
          <w:color w:val="auto"/>
          <w:szCs w:val="24"/>
          <w:highlight w:val="none"/>
        </w:rPr>
        <w:t>.视作串通投标情形</w:t>
      </w:r>
      <w:bookmarkEnd w:id="462"/>
      <w:bookmarkEnd w:id="463"/>
      <w:bookmarkEnd w:id="464"/>
      <w:bookmarkEnd w:id="465"/>
      <w:bookmarkEnd w:id="466"/>
      <w:bookmarkEnd w:id="467"/>
      <w:bookmarkEnd w:id="468"/>
      <w:bookmarkEnd w:id="469"/>
      <w:bookmarkEnd w:id="470"/>
      <w:bookmarkEnd w:id="471"/>
    </w:p>
    <w:p w14:paraId="2E6976D1">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有下列情形之一的，经评标委员会集体表决后认定，视作串通投标处理，并提请有关监管部门依法予以处罚：</w:t>
      </w:r>
    </w:p>
    <w:p w14:paraId="4AAFD90B">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.1不同投标人的投标文件由同一单位或者个人编制；</w:t>
      </w:r>
    </w:p>
    <w:p w14:paraId="57F9D568">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.2不同投标人委托同一单位或者个人办理投标事宜；</w:t>
      </w:r>
    </w:p>
    <w:p w14:paraId="2082EBE7">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.3不同投标人的投标文件载明的项目管理成员或者联系人员为同一人；</w:t>
      </w:r>
    </w:p>
    <w:p w14:paraId="413EED6C">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.4不同投标人的投标文件异常一致或者投标报价呈规律性差异；</w:t>
      </w:r>
    </w:p>
    <w:p w14:paraId="6297A0F8">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.5不同投标人的投标文件相互混装；</w:t>
      </w:r>
    </w:p>
    <w:p w14:paraId="01EA2331">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.6不同投标人的投标保证金从同一单位或者个人的账户转出。</w:t>
      </w:r>
    </w:p>
    <w:p w14:paraId="3E4AB306">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8</w:t>
      </w:r>
      <w:r>
        <w:rPr>
          <w:rFonts w:hint="eastAsia" w:ascii="宋体" w:hAnsi="宋体" w:cs="宋体"/>
          <w:color w:val="auto"/>
          <w:highlight w:val="none"/>
          <w:lang w:val="zh-CN"/>
        </w:rPr>
        <w:t>.7评标委员会认定的其他串通投标情形。</w:t>
      </w:r>
    </w:p>
    <w:p w14:paraId="3CF0F878">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注：中标候选人公示期间，若发现中标候选人弄虚作假，将按招标文件相关规定处理。</w:t>
      </w:r>
    </w:p>
    <w:p w14:paraId="51D7ED61">
      <w:pPr>
        <w:spacing w:line="360" w:lineRule="auto"/>
        <w:ind w:firstLine="482"/>
        <w:outlineLvl w:val="1"/>
        <w:rPr>
          <w:rFonts w:hint="eastAsia" w:ascii="宋体" w:hAnsi="宋体" w:cs="宋体"/>
          <w:b/>
          <w:bCs/>
          <w:color w:val="auto"/>
          <w:szCs w:val="24"/>
          <w:highlight w:val="none"/>
        </w:rPr>
      </w:pPr>
      <w:bookmarkStart w:id="472" w:name="_Toc487632306"/>
      <w:bookmarkStart w:id="473" w:name="_Toc14951"/>
      <w:bookmarkStart w:id="474" w:name="_Toc19709"/>
      <w:bookmarkStart w:id="475" w:name="_Toc4731"/>
      <w:bookmarkStart w:id="476" w:name="_Toc16284"/>
      <w:bookmarkStart w:id="477" w:name="_Toc18291"/>
      <w:bookmarkStart w:id="478" w:name="_Toc15177"/>
      <w:bookmarkStart w:id="479" w:name="_Toc17028_WPSOffice_Level2"/>
      <w:bookmarkStart w:id="480" w:name="_Toc15924"/>
      <w:bookmarkStart w:id="481" w:name="_Toc16197"/>
      <w:r>
        <w:rPr>
          <w:rFonts w:hint="eastAsia" w:ascii="宋体" w:hAnsi="宋体" w:cs="宋体"/>
          <w:b/>
          <w:bCs/>
          <w:color w:val="auto"/>
          <w:szCs w:val="24"/>
          <w:highlight w:val="none"/>
          <w:lang w:val="en-US" w:eastAsia="zh-CN"/>
        </w:rPr>
        <w:t>9</w:t>
      </w:r>
      <w:r>
        <w:rPr>
          <w:rFonts w:hint="eastAsia" w:ascii="宋体" w:hAnsi="宋体" w:cs="宋体"/>
          <w:b/>
          <w:bCs/>
          <w:color w:val="auto"/>
          <w:szCs w:val="24"/>
          <w:highlight w:val="none"/>
        </w:rPr>
        <w:t>.评审结果</w:t>
      </w:r>
      <w:bookmarkEnd w:id="472"/>
      <w:bookmarkEnd w:id="473"/>
      <w:bookmarkEnd w:id="474"/>
      <w:bookmarkEnd w:id="475"/>
      <w:bookmarkEnd w:id="476"/>
      <w:bookmarkEnd w:id="477"/>
      <w:bookmarkEnd w:id="478"/>
      <w:bookmarkEnd w:id="479"/>
      <w:bookmarkEnd w:id="480"/>
      <w:bookmarkEnd w:id="481"/>
    </w:p>
    <w:p w14:paraId="137D5154">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9</w:t>
      </w:r>
      <w:r>
        <w:rPr>
          <w:rFonts w:hint="eastAsia" w:ascii="宋体" w:hAnsi="宋体" w:cs="宋体"/>
          <w:color w:val="auto"/>
          <w:highlight w:val="none"/>
          <w:lang w:val="zh-CN"/>
        </w:rPr>
        <w:t>.1评标委员会按照综合评审得分由高到低的顺序推荐3名候选投标人，如出现总分并列的情况，则按投标报价得分最高者优先。</w:t>
      </w:r>
    </w:p>
    <w:p w14:paraId="52B040EA">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9</w:t>
      </w:r>
      <w:r>
        <w:rPr>
          <w:rFonts w:hint="eastAsia" w:ascii="宋体" w:hAnsi="宋体" w:cs="宋体"/>
          <w:color w:val="auto"/>
          <w:highlight w:val="none"/>
          <w:lang w:val="zh-CN"/>
        </w:rPr>
        <w:t>.2评标委员会在评审结束后应编写综合评审报告，并在报告中按照得分从高到低的顺序向招标人荐第一、二、三中标候选人。</w:t>
      </w:r>
    </w:p>
    <w:p w14:paraId="41B1602E">
      <w:pPr>
        <w:spacing w:line="360" w:lineRule="auto"/>
        <w:ind w:firstLine="480"/>
        <w:rPr>
          <w:rFonts w:hint="eastAsia" w:ascii="宋体" w:hAnsi="宋体" w:cs="宋体"/>
          <w:color w:val="auto"/>
          <w:highlight w:val="none"/>
          <w:lang w:val="zh-CN"/>
        </w:rPr>
      </w:pPr>
      <w:bookmarkStart w:id="482" w:name="_Toc179715752"/>
      <w:bookmarkStart w:id="483" w:name="_Toc152047259"/>
      <w:bookmarkStart w:id="484" w:name="_Toc144974463"/>
      <w:bookmarkStart w:id="485" w:name="_Toc985"/>
      <w:bookmarkStart w:id="486" w:name="_Toc19872"/>
      <w:r>
        <w:rPr>
          <w:rFonts w:hint="eastAsia" w:ascii="宋体" w:hAnsi="宋体" w:cs="宋体"/>
          <w:color w:val="auto"/>
          <w:highlight w:val="none"/>
          <w:lang w:val="en-US" w:eastAsia="zh-CN"/>
        </w:rPr>
        <w:t>9</w:t>
      </w:r>
      <w:r>
        <w:rPr>
          <w:rFonts w:hint="eastAsia" w:ascii="宋体" w:hAnsi="宋体" w:cs="宋体"/>
          <w:color w:val="auto"/>
          <w:highlight w:val="none"/>
        </w:rPr>
        <w:t>.3</w:t>
      </w:r>
      <w:r>
        <w:rPr>
          <w:rFonts w:hint="eastAsia" w:ascii="宋体" w:hAnsi="宋体" w:cs="宋体"/>
          <w:color w:val="auto"/>
          <w:highlight w:val="none"/>
          <w:lang w:val="zh-CN"/>
        </w:rPr>
        <w:t>重新进行</w:t>
      </w:r>
      <w:r>
        <w:rPr>
          <w:rFonts w:hint="eastAsia" w:ascii="宋体" w:hAnsi="宋体" w:cs="宋体"/>
          <w:color w:val="auto"/>
          <w:highlight w:val="none"/>
        </w:rPr>
        <w:t>招标</w:t>
      </w:r>
      <w:r>
        <w:rPr>
          <w:rFonts w:hint="eastAsia" w:ascii="宋体" w:hAnsi="宋体" w:cs="宋体"/>
          <w:color w:val="auto"/>
          <w:highlight w:val="none"/>
          <w:lang w:val="zh-CN"/>
        </w:rPr>
        <w:t>或</w:t>
      </w:r>
      <w:bookmarkEnd w:id="482"/>
      <w:bookmarkEnd w:id="483"/>
      <w:bookmarkEnd w:id="484"/>
      <w:r>
        <w:rPr>
          <w:rFonts w:hint="eastAsia" w:ascii="宋体" w:hAnsi="宋体" w:cs="宋体"/>
          <w:color w:val="auto"/>
          <w:highlight w:val="none"/>
          <w:lang w:val="zh-CN"/>
        </w:rPr>
        <w:t>变更</w:t>
      </w:r>
      <w:bookmarkEnd w:id="485"/>
      <w:r>
        <w:rPr>
          <w:rFonts w:hint="eastAsia" w:ascii="宋体" w:hAnsi="宋体" w:cs="宋体"/>
          <w:color w:val="auto"/>
          <w:highlight w:val="none"/>
          <w:lang w:val="zh-CN"/>
        </w:rPr>
        <w:t>招标方式</w:t>
      </w:r>
      <w:bookmarkEnd w:id="486"/>
    </w:p>
    <w:p w14:paraId="01EC0821">
      <w:pPr>
        <w:spacing w:line="360" w:lineRule="auto"/>
        <w:ind w:firstLine="480"/>
        <w:rPr>
          <w:rFonts w:hint="eastAsia" w:ascii="宋体" w:hAnsi="宋体" w:cs="宋体"/>
          <w:color w:val="auto"/>
          <w:highlight w:val="none"/>
          <w:lang w:val="zh-CN"/>
        </w:rPr>
      </w:pPr>
      <w:r>
        <w:rPr>
          <w:rFonts w:hint="eastAsia" w:ascii="宋体" w:hAnsi="宋体" w:cs="宋体"/>
          <w:color w:val="auto"/>
          <w:highlight w:val="none"/>
          <w:lang w:val="zh-CN"/>
        </w:rPr>
        <w:t>如本次招标失败，招标人应在调整公告内容后重新组织招标；如项目经重新招标仍然失败的，可以依法变更招标方式。</w:t>
      </w:r>
    </w:p>
    <w:p w14:paraId="089EA0AA">
      <w:pPr>
        <w:spacing w:after="200" w:line="360" w:lineRule="auto"/>
        <w:ind w:left="0" w:leftChars="0" w:firstLine="0" w:firstLineChars="0"/>
        <w:jc w:val="center"/>
        <w:rPr>
          <w:rStyle w:val="66"/>
          <w:rFonts w:ascii="宋体" w:hAnsi="宋体" w:cs="宋体"/>
          <w:color w:val="auto"/>
          <w:sz w:val="32"/>
          <w:szCs w:val="32"/>
          <w:highlight w:val="none"/>
          <w:lang w:val="zh-TW" w:eastAsia="zh-TW"/>
        </w:rPr>
      </w:pPr>
      <w:r>
        <w:rPr>
          <w:rFonts w:hint="eastAsia" w:ascii="宋体" w:hAnsi="宋体" w:eastAsia="宋体" w:cs="宋体"/>
          <w:color w:val="auto"/>
          <w:sz w:val="32"/>
          <w:highlight w:val="none"/>
        </w:rPr>
        <w:br w:type="page"/>
      </w:r>
      <w:r>
        <w:rPr>
          <w:rStyle w:val="66"/>
          <w:rFonts w:hint="eastAsia" w:ascii="宋体" w:hAnsi="宋体" w:cs="宋体"/>
          <w:color w:val="auto"/>
          <w:sz w:val="32"/>
          <w:szCs w:val="32"/>
          <w:highlight w:val="none"/>
          <w:lang w:val="zh-TW"/>
        </w:rPr>
        <w:t>附件</w:t>
      </w:r>
      <w:r>
        <w:rPr>
          <w:rStyle w:val="66"/>
          <w:rFonts w:hint="eastAsia" w:ascii="宋体" w:hAnsi="宋体" w:eastAsia="方正书宋简体" w:cs="宋体"/>
          <w:color w:val="auto"/>
          <w:sz w:val="32"/>
          <w:szCs w:val="32"/>
          <w:highlight w:val="none"/>
          <w:lang w:val="en-US" w:eastAsia="zh-CN"/>
        </w:rPr>
        <w:t>A</w:t>
      </w:r>
      <w:r>
        <w:rPr>
          <w:rStyle w:val="66"/>
          <w:rFonts w:hint="eastAsia" w:ascii="宋体" w:hAnsi="宋体" w:cs="宋体"/>
          <w:color w:val="auto"/>
          <w:sz w:val="32"/>
          <w:szCs w:val="32"/>
          <w:highlight w:val="none"/>
        </w:rPr>
        <w:t>：否决投标条款</w:t>
      </w:r>
    </w:p>
    <w:tbl>
      <w:tblPr>
        <w:tblStyle w:val="52"/>
        <w:tblW w:w="9953" w:type="dxa"/>
        <w:tblInd w:w="-106" w:type="dxa"/>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Layout w:type="fixed"/>
        <w:tblCellMar>
          <w:top w:w="0" w:type="dxa"/>
          <w:left w:w="108" w:type="dxa"/>
          <w:bottom w:w="0" w:type="dxa"/>
          <w:right w:w="108" w:type="dxa"/>
        </w:tblCellMar>
      </w:tblPr>
      <w:tblGrid>
        <w:gridCol w:w="9953"/>
      </w:tblGrid>
      <w:tr w14:paraId="2B2D2576">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108" w:type="dxa"/>
            <w:bottom w:w="0" w:type="dxa"/>
            <w:right w:w="108" w:type="dxa"/>
          </w:tblCellMar>
        </w:tblPrEx>
        <w:trPr>
          <w:trHeight w:val="8287" w:hRule="atLeast"/>
        </w:trPr>
        <w:tc>
          <w:tcPr>
            <w:tcW w:w="9953" w:type="dxa"/>
            <w:tcBorders>
              <w:tl2br w:val="nil"/>
              <w:tr2bl w:val="nil"/>
            </w:tcBorders>
          </w:tcPr>
          <w:p w14:paraId="2F03558A">
            <w:pPr>
              <w:spacing w:after="200"/>
              <w:rPr>
                <w:rFonts w:ascii="宋体" w:hAnsi="宋体" w:cs="宋体"/>
                <w:color w:val="auto"/>
                <w:highlight w:val="none"/>
              </w:rPr>
            </w:pPr>
            <w:r>
              <w:rPr>
                <w:rFonts w:hint="eastAsia" w:ascii="宋体" w:hAnsi="宋体" w:cs="宋体"/>
                <w:color w:val="auto"/>
                <w:highlight w:val="none"/>
              </w:rPr>
              <w:t>1、投标人资格评审、符合性评审、详细评审有一项不符合评审标准的。</w:t>
            </w:r>
          </w:p>
          <w:p w14:paraId="2322B6B2">
            <w:pPr>
              <w:tabs>
                <w:tab w:val="left" w:pos="360"/>
              </w:tabs>
              <w:spacing w:after="200"/>
              <w:rPr>
                <w:rFonts w:ascii="宋体" w:hAnsi="宋体" w:cs="宋体"/>
                <w:color w:val="auto"/>
                <w:highlight w:val="none"/>
              </w:rPr>
            </w:pPr>
            <w:r>
              <w:rPr>
                <w:rFonts w:hint="eastAsia" w:ascii="宋体" w:hAnsi="宋体" w:cs="宋体"/>
                <w:color w:val="auto"/>
                <w:highlight w:val="none"/>
              </w:rPr>
              <w:t>2、投标人拒不按照评标委员会要求进行澄清、说明或补正的。</w:t>
            </w:r>
          </w:p>
          <w:p w14:paraId="4A0454D7">
            <w:pPr>
              <w:spacing w:after="200"/>
              <w:rPr>
                <w:rFonts w:ascii="宋体" w:hAnsi="宋体" w:cs="宋体"/>
                <w:color w:val="auto"/>
                <w:highlight w:val="none"/>
              </w:rPr>
            </w:pPr>
            <w:r>
              <w:rPr>
                <w:rFonts w:hint="eastAsia" w:ascii="宋体" w:hAnsi="宋体" w:cs="宋体"/>
                <w:color w:val="auto"/>
                <w:highlight w:val="none"/>
              </w:rPr>
              <w:t>3、投标人有串通投标或弄虚作假或有其他违法行为的。串通投标行为是指：</w:t>
            </w:r>
          </w:p>
          <w:p w14:paraId="77C6E54A">
            <w:pPr>
              <w:spacing w:after="200"/>
              <w:ind w:firstLine="440" w:firstLineChars="200"/>
              <w:rPr>
                <w:rFonts w:ascii="宋体" w:hAnsi="宋体" w:cs="宋体"/>
                <w:color w:val="auto"/>
                <w:highlight w:val="none"/>
              </w:rPr>
            </w:pPr>
            <w:r>
              <w:rPr>
                <w:rFonts w:hint="eastAsia" w:ascii="宋体" w:hAnsi="宋体" w:cs="宋体"/>
                <w:color w:val="auto"/>
                <w:highlight w:val="none"/>
              </w:rPr>
              <w:t>a不同投标人的投标文件内容存在非正常一致的；</w:t>
            </w:r>
          </w:p>
          <w:p w14:paraId="6528B299">
            <w:pPr>
              <w:spacing w:after="200"/>
              <w:ind w:firstLine="440" w:firstLineChars="200"/>
              <w:rPr>
                <w:rFonts w:ascii="宋体" w:hAnsi="宋体" w:cs="宋体"/>
                <w:color w:val="auto"/>
                <w:highlight w:val="none"/>
              </w:rPr>
            </w:pPr>
            <w:r>
              <w:rPr>
                <w:rFonts w:hint="eastAsia" w:ascii="宋体" w:hAnsi="宋体" w:cs="宋体"/>
                <w:color w:val="auto"/>
                <w:highlight w:val="none"/>
              </w:rPr>
              <w:t>b不同投标人的投标报价或报价组成异常一致或呈规律性变化的；</w:t>
            </w:r>
          </w:p>
          <w:p w14:paraId="6982ED1C">
            <w:pPr>
              <w:spacing w:after="200"/>
              <w:ind w:firstLine="440" w:firstLineChars="200"/>
              <w:rPr>
                <w:rFonts w:ascii="宋体" w:hAnsi="宋体" w:cs="宋体"/>
                <w:color w:val="auto"/>
                <w:highlight w:val="none"/>
              </w:rPr>
            </w:pPr>
            <w:r>
              <w:rPr>
                <w:rFonts w:hint="eastAsia" w:ascii="宋体" w:hAnsi="宋体" w:cs="宋体"/>
                <w:color w:val="auto"/>
                <w:highlight w:val="none"/>
              </w:rPr>
              <w:t>c不同投标人委托同一人投标或与同一人联合投标的；</w:t>
            </w:r>
          </w:p>
          <w:p w14:paraId="2FABFA0A">
            <w:pPr>
              <w:spacing w:after="200"/>
              <w:ind w:firstLine="440" w:firstLineChars="200"/>
              <w:rPr>
                <w:rFonts w:ascii="宋体" w:hAnsi="宋体" w:cs="宋体"/>
                <w:color w:val="auto"/>
                <w:highlight w:val="none"/>
              </w:rPr>
            </w:pPr>
            <w:r>
              <w:rPr>
                <w:rFonts w:hint="eastAsia" w:ascii="宋体" w:hAnsi="宋体" w:cs="宋体"/>
                <w:color w:val="auto"/>
                <w:highlight w:val="none"/>
              </w:rPr>
              <w:t>d不同投标人的投标文件载明的项目管理人员出现同一人的；</w:t>
            </w:r>
          </w:p>
          <w:p w14:paraId="2236FC15">
            <w:pPr>
              <w:spacing w:after="200"/>
              <w:ind w:firstLine="440" w:firstLineChars="200"/>
              <w:rPr>
                <w:rFonts w:ascii="宋体" w:hAnsi="宋体" w:cs="宋体"/>
                <w:color w:val="auto"/>
                <w:highlight w:val="none"/>
              </w:rPr>
            </w:pPr>
            <w:r>
              <w:rPr>
                <w:rFonts w:hint="eastAsia" w:ascii="宋体" w:hAnsi="宋体" w:cs="宋体"/>
                <w:color w:val="auto"/>
                <w:highlight w:val="none"/>
              </w:rPr>
              <w:t>e不同投标人的投标文件相互混装的；</w:t>
            </w:r>
          </w:p>
          <w:p w14:paraId="34F8FDF9">
            <w:pPr>
              <w:spacing w:after="200"/>
              <w:ind w:firstLine="440" w:firstLineChars="200"/>
              <w:rPr>
                <w:rFonts w:ascii="宋体" w:hAnsi="宋体" w:cs="宋体"/>
                <w:color w:val="auto"/>
                <w:highlight w:val="none"/>
              </w:rPr>
            </w:pPr>
            <w:r>
              <w:rPr>
                <w:rFonts w:hint="eastAsia" w:ascii="宋体" w:hAnsi="宋体" w:cs="宋体"/>
                <w:color w:val="auto"/>
                <w:highlight w:val="none"/>
              </w:rPr>
              <w:t>f不同投标人的投标文件由同一单位或同一人编制的；</w:t>
            </w:r>
          </w:p>
          <w:p w14:paraId="27281F0C">
            <w:pPr>
              <w:spacing w:after="200"/>
              <w:ind w:firstLine="440" w:firstLineChars="200"/>
              <w:rPr>
                <w:rFonts w:ascii="宋体" w:hAnsi="宋体" w:cs="宋体"/>
                <w:color w:val="auto"/>
                <w:highlight w:val="none"/>
              </w:rPr>
            </w:pPr>
            <w:r>
              <w:rPr>
                <w:rFonts w:hint="eastAsia" w:ascii="宋体" w:hAnsi="宋体" w:cs="宋体"/>
                <w:color w:val="auto"/>
                <w:highlight w:val="none"/>
              </w:rPr>
              <w:t>g不同投标人使用同一人或企业资金提交投标保证金的；</w:t>
            </w:r>
          </w:p>
          <w:p w14:paraId="46671455">
            <w:pPr>
              <w:spacing w:after="200"/>
              <w:ind w:firstLine="440" w:firstLineChars="200"/>
              <w:rPr>
                <w:rFonts w:ascii="宋体" w:hAnsi="宋体" w:cs="宋体"/>
                <w:color w:val="auto"/>
                <w:highlight w:val="none"/>
              </w:rPr>
            </w:pPr>
            <w:r>
              <w:rPr>
                <w:rFonts w:hint="eastAsia" w:ascii="宋体" w:hAnsi="宋体" w:cs="宋体"/>
                <w:color w:val="auto"/>
                <w:highlight w:val="none"/>
              </w:rPr>
              <w:t>h不同投标人聘请同一人或同一中介机构为其投标提供技术或经济咨询服务的。</w:t>
            </w:r>
          </w:p>
          <w:p w14:paraId="5BFDF723">
            <w:pPr>
              <w:tabs>
                <w:tab w:val="left" w:pos="360"/>
              </w:tabs>
              <w:spacing w:after="200"/>
              <w:rPr>
                <w:rFonts w:ascii="宋体" w:hAnsi="宋体" w:cs="宋体"/>
                <w:color w:val="auto"/>
                <w:highlight w:val="none"/>
              </w:rPr>
            </w:pPr>
            <w:r>
              <w:rPr>
                <w:rFonts w:hint="eastAsia" w:ascii="宋体" w:hAnsi="宋体" w:cs="宋体"/>
                <w:color w:val="auto"/>
                <w:highlight w:val="none"/>
              </w:rPr>
              <w:t>4、未按招标文件规定的格式及要求填写或编制，实质性内容不全或关键字迹模糊、无法辨认的；</w:t>
            </w:r>
          </w:p>
          <w:p w14:paraId="59890083">
            <w:pPr>
              <w:tabs>
                <w:tab w:val="left" w:pos="360"/>
              </w:tabs>
              <w:spacing w:after="200"/>
              <w:rPr>
                <w:rFonts w:ascii="宋体" w:hAnsi="宋体" w:cs="宋体"/>
                <w:strike/>
                <w:color w:val="auto"/>
                <w:highlight w:val="none"/>
              </w:rPr>
            </w:pPr>
            <w:r>
              <w:rPr>
                <w:rFonts w:hint="eastAsia" w:ascii="宋体" w:hAnsi="宋体" w:cs="宋体"/>
                <w:color w:val="auto"/>
                <w:highlight w:val="none"/>
              </w:rPr>
              <w:t>5、投标人递交两份或多份内容不同的投标文件，投标文件中对同一招标项目报有两个或多个报价，且未声明哪一个有效的；</w:t>
            </w:r>
          </w:p>
          <w:p w14:paraId="64B20305">
            <w:pPr>
              <w:tabs>
                <w:tab w:val="left" w:pos="360"/>
              </w:tabs>
              <w:spacing w:after="200"/>
              <w:rPr>
                <w:rFonts w:ascii="宋体" w:hAnsi="宋体" w:cs="宋体"/>
                <w:color w:val="auto"/>
                <w:highlight w:val="none"/>
              </w:rPr>
            </w:pPr>
            <w:r>
              <w:rPr>
                <w:rFonts w:hint="eastAsia" w:ascii="宋体" w:hAnsi="宋体" w:cs="宋体"/>
                <w:color w:val="auto"/>
                <w:highlight w:val="none"/>
              </w:rPr>
              <w:t>6、投标人在投标文件中电子签章或电子签名的名称或人员与其他投标人在投标文件中的电子签章或电子签名的名称或人员为同一人的；</w:t>
            </w:r>
          </w:p>
          <w:p w14:paraId="0283B78E">
            <w:pPr>
              <w:tabs>
                <w:tab w:val="left" w:pos="360"/>
              </w:tabs>
              <w:spacing w:after="200"/>
              <w:rPr>
                <w:rFonts w:ascii="宋体" w:hAnsi="宋体" w:cs="宋体"/>
                <w:color w:val="auto"/>
                <w:highlight w:val="none"/>
              </w:rPr>
            </w:pPr>
            <w:r>
              <w:rPr>
                <w:rFonts w:hint="eastAsia" w:ascii="宋体" w:hAnsi="宋体" w:cs="宋体"/>
                <w:color w:val="auto"/>
                <w:highlight w:val="none"/>
              </w:rPr>
              <w:t>7、投标文件中存在招标人不能接受的其</w:t>
            </w:r>
            <w:r>
              <w:rPr>
                <w:rFonts w:hint="eastAsia" w:ascii="宋体" w:hAnsi="宋体" w:cs="宋体"/>
                <w:color w:val="auto"/>
                <w:highlight w:val="none"/>
                <w:lang w:val="en-US" w:eastAsia="zh-CN"/>
              </w:rPr>
              <w:t>他</w:t>
            </w:r>
            <w:r>
              <w:rPr>
                <w:rFonts w:hint="eastAsia" w:ascii="宋体" w:hAnsi="宋体" w:cs="宋体"/>
                <w:color w:val="auto"/>
                <w:highlight w:val="none"/>
              </w:rPr>
              <w:t>实质性条件。</w:t>
            </w:r>
          </w:p>
          <w:p w14:paraId="5D6ABDE2">
            <w:pPr>
              <w:tabs>
                <w:tab w:val="left" w:pos="360"/>
              </w:tabs>
              <w:spacing w:after="200"/>
              <w:rPr>
                <w:rFonts w:ascii="宋体" w:hAnsi="宋体" w:cs="宋体"/>
                <w:color w:val="auto"/>
                <w:highlight w:val="none"/>
              </w:rPr>
            </w:pPr>
            <w:r>
              <w:rPr>
                <w:rFonts w:hint="eastAsia" w:ascii="宋体" w:hAnsi="宋体" w:cs="宋体"/>
                <w:color w:val="auto"/>
                <w:highlight w:val="none"/>
              </w:rPr>
              <w:t>8、法律、法规规定的其它情形。</w:t>
            </w:r>
          </w:p>
        </w:tc>
      </w:tr>
    </w:tbl>
    <w:p w14:paraId="630FE69D">
      <w:pPr>
        <w:pStyle w:val="2"/>
        <w:numPr>
          <w:ilvl w:val="0"/>
          <w:numId w:val="0"/>
        </w:numPr>
        <w:pBdr>
          <w:top w:val="none" w:color="auto" w:sz="0" w:space="1"/>
          <w:left w:val="none" w:color="auto" w:sz="0" w:space="4"/>
          <w:bottom w:val="none" w:color="auto" w:sz="0" w:space="0"/>
          <w:right w:val="none" w:color="auto" w:sz="0" w:space="4"/>
        </w:pBdr>
        <w:spacing w:before="0" w:after="0" w:line="360" w:lineRule="auto"/>
        <w:jc w:val="center"/>
        <w:rPr>
          <w:rFonts w:hint="eastAsia" w:ascii="宋体" w:hAnsi="宋体" w:eastAsia="宋体" w:cs="宋体"/>
          <w:color w:val="auto"/>
          <w:sz w:val="32"/>
          <w:highlight w:val="none"/>
        </w:rPr>
        <w:sectPr>
          <w:headerReference r:id="rId5" w:type="first"/>
          <w:footerReference r:id="rId6" w:type="default"/>
          <w:pgSz w:w="11907" w:h="16840"/>
          <w:pgMar w:top="1440" w:right="1080" w:bottom="1440" w:left="1080" w:header="851" w:footer="992" w:gutter="0"/>
          <w:pgNumType w:fmt="decimal"/>
          <w:cols w:space="708" w:num="1"/>
          <w:titlePg/>
        </w:sectPr>
      </w:pPr>
    </w:p>
    <w:p w14:paraId="1E3BAE93">
      <w:pPr>
        <w:pStyle w:val="2"/>
        <w:numPr>
          <w:ilvl w:val="0"/>
          <w:numId w:val="0"/>
        </w:numPr>
        <w:pBdr>
          <w:bottom w:val="none" w:color="auto" w:sz="0" w:space="0"/>
        </w:pBdr>
        <w:spacing w:before="0" w:after="0" w:line="360" w:lineRule="auto"/>
        <w:ind w:firstLine="2160" w:firstLineChars="600"/>
        <w:jc w:val="both"/>
        <w:rPr>
          <w:rFonts w:hint="eastAsia" w:ascii="宋体" w:hAnsi="宋体" w:eastAsia="宋体" w:cs="宋体"/>
          <w:color w:val="auto"/>
          <w:sz w:val="36"/>
          <w:szCs w:val="36"/>
          <w:highlight w:val="none"/>
        </w:rPr>
      </w:pPr>
      <w:bookmarkStart w:id="487" w:name="_Toc4733"/>
      <w:bookmarkStart w:id="488" w:name="_Toc25305"/>
      <w:bookmarkStart w:id="489" w:name="_Toc26712"/>
      <w:r>
        <w:rPr>
          <w:rFonts w:hint="eastAsia" w:ascii="宋体" w:hAnsi="宋体" w:eastAsia="宋体" w:cs="宋体"/>
          <w:color w:val="auto"/>
          <w:sz w:val="36"/>
          <w:szCs w:val="36"/>
          <w:highlight w:val="none"/>
          <w:lang w:eastAsia="zh-CN"/>
        </w:rPr>
        <w:t>第四章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合同条款及格式</w:t>
      </w:r>
      <w:bookmarkEnd w:id="275"/>
      <w:bookmarkEnd w:id="487"/>
      <w:bookmarkEnd w:id="488"/>
      <w:bookmarkEnd w:id="489"/>
    </w:p>
    <w:p w14:paraId="332A72C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bookmarkStart w:id="490" w:name="_Toc149418806"/>
    </w:p>
    <w:p w14:paraId="2F2CE15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663D71C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3CEA4B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3E0F187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jc w:val="center"/>
        <w:rPr>
          <w:rFonts w:hint="eastAsia" w:ascii="宋体" w:hAnsi="宋体" w:eastAsia="宋体" w:cs="宋体"/>
          <w:caps w:val="0"/>
          <w:smallCaps w:val="0"/>
          <w:color w:val="auto"/>
          <w:highlight w:val="none"/>
        </w:rPr>
      </w:pPr>
    </w:p>
    <w:p w14:paraId="37C428E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4BE678AF">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52"/>
          <w:szCs w:val="52"/>
          <w:highlight w:val="none"/>
        </w:rPr>
      </w:pPr>
      <w:r>
        <w:rPr>
          <w:rFonts w:hint="eastAsia" w:ascii="宋体" w:hAnsi="宋体" w:eastAsia="宋体" w:cs="宋体"/>
          <w:caps w:val="0"/>
          <w:smallCaps w:val="0"/>
          <w:color w:val="auto"/>
          <w:sz w:val="52"/>
          <w:szCs w:val="52"/>
          <w:highlight w:val="none"/>
        </w:rPr>
        <w:t>政府和社会资本合作项目特许经营协议（编制）范本</w:t>
      </w:r>
    </w:p>
    <w:p w14:paraId="43BF8A44">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r>
        <w:rPr>
          <w:rFonts w:hint="eastAsia" w:ascii="宋体" w:hAnsi="宋体" w:eastAsia="宋体" w:cs="宋体"/>
          <w:caps w:val="0"/>
          <w:smallCaps w:val="0"/>
          <w:color w:val="auto"/>
          <w:sz w:val="32"/>
          <w:szCs w:val="32"/>
          <w:highlight w:val="none"/>
        </w:rPr>
        <w:t>（</w:t>
      </w:r>
      <w:r>
        <w:rPr>
          <w:rFonts w:hint="eastAsia" w:ascii="宋体" w:hAnsi="宋体" w:eastAsia="宋体" w:cs="宋体"/>
          <w:caps w:val="0"/>
          <w:smallCaps w:val="0"/>
          <w:color w:val="auto"/>
          <w:sz w:val="32"/>
          <w:szCs w:val="32"/>
          <w:highlight w:val="none"/>
          <w:lang w:val="en-US" w:eastAsia="zh-CN"/>
        </w:rPr>
        <w:t>2024年试行版</w:t>
      </w:r>
      <w:r>
        <w:rPr>
          <w:rFonts w:hint="eastAsia" w:ascii="宋体" w:hAnsi="宋体" w:eastAsia="宋体" w:cs="宋体"/>
          <w:caps w:val="0"/>
          <w:smallCaps w:val="0"/>
          <w:color w:val="auto"/>
          <w:sz w:val="32"/>
          <w:szCs w:val="32"/>
          <w:highlight w:val="none"/>
        </w:rPr>
        <w:t>）</w:t>
      </w:r>
    </w:p>
    <w:p w14:paraId="4BB76DF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471BFB81">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35DE13B8">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5D01064C">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084DEB57">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7486BE40">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5190F86B">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69362C9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3847B483">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rPr>
      </w:pPr>
    </w:p>
    <w:p w14:paraId="1308DC87">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sz w:val="32"/>
          <w:szCs w:val="32"/>
          <w:highlight w:val="none"/>
          <w:lang w:eastAsia="zh-CN"/>
        </w:rPr>
      </w:pPr>
    </w:p>
    <w:p w14:paraId="39791C0C">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left"/>
        <w:rPr>
          <w:rFonts w:hint="eastAsia" w:ascii="宋体" w:hAnsi="宋体" w:eastAsia="宋体" w:cs="宋体"/>
          <w:b/>
          <w:bCs/>
          <w:caps w:val="0"/>
          <w:smallCaps w:val="0"/>
          <w:color w:val="auto"/>
          <w:highlight w:val="none"/>
        </w:rPr>
      </w:pPr>
    </w:p>
    <w:p w14:paraId="2D057760">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left"/>
        <w:rPr>
          <w:rFonts w:hint="eastAsia" w:ascii="宋体" w:hAnsi="宋体" w:eastAsia="宋体" w:cs="宋体"/>
          <w:caps w:val="0"/>
          <w:smallCaps w:val="0"/>
          <w:color w:val="auto"/>
          <w:highlight w:val="none"/>
        </w:rPr>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08" w:num="1"/>
          <w:docGrid w:type="linesAndChars" w:linePitch="312" w:charSpace="0"/>
        </w:sectPr>
      </w:pPr>
    </w:p>
    <w:p w14:paraId="0A7B2135">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32"/>
          <w:szCs w:val="32"/>
          <w:highlight w:val="none"/>
          <w:lang w:val="zh-CN"/>
        </w:rPr>
      </w:pPr>
    </w:p>
    <w:p w14:paraId="42BA72C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lang w:val="zh-CN"/>
        </w:rPr>
        <w:t>目录</w:t>
      </w:r>
    </w:p>
    <w:p w14:paraId="0C70C507">
      <w:pPr>
        <w:pStyle w:val="45"/>
        <w:tabs>
          <w:tab w:val="right" w:leader="dot" w:pos="8674"/>
        </w:tabs>
        <w:spacing w:line="360" w:lineRule="auto"/>
        <w:ind w:left="0" w:leftChars="0" w:firstLine="36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zh-CN"/>
        </w:rPr>
        <w:fldChar w:fldCharType="begin"/>
      </w:r>
      <w:r>
        <w:rPr>
          <w:rFonts w:hint="eastAsia" w:ascii="宋体" w:hAnsi="宋体" w:eastAsia="宋体" w:cs="宋体"/>
          <w:caps w:val="0"/>
          <w:smallCaps w:val="0"/>
          <w:color w:val="auto"/>
          <w:sz w:val="21"/>
          <w:szCs w:val="21"/>
          <w:highlight w:val="none"/>
          <w:lang w:val="zh-CN"/>
        </w:rPr>
        <w:instrText xml:space="preserve"> TOC \o "1-2" \h \z \u </w:instrText>
      </w:r>
      <w:r>
        <w:rPr>
          <w:rFonts w:hint="eastAsia" w:ascii="宋体" w:hAnsi="宋体" w:eastAsia="宋体" w:cs="宋体"/>
          <w:caps w:val="0"/>
          <w:smallCaps w:val="0"/>
          <w:color w:val="auto"/>
          <w:sz w:val="21"/>
          <w:szCs w:val="21"/>
          <w:highlight w:val="none"/>
          <w:lang w:val="zh-CN"/>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"_Toc1976703705" </w:instrText>
      </w:r>
      <w:r>
        <w:rPr>
          <w:rFonts w:hint="eastAsia" w:ascii="宋体" w:hAnsi="宋体" w:eastAsia="宋体" w:cs="宋体"/>
          <w:sz w:val="21"/>
          <w:szCs w:val="21"/>
        </w:rPr>
        <w:fldChar w:fldCharType="separate"/>
      </w:r>
      <w:r>
        <w:rPr>
          <w:rFonts w:hint="eastAsia" w:ascii="宋体" w:hAnsi="宋体" w:eastAsia="宋体" w:cs="宋体"/>
          <w:bCs w:val="0"/>
          <w:caps w:val="0"/>
          <w:smallCaps w:val="0"/>
          <w:color w:val="auto"/>
          <w:sz w:val="21"/>
          <w:szCs w:val="21"/>
          <w:highlight w:val="none"/>
        </w:rPr>
        <w:t>一、特许经营协议体系</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_Toc1976703705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7425539">
      <w:pPr>
        <w:pStyle w:val="45"/>
        <w:tabs>
          <w:tab w:val="right" w:leader="dot" w:pos="8674"/>
        </w:tabs>
        <w:spacing w:line="360" w:lineRule="auto"/>
        <w:ind w:left="0" w:leftChars="0" w:firstLine="36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"_Toc279619698" </w:instrText>
      </w:r>
      <w:r>
        <w:rPr>
          <w:rFonts w:hint="eastAsia" w:ascii="宋体" w:hAnsi="宋体" w:eastAsia="宋体" w:cs="宋体"/>
          <w:sz w:val="21"/>
          <w:szCs w:val="21"/>
        </w:rPr>
        <w:fldChar w:fldCharType="separate"/>
      </w:r>
      <w:r>
        <w:rPr>
          <w:rFonts w:hint="eastAsia" w:ascii="宋体" w:hAnsi="宋体" w:eastAsia="宋体" w:cs="宋体"/>
          <w:bCs w:val="0"/>
          <w:caps w:val="0"/>
          <w:smallCaps w:val="0"/>
          <w:color w:val="auto"/>
          <w:sz w:val="21"/>
          <w:szCs w:val="21"/>
          <w:highlight w:val="none"/>
        </w:rPr>
        <w:t>二、《范本》使用说明</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_Toc279619698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E2A92DA">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"_Toc1933944826"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第一章总则</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_Toc1933944826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D0FCC0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"_Toc136070550"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第1条</w:t>
      </w:r>
      <w:r>
        <w:rPr>
          <w:rFonts w:hint="eastAsia" w:ascii="宋体" w:hAnsi="宋体" w:eastAsia="宋体" w:cs="宋体"/>
          <w:bCs/>
          <w:caps w:val="0"/>
          <w:smallCaps w:val="0"/>
          <w:color w:val="auto"/>
          <w:sz w:val="21"/>
          <w:szCs w:val="21"/>
          <w:highlight w:val="none"/>
        </w:rPr>
        <w:t>术语定义和解释</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_Toc136070550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698DEE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"_Toc1257014914"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第2条</w:t>
      </w:r>
      <w:r>
        <w:rPr>
          <w:rFonts w:hint="eastAsia" w:ascii="宋体" w:hAnsi="宋体" w:eastAsia="宋体" w:cs="宋体"/>
          <w:bCs/>
          <w:caps w:val="0"/>
          <w:smallCaps w:val="0"/>
          <w:color w:val="auto"/>
          <w:sz w:val="21"/>
          <w:szCs w:val="21"/>
          <w:highlight w:val="none"/>
        </w:rPr>
        <w:t>协议目的</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_Toc1257014914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7D98AD2">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"_Toc206169440"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第3条</w:t>
      </w:r>
      <w:r>
        <w:rPr>
          <w:rFonts w:hint="eastAsia" w:ascii="宋体" w:hAnsi="宋体" w:eastAsia="宋体" w:cs="宋体"/>
          <w:bCs/>
          <w:caps w:val="0"/>
          <w:smallCaps w:val="0"/>
          <w:color w:val="auto"/>
          <w:sz w:val="21"/>
          <w:szCs w:val="21"/>
          <w:highlight w:val="none"/>
        </w:rPr>
        <w:t>声明和保证</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_Toc206169440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48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DD527B6">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"_Toc85012562"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第4条</w:t>
      </w:r>
      <w:r>
        <w:rPr>
          <w:rFonts w:hint="eastAsia" w:ascii="宋体" w:hAnsi="宋体" w:eastAsia="宋体" w:cs="宋体"/>
          <w:bCs/>
          <w:caps w:val="0"/>
          <w:smallCaps w:val="0"/>
          <w:color w:val="auto"/>
          <w:sz w:val="21"/>
          <w:szCs w:val="21"/>
          <w:highlight w:val="none"/>
        </w:rPr>
        <w:t>协议生效条件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_Toc85012562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6C0F8F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"_Toc1492560342"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第5条</w:t>
      </w:r>
      <w:r>
        <w:rPr>
          <w:rFonts w:hint="eastAsia" w:ascii="宋体" w:hAnsi="宋体" w:eastAsia="宋体" w:cs="宋体"/>
          <w:bCs/>
          <w:caps w:val="0"/>
          <w:smallCaps w:val="0"/>
          <w:color w:val="auto"/>
          <w:sz w:val="21"/>
          <w:szCs w:val="21"/>
          <w:highlight w:val="none"/>
        </w:rPr>
        <w:t>协议构成及优先次序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_Toc1492560342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1A303FA">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"_Toc623091333"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lang w:val="en-US" w:eastAsia="zh-CN"/>
        </w:rPr>
        <w:t>第二章协议主体及主要权利义务</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_Toc623091333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5E0E749">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"_Toc436282778"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第6条</w:t>
      </w:r>
      <w:r>
        <w:rPr>
          <w:rFonts w:hint="eastAsia" w:ascii="宋体" w:hAnsi="宋体" w:eastAsia="宋体" w:cs="宋体"/>
          <w:bCs/>
          <w:caps w:val="0"/>
          <w:smallCaps w:val="0"/>
          <w:color w:val="auto"/>
          <w:sz w:val="21"/>
          <w:szCs w:val="21"/>
          <w:highlight w:val="none"/>
        </w:rPr>
        <w:t>甲方的主体资格和主要权利义务</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_Toc436282778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38164DE">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"_Toc602512664"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第7条</w:t>
      </w:r>
      <w:r>
        <w:rPr>
          <w:rFonts w:hint="eastAsia" w:ascii="宋体" w:hAnsi="宋体" w:eastAsia="宋体" w:cs="宋体"/>
          <w:bCs/>
          <w:caps w:val="0"/>
          <w:smallCaps w:val="0"/>
          <w:color w:val="auto"/>
          <w:sz w:val="21"/>
          <w:szCs w:val="21"/>
          <w:highlight w:val="none"/>
        </w:rPr>
        <w:t>乙方的主体资格和主要权利义务</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_Toc602512664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B5F0CD1">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"_Toc2016267608"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第三章特许经营授权及资产权属</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_Toc2016267608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A71BE1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"_Toc47260053"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第8条</w:t>
      </w:r>
      <w:r>
        <w:rPr>
          <w:rFonts w:hint="eastAsia" w:ascii="宋体" w:hAnsi="宋体" w:eastAsia="宋体" w:cs="宋体"/>
          <w:bCs/>
          <w:caps w:val="0"/>
          <w:smallCaps w:val="0"/>
          <w:color w:val="auto"/>
          <w:sz w:val="21"/>
          <w:szCs w:val="21"/>
          <w:highlight w:val="none"/>
        </w:rPr>
        <w:t>特许经营授予程序及遵守</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_Toc47260053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2BA30C1">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"_Toc531939859"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第9条</w:t>
      </w:r>
      <w:r>
        <w:rPr>
          <w:rFonts w:hint="eastAsia" w:ascii="宋体" w:hAnsi="宋体" w:eastAsia="宋体" w:cs="宋体"/>
          <w:bCs/>
          <w:caps w:val="0"/>
          <w:smallCaps w:val="0"/>
          <w:color w:val="auto"/>
          <w:sz w:val="21"/>
          <w:szCs w:val="21"/>
          <w:highlight w:val="none"/>
        </w:rPr>
        <w:t>特许经营授权内容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_Toc531939859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DDF343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"_Toc126518596"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第10条</w:t>
      </w:r>
      <w:r>
        <w:rPr>
          <w:rFonts w:hint="eastAsia" w:ascii="宋体" w:hAnsi="宋体" w:eastAsia="宋体" w:cs="宋体"/>
          <w:bCs/>
          <w:caps w:val="0"/>
          <w:smallCaps w:val="0"/>
          <w:color w:val="auto"/>
          <w:sz w:val="21"/>
          <w:szCs w:val="21"/>
          <w:highlight w:val="none"/>
        </w:rPr>
        <w:t>特许经营实施方式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_Toc126518596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5A26B70">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"_Toc1016063618"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第11条</w:t>
      </w:r>
      <w:r>
        <w:rPr>
          <w:rFonts w:hint="eastAsia" w:ascii="宋体" w:hAnsi="宋体" w:eastAsia="宋体" w:cs="宋体"/>
          <w:bCs/>
          <w:caps w:val="0"/>
          <w:smallCaps w:val="0"/>
          <w:color w:val="auto"/>
          <w:sz w:val="21"/>
          <w:szCs w:val="21"/>
          <w:highlight w:val="none"/>
        </w:rPr>
        <w:t>投资建设运营维护内容服务区域或范围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_Toc1016063618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44ABFF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"_Toc1721062062"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第12条</w:t>
      </w:r>
      <w:r>
        <w:rPr>
          <w:rFonts w:hint="eastAsia" w:ascii="宋体" w:hAnsi="宋体" w:eastAsia="宋体" w:cs="宋体"/>
          <w:bCs/>
          <w:caps w:val="0"/>
          <w:smallCaps w:val="0"/>
          <w:color w:val="auto"/>
          <w:sz w:val="21"/>
          <w:szCs w:val="21"/>
          <w:highlight w:val="none"/>
        </w:rPr>
        <w:t>特许经营期</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_Toc1721062062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7E7E50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"_Toc151719267"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第13条</w:t>
      </w:r>
      <w:r>
        <w:rPr>
          <w:rFonts w:hint="eastAsia" w:ascii="宋体" w:hAnsi="宋体" w:eastAsia="宋体" w:cs="宋体"/>
          <w:bCs/>
          <w:caps w:val="0"/>
          <w:smallCaps w:val="0"/>
          <w:color w:val="auto"/>
          <w:sz w:val="21"/>
          <w:szCs w:val="21"/>
          <w:highlight w:val="none"/>
        </w:rPr>
        <w:t>特许经营期届满终止后的优先权</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_Toc151719267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8F5970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"_Toc2080477534"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第14条</w:t>
      </w:r>
      <w:r>
        <w:rPr>
          <w:rFonts w:hint="eastAsia" w:ascii="宋体" w:hAnsi="宋体" w:eastAsia="宋体" w:cs="宋体"/>
          <w:bCs/>
          <w:caps w:val="0"/>
          <w:smallCaps w:val="0"/>
          <w:color w:val="auto"/>
          <w:sz w:val="21"/>
          <w:szCs w:val="21"/>
          <w:highlight w:val="none"/>
        </w:rPr>
        <w:t>特许经营排他性和竞争性项目</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_Toc2080477534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765BF67">
      <w:pPr>
        <w:pStyle w:val="45"/>
        <w:keepNext w:val="0"/>
        <w:keepLines w:val="0"/>
        <w:pageBreakBefore w:val="0"/>
        <w:widowControl w:val="0"/>
        <w:tabs>
          <w:tab w:val="right" w:leader="dot" w:pos="8674"/>
        </w:tabs>
        <w:kinsoku/>
        <w:wordWrap/>
        <w:overflowPunct/>
        <w:topLinePunct w:val="0"/>
        <w:autoSpaceDE/>
        <w:autoSpaceDN/>
        <w:bidi w:val="0"/>
        <w:adjustRightInd w:val="0"/>
        <w:snapToGrid w:val="0"/>
        <w:spacing w:line="360" w:lineRule="auto"/>
        <w:ind w:left="880" w:hanging="840" w:hangingChars="400"/>
        <w:textAlignment w:val="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"_Toc1410319224"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第15条</w:t>
      </w:r>
      <w:r>
        <w:rPr>
          <w:rFonts w:hint="eastAsia" w:ascii="宋体" w:hAnsi="宋体" w:eastAsia="宋体" w:cs="宋体"/>
          <w:bCs/>
          <w:caps w:val="0"/>
          <w:smallCaps w:val="0"/>
          <w:color w:val="auto"/>
          <w:sz w:val="21"/>
          <w:szCs w:val="21"/>
          <w:highlight w:val="none"/>
        </w:rPr>
        <w:t>项目公司的经营范围、注册资本、股东出资方式、出资比例、利益分配方式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_Toc1410319224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474D5A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"_Toc2136967723"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第16条</w:t>
      </w:r>
      <w:r>
        <w:rPr>
          <w:rFonts w:hint="eastAsia" w:ascii="宋体" w:hAnsi="宋体" w:eastAsia="宋体" w:cs="宋体"/>
          <w:bCs/>
          <w:caps w:val="0"/>
          <w:smallCaps w:val="0"/>
          <w:color w:val="auto"/>
          <w:sz w:val="21"/>
          <w:szCs w:val="21"/>
          <w:highlight w:val="none"/>
        </w:rPr>
        <w:t>对项目公司股权、经营行为的限制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_Toc2136967723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20257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"_Toc2008356854"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第17条</w:t>
      </w:r>
      <w:r>
        <w:rPr>
          <w:rFonts w:hint="eastAsia" w:ascii="宋体" w:hAnsi="宋体" w:eastAsia="宋体" w:cs="宋体"/>
          <w:bCs/>
          <w:caps w:val="0"/>
          <w:smallCaps w:val="0"/>
          <w:color w:val="auto"/>
          <w:sz w:val="21"/>
          <w:szCs w:val="21"/>
          <w:highlight w:val="none"/>
        </w:rPr>
        <w:t>项目资产与权属</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_Toc2008356854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2AF1E2B">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"_Toc1747435911"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第18条</w:t>
      </w:r>
      <w:r>
        <w:rPr>
          <w:rFonts w:hint="eastAsia" w:ascii="宋体" w:hAnsi="宋体" w:eastAsia="宋体" w:cs="宋体"/>
          <w:bCs/>
          <w:caps w:val="0"/>
          <w:smallCaps w:val="0"/>
          <w:color w:val="auto"/>
          <w:sz w:val="21"/>
          <w:szCs w:val="21"/>
          <w:highlight w:val="none"/>
        </w:rPr>
        <w:t>用地获取和使用权利</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_Toc1747435911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3B86B72">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"_Toc25734307"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第19条</w:t>
      </w:r>
      <w:r>
        <w:rPr>
          <w:rFonts w:hint="eastAsia" w:ascii="宋体" w:hAnsi="宋体" w:eastAsia="宋体" w:cs="宋体"/>
          <w:bCs/>
          <w:caps w:val="0"/>
          <w:smallCaps w:val="0"/>
          <w:color w:val="auto"/>
          <w:sz w:val="21"/>
          <w:szCs w:val="21"/>
          <w:highlight w:val="none"/>
        </w:rPr>
        <w:t>履约担保</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_Toc25734307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39E91E0">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"_Toc1843206686"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第20条</w:t>
      </w:r>
      <w:r>
        <w:rPr>
          <w:rFonts w:hint="eastAsia" w:ascii="宋体" w:hAnsi="宋体" w:eastAsia="宋体" w:cs="宋体"/>
          <w:bCs/>
          <w:caps w:val="0"/>
          <w:smallCaps w:val="0"/>
          <w:color w:val="auto"/>
          <w:sz w:val="21"/>
          <w:szCs w:val="21"/>
          <w:highlight w:val="none"/>
        </w:rPr>
        <w:t>特许经营协议履行情况书面报告</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_Toc1843206686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59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0BDABCB">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"_Toc265447547"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第四章项目投资计划及资金筹措</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_Toc265447547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749F9F6">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"_Toc1373190086"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第21条</w:t>
      </w:r>
      <w:r>
        <w:rPr>
          <w:rFonts w:hint="eastAsia" w:ascii="宋体" w:hAnsi="宋体" w:eastAsia="宋体" w:cs="宋体"/>
          <w:bCs/>
          <w:caps w:val="0"/>
          <w:smallCaps w:val="0"/>
          <w:color w:val="auto"/>
          <w:sz w:val="21"/>
          <w:szCs w:val="21"/>
          <w:highlight w:val="none"/>
        </w:rPr>
        <w:t>项目总投资和投资计划</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_Toc1373190086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F3D87D2">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"_Toc1671057714"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第22条</w:t>
      </w:r>
      <w:r>
        <w:rPr>
          <w:rFonts w:hint="eastAsia" w:ascii="宋体" w:hAnsi="宋体" w:eastAsia="宋体" w:cs="宋体"/>
          <w:bCs/>
          <w:caps w:val="0"/>
          <w:smallCaps w:val="0"/>
          <w:color w:val="auto"/>
          <w:sz w:val="21"/>
          <w:szCs w:val="21"/>
          <w:highlight w:val="none"/>
        </w:rPr>
        <w:t>资金筹措</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_Toc1671057714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F89FF2E">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"_Toc68233469"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第23条</w:t>
      </w:r>
      <w:r>
        <w:rPr>
          <w:rFonts w:hint="eastAsia" w:ascii="宋体" w:hAnsi="宋体" w:eastAsia="宋体" w:cs="宋体"/>
          <w:bCs/>
          <w:caps w:val="0"/>
          <w:smallCaps w:val="0"/>
          <w:color w:val="auto"/>
          <w:sz w:val="21"/>
          <w:szCs w:val="21"/>
          <w:highlight w:val="none"/>
        </w:rPr>
        <w:t>甲方提供的投融资支持</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_Toc68233469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7B2A13D">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"_Toc969031309"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第24条</w:t>
      </w:r>
      <w:r>
        <w:rPr>
          <w:rFonts w:hint="eastAsia" w:ascii="宋体" w:hAnsi="宋体" w:eastAsia="宋体" w:cs="宋体"/>
          <w:bCs/>
          <w:caps w:val="0"/>
          <w:smallCaps w:val="0"/>
          <w:color w:val="auto"/>
          <w:sz w:val="21"/>
          <w:szCs w:val="21"/>
          <w:highlight w:val="none"/>
        </w:rPr>
        <w:t>投融资违约事项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_Toc969031309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EDB4C1A">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"_Toc891790699"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第五章项目前期工作</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_Toc891790699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657D19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"_Toc2044937174"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第25条</w:t>
      </w:r>
      <w:r>
        <w:rPr>
          <w:rFonts w:hint="eastAsia" w:ascii="宋体" w:hAnsi="宋体" w:eastAsia="宋体" w:cs="宋体"/>
          <w:bCs/>
          <w:caps w:val="0"/>
          <w:smallCaps w:val="0"/>
          <w:color w:val="auto"/>
          <w:sz w:val="21"/>
          <w:szCs w:val="21"/>
          <w:highlight w:val="none"/>
        </w:rPr>
        <w:t>项目前期工作范围和实施分工</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_Toc2044937174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C58C73B">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"_Toc1248651008"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第26条</w:t>
      </w:r>
      <w:r>
        <w:rPr>
          <w:rFonts w:hint="eastAsia" w:ascii="宋体" w:hAnsi="宋体" w:eastAsia="宋体" w:cs="宋体"/>
          <w:bCs/>
          <w:caps w:val="0"/>
          <w:smallCaps w:val="0"/>
          <w:color w:val="auto"/>
          <w:sz w:val="21"/>
          <w:szCs w:val="21"/>
          <w:highlight w:val="none"/>
        </w:rPr>
        <w:t>前期工作要求</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_Toc1248651008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E5EF86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"_Toc678251878"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第27条</w:t>
      </w:r>
      <w:r>
        <w:rPr>
          <w:rFonts w:hint="eastAsia" w:ascii="宋体" w:hAnsi="宋体" w:eastAsia="宋体" w:cs="宋体"/>
          <w:bCs/>
          <w:caps w:val="0"/>
          <w:smallCaps w:val="0"/>
          <w:color w:val="auto"/>
          <w:sz w:val="21"/>
          <w:szCs w:val="21"/>
          <w:highlight w:val="none"/>
        </w:rPr>
        <w:t>甲方提供的前期资料</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_Toc678251878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DAE4022">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"_Toc33524077"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第28条</w:t>
      </w:r>
      <w:r>
        <w:rPr>
          <w:rFonts w:hint="eastAsia" w:ascii="宋体" w:hAnsi="宋体" w:eastAsia="宋体" w:cs="宋体"/>
          <w:bCs/>
          <w:caps w:val="0"/>
          <w:smallCaps w:val="0"/>
          <w:color w:val="auto"/>
          <w:sz w:val="21"/>
          <w:szCs w:val="21"/>
          <w:highlight w:val="none"/>
        </w:rPr>
        <w:t>履行审核备程序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_Toc33524077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932BDF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"_Toc358182274"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第29条</w:t>
      </w:r>
      <w:r>
        <w:rPr>
          <w:rFonts w:hint="eastAsia" w:ascii="宋体" w:hAnsi="宋体" w:eastAsia="宋体" w:cs="宋体"/>
          <w:bCs/>
          <w:caps w:val="0"/>
          <w:smallCaps w:val="0"/>
          <w:color w:val="auto"/>
          <w:sz w:val="21"/>
          <w:szCs w:val="21"/>
          <w:highlight w:val="none"/>
        </w:rPr>
        <w:t>前期工作违约事项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_Toc358182274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138F3F5">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"_Toc884421318"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第六章项目工程建设</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_Toc884421318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C90056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"_Toc118536639"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第30条</w:t>
      </w:r>
      <w:r>
        <w:rPr>
          <w:rFonts w:hint="eastAsia" w:ascii="宋体" w:hAnsi="宋体" w:eastAsia="宋体" w:cs="宋体"/>
          <w:bCs/>
          <w:caps w:val="0"/>
          <w:smallCaps w:val="0"/>
          <w:color w:val="auto"/>
          <w:sz w:val="21"/>
          <w:szCs w:val="21"/>
          <w:highlight w:val="none"/>
        </w:rPr>
        <w:t>政府方提供的建设条件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_Toc118536639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5FD9C29">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"_Toc1850742617"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第31条</w:t>
      </w:r>
      <w:r>
        <w:rPr>
          <w:rFonts w:hint="eastAsia" w:ascii="宋体" w:hAnsi="宋体" w:eastAsia="宋体" w:cs="宋体"/>
          <w:bCs/>
          <w:caps w:val="0"/>
          <w:smallCaps w:val="0"/>
          <w:color w:val="auto"/>
          <w:sz w:val="21"/>
          <w:szCs w:val="21"/>
          <w:highlight w:val="none"/>
        </w:rPr>
        <w:t>项目建设总要求</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_Toc1850742617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4D89091">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"_Toc1507512652"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第32条</w:t>
      </w:r>
      <w:r>
        <w:rPr>
          <w:rFonts w:hint="eastAsia" w:ascii="宋体" w:hAnsi="宋体" w:eastAsia="宋体" w:cs="宋体"/>
          <w:bCs/>
          <w:caps w:val="0"/>
          <w:smallCaps w:val="0"/>
          <w:color w:val="auto"/>
          <w:sz w:val="21"/>
          <w:szCs w:val="21"/>
          <w:highlight w:val="none"/>
        </w:rPr>
        <w:t>土地征收和补偿安置</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_Toc1507512652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BC89DA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"_Toc554819417"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第33条</w:t>
      </w:r>
      <w:r>
        <w:rPr>
          <w:rFonts w:hint="eastAsia" w:ascii="宋体" w:hAnsi="宋体" w:eastAsia="宋体" w:cs="宋体"/>
          <w:bCs/>
          <w:caps w:val="0"/>
          <w:smallCaps w:val="0"/>
          <w:color w:val="auto"/>
          <w:sz w:val="21"/>
          <w:szCs w:val="21"/>
          <w:highlight w:val="none"/>
        </w:rPr>
        <w:t>进度控制和特许经营期调整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_Toc554819417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1F169F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"_Toc305771633"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第34条</w:t>
      </w:r>
      <w:r>
        <w:rPr>
          <w:rFonts w:hint="eastAsia" w:ascii="宋体" w:hAnsi="宋体" w:eastAsia="宋体" w:cs="宋体"/>
          <w:bCs/>
          <w:caps w:val="0"/>
          <w:smallCaps w:val="0"/>
          <w:color w:val="auto"/>
          <w:sz w:val="21"/>
          <w:szCs w:val="21"/>
          <w:highlight w:val="none"/>
        </w:rPr>
        <w:t>投资控制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_Toc305771633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2666C3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"_Toc1376296612"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第35条</w:t>
      </w:r>
      <w:r>
        <w:rPr>
          <w:rFonts w:hint="eastAsia" w:ascii="宋体" w:hAnsi="宋体" w:eastAsia="宋体" w:cs="宋体"/>
          <w:bCs/>
          <w:caps w:val="0"/>
          <w:smallCaps w:val="0"/>
          <w:color w:val="auto"/>
          <w:sz w:val="21"/>
          <w:szCs w:val="21"/>
          <w:highlight w:val="none"/>
        </w:rPr>
        <w:t>工程招标</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_Toc1376296612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22319F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"_Toc602079470"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第36条</w:t>
      </w:r>
      <w:r>
        <w:rPr>
          <w:rFonts w:hint="eastAsia" w:ascii="宋体" w:hAnsi="宋体" w:eastAsia="宋体" w:cs="宋体"/>
          <w:bCs/>
          <w:caps w:val="0"/>
          <w:smallCaps w:val="0"/>
          <w:color w:val="auto"/>
          <w:sz w:val="21"/>
          <w:szCs w:val="21"/>
          <w:highlight w:val="none"/>
        </w:rPr>
        <w:t>工程变更管理</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_Toc602079470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0E105C0">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"_Toc837711492"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第37条</w:t>
      </w:r>
      <w:r>
        <w:rPr>
          <w:rFonts w:hint="eastAsia" w:ascii="宋体" w:hAnsi="宋体" w:eastAsia="宋体" w:cs="宋体"/>
          <w:bCs/>
          <w:caps w:val="0"/>
          <w:smallCaps w:val="0"/>
          <w:color w:val="auto"/>
          <w:sz w:val="21"/>
          <w:szCs w:val="21"/>
          <w:highlight w:val="none"/>
        </w:rPr>
        <w:t>工程验收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_Toc837711492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DB88F5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"_Toc1502815208"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第38条</w:t>
      </w:r>
      <w:r>
        <w:rPr>
          <w:rFonts w:hint="eastAsia" w:ascii="宋体" w:hAnsi="宋体" w:eastAsia="宋体" w:cs="宋体"/>
          <w:bCs/>
          <w:caps w:val="0"/>
          <w:smallCaps w:val="0"/>
          <w:color w:val="auto"/>
          <w:sz w:val="21"/>
          <w:szCs w:val="21"/>
          <w:highlight w:val="none"/>
        </w:rPr>
        <w:t>工程保险</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_Toc1502815208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2A8AEE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"_Toc1618143088"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第39条</w:t>
      </w:r>
      <w:r>
        <w:rPr>
          <w:rFonts w:hint="eastAsia" w:ascii="宋体" w:hAnsi="宋体" w:eastAsia="宋体" w:cs="宋体"/>
          <w:bCs/>
          <w:caps w:val="0"/>
          <w:smallCaps w:val="0"/>
          <w:color w:val="auto"/>
          <w:sz w:val="21"/>
          <w:szCs w:val="21"/>
          <w:highlight w:val="none"/>
        </w:rPr>
        <w:t>工程建设违约事项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_Toc1618143088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69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D6BCCBA">
      <w:pPr>
        <w:pStyle w:val="38"/>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"_Toc411289906"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lang w:val="en-US" w:eastAsia="zh-CN"/>
        </w:rPr>
        <w:t>第七章运营和服务</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_Toc411289906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DAC5DE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"_Toc1654534475"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第40条</w:t>
      </w:r>
      <w:r>
        <w:rPr>
          <w:rFonts w:hint="eastAsia" w:ascii="宋体" w:hAnsi="宋体" w:eastAsia="宋体" w:cs="宋体"/>
          <w:bCs/>
          <w:caps w:val="0"/>
          <w:smallCaps w:val="0"/>
          <w:color w:val="auto"/>
          <w:sz w:val="21"/>
          <w:szCs w:val="21"/>
          <w:highlight w:val="none"/>
        </w:rPr>
        <w:t>政府提供的</w:t>
      </w:r>
      <w:r>
        <w:rPr>
          <w:rFonts w:hint="eastAsia" w:ascii="宋体" w:hAnsi="宋体" w:eastAsia="宋体" w:cs="宋体"/>
          <w:bCs/>
          <w:caps w:val="0"/>
          <w:smallCaps w:val="0"/>
          <w:color w:val="auto"/>
          <w:sz w:val="21"/>
          <w:szCs w:val="21"/>
          <w:highlight w:val="none"/>
          <w:lang w:eastAsia="zh-CN"/>
        </w:rPr>
        <w:t>运营</w:t>
      </w:r>
      <w:r>
        <w:rPr>
          <w:rFonts w:hint="eastAsia" w:ascii="宋体" w:hAnsi="宋体" w:eastAsia="宋体" w:cs="宋体"/>
          <w:bCs/>
          <w:caps w:val="0"/>
          <w:smallCaps w:val="0"/>
          <w:color w:val="auto"/>
          <w:sz w:val="21"/>
          <w:szCs w:val="21"/>
          <w:highlight w:val="none"/>
        </w:rPr>
        <w:t>条件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_Toc1654534475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DBFD0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"_Toc1551136975"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第41条</w:t>
      </w:r>
      <w:r>
        <w:rPr>
          <w:rFonts w:hint="eastAsia" w:ascii="宋体" w:hAnsi="宋体" w:eastAsia="宋体" w:cs="宋体"/>
          <w:bCs/>
          <w:caps w:val="0"/>
          <w:smallCaps w:val="0"/>
          <w:color w:val="auto"/>
          <w:sz w:val="21"/>
          <w:szCs w:val="21"/>
          <w:highlight w:val="none"/>
        </w:rPr>
        <w:t>试运营和正式运营</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_Toc1551136975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70</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6F5AF5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"_Toc1821609131"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第42条</w:t>
      </w:r>
      <w:r>
        <w:rPr>
          <w:rFonts w:hint="eastAsia" w:ascii="宋体" w:hAnsi="宋体" w:eastAsia="宋体" w:cs="宋体"/>
          <w:bCs/>
          <w:caps w:val="0"/>
          <w:smallCaps w:val="0"/>
          <w:color w:val="auto"/>
          <w:sz w:val="21"/>
          <w:szCs w:val="21"/>
          <w:highlight w:val="none"/>
        </w:rPr>
        <w:t>质量和服务标准</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_Toc1821609131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493096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"_Toc1644018551"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第43条</w:t>
      </w:r>
      <w:r>
        <w:rPr>
          <w:rFonts w:hint="eastAsia" w:ascii="宋体" w:hAnsi="宋体" w:eastAsia="宋体" w:cs="宋体"/>
          <w:bCs/>
          <w:caps w:val="0"/>
          <w:smallCaps w:val="0"/>
          <w:color w:val="auto"/>
          <w:sz w:val="21"/>
          <w:szCs w:val="21"/>
          <w:highlight w:val="none"/>
        </w:rPr>
        <w:t>运营服务要求变更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_Toc1644018551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292D65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"_Toc1412010181"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第44条</w:t>
      </w:r>
      <w:r>
        <w:rPr>
          <w:rFonts w:hint="eastAsia" w:ascii="宋体" w:hAnsi="宋体" w:eastAsia="宋体" w:cs="宋体"/>
          <w:bCs/>
          <w:caps w:val="0"/>
          <w:smallCaps w:val="0"/>
          <w:color w:val="auto"/>
          <w:sz w:val="21"/>
          <w:szCs w:val="21"/>
          <w:highlight w:val="none"/>
        </w:rPr>
        <w:t>项目设施的运营与维护</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_Toc1412010181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967E2F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"_Toc1421561394"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第45条</w:t>
      </w:r>
      <w:r>
        <w:rPr>
          <w:rFonts w:hint="eastAsia" w:ascii="宋体" w:hAnsi="宋体" w:eastAsia="宋体" w:cs="宋体"/>
          <w:bCs/>
          <w:caps w:val="0"/>
          <w:smallCaps w:val="0"/>
          <w:color w:val="auto"/>
          <w:sz w:val="21"/>
          <w:szCs w:val="21"/>
          <w:highlight w:val="none"/>
        </w:rPr>
        <w:t>更新重置和追加投资</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_Toc1421561394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799FF25">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"_Toc1669752858"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第46条</w:t>
      </w:r>
      <w:r>
        <w:rPr>
          <w:rFonts w:hint="eastAsia" w:ascii="宋体" w:hAnsi="宋体" w:eastAsia="宋体" w:cs="宋体"/>
          <w:bCs/>
          <w:caps w:val="0"/>
          <w:smallCaps w:val="0"/>
          <w:color w:val="auto"/>
          <w:sz w:val="21"/>
          <w:szCs w:val="21"/>
          <w:highlight w:val="none"/>
        </w:rPr>
        <w:t>公共用地及公用设施的临时占用</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_Toc1669752858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D7C2D0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"_Toc1107733219"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第47条</w:t>
      </w:r>
      <w:r>
        <w:rPr>
          <w:rFonts w:hint="eastAsia" w:ascii="宋体" w:hAnsi="宋体" w:eastAsia="宋体" w:cs="宋体"/>
          <w:bCs/>
          <w:caps w:val="0"/>
          <w:smallCaps w:val="0"/>
          <w:color w:val="auto"/>
          <w:sz w:val="21"/>
          <w:szCs w:val="21"/>
          <w:highlight w:val="none"/>
        </w:rPr>
        <w:t>项目运营服务计量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_Toc1107733219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2EFC04D">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"_Toc1687008941"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第48条</w:t>
      </w:r>
      <w:r>
        <w:rPr>
          <w:rFonts w:hint="eastAsia" w:ascii="宋体" w:hAnsi="宋体" w:eastAsia="宋体" w:cs="宋体"/>
          <w:bCs/>
          <w:caps w:val="0"/>
          <w:smallCaps w:val="0"/>
          <w:color w:val="auto"/>
          <w:sz w:val="21"/>
          <w:szCs w:val="21"/>
          <w:highlight w:val="none"/>
        </w:rPr>
        <w:t>运营期保险</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_Toc1687008941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57E184B">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"_Toc895459296"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第49条</w:t>
      </w:r>
      <w:r>
        <w:rPr>
          <w:rFonts w:hint="eastAsia" w:ascii="宋体" w:hAnsi="宋体" w:eastAsia="宋体" w:cs="宋体"/>
          <w:bCs/>
          <w:caps w:val="0"/>
          <w:smallCaps w:val="0"/>
          <w:color w:val="auto"/>
          <w:sz w:val="21"/>
          <w:szCs w:val="21"/>
          <w:highlight w:val="none"/>
        </w:rPr>
        <w:t>设施维护或改造工程、事故的报告和通知</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_Toc895459296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3BB9422">
      <w:pPr>
        <w:pStyle w:val="45"/>
        <w:tabs>
          <w:tab w:val="right" w:leader="dot" w:pos="8674"/>
        </w:tabs>
        <w:spacing w:line="360" w:lineRule="auto"/>
        <w:ind w:left="0" w:leftChars="0" w:firstLine="840" w:firstLineChars="40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"_Toc631307285"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第50条</w:t>
      </w:r>
      <w:r>
        <w:rPr>
          <w:rFonts w:hint="eastAsia" w:ascii="宋体" w:hAnsi="宋体" w:eastAsia="宋体" w:cs="宋体"/>
          <w:bCs/>
          <w:caps w:val="0"/>
          <w:smallCaps w:val="0"/>
          <w:color w:val="auto"/>
          <w:sz w:val="21"/>
          <w:szCs w:val="21"/>
          <w:highlight w:val="none"/>
        </w:rPr>
        <w:t>普遍服务义务与承诺</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_Toc631307285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A5F3F9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"_Toc1755242411"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第51条</w:t>
      </w:r>
      <w:r>
        <w:rPr>
          <w:rFonts w:hint="eastAsia" w:ascii="宋体" w:hAnsi="宋体" w:eastAsia="宋体" w:cs="宋体"/>
          <w:bCs/>
          <w:caps w:val="0"/>
          <w:smallCaps w:val="0"/>
          <w:color w:val="auto"/>
          <w:sz w:val="21"/>
          <w:szCs w:val="21"/>
          <w:highlight w:val="none"/>
        </w:rPr>
        <w:t>乙方创新和主动增效</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_Toc1755242411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109220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"_Toc1864490605"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第52条</w:t>
      </w:r>
      <w:r>
        <w:rPr>
          <w:rFonts w:hint="eastAsia" w:ascii="宋体" w:hAnsi="宋体" w:eastAsia="宋体" w:cs="宋体"/>
          <w:bCs/>
          <w:caps w:val="0"/>
          <w:smallCaps w:val="0"/>
          <w:color w:val="auto"/>
          <w:sz w:val="21"/>
          <w:szCs w:val="21"/>
          <w:highlight w:val="none"/>
        </w:rPr>
        <w:t>项目运营和服务违约事项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_Toc1864490605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89AF7D6">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"_Toc1523097985"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第八章收益取得方式、价格和收费的确定和调整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_Toc1523097985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329A5C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"_Toc1652695937"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第53条</w:t>
      </w:r>
      <w:r>
        <w:rPr>
          <w:rFonts w:hint="eastAsia" w:ascii="宋体" w:hAnsi="宋体" w:eastAsia="宋体" w:cs="宋体"/>
          <w:bCs/>
          <w:caps w:val="0"/>
          <w:smallCaps w:val="0"/>
          <w:color w:val="auto"/>
          <w:sz w:val="21"/>
          <w:szCs w:val="21"/>
          <w:highlight w:val="none"/>
        </w:rPr>
        <w:t>项目收益取得方式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_Toc1652695937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EEAD71">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"_Toc965657965"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第54条</w:t>
      </w:r>
      <w:r>
        <w:rPr>
          <w:rFonts w:hint="eastAsia" w:ascii="宋体" w:hAnsi="宋体" w:eastAsia="宋体" w:cs="宋体"/>
          <w:bCs/>
          <w:caps w:val="0"/>
          <w:smallCaps w:val="0"/>
          <w:color w:val="auto"/>
          <w:sz w:val="21"/>
          <w:szCs w:val="21"/>
          <w:highlight w:val="none"/>
        </w:rPr>
        <w:t>服务价格及调整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_Toc965657965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79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F0D5636">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"_Toc53866215"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第55条</w:t>
      </w:r>
      <w:r>
        <w:rPr>
          <w:rFonts w:hint="eastAsia" w:ascii="宋体" w:hAnsi="宋体" w:eastAsia="宋体" w:cs="宋体"/>
          <w:bCs/>
          <w:caps w:val="0"/>
          <w:smallCaps w:val="0"/>
          <w:color w:val="auto"/>
          <w:sz w:val="21"/>
          <w:szCs w:val="21"/>
          <w:highlight w:val="none"/>
        </w:rPr>
        <w:t>运营期的补贴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_Toc53866215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82</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405BDEA">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"_Toc1686220014"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第九章特定监管事项和措施</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_Toc1686220014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7672B71">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"_Toc1323840240"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第56条</w:t>
      </w:r>
      <w:r>
        <w:rPr>
          <w:rFonts w:hint="eastAsia" w:ascii="宋体" w:hAnsi="宋体" w:eastAsia="宋体" w:cs="宋体"/>
          <w:bCs/>
          <w:caps w:val="0"/>
          <w:smallCaps w:val="0"/>
          <w:color w:val="auto"/>
          <w:sz w:val="21"/>
          <w:szCs w:val="21"/>
          <w:highlight w:val="none"/>
        </w:rPr>
        <w:t>定期运营评价</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_Toc1323840240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E1C1BC0">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"_Toc938287533"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第57条</w:t>
      </w:r>
      <w:r>
        <w:rPr>
          <w:rFonts w:hint="eastAsia" w:ascii="宋体" w:hAnsi="宋体" w:eastAsia="宋体" w:cs="宋体"/>
          <w:bCs/>
          <w:caps w:val="0"/>
          <w:smallCaps w:val="0"/>
          <w:color w:val="auto"/>
          <w:sz w:val="21"/>
          <w:szCs w:val="21"/>
          <w:highlight w:val="none"/>
        </w:rPr>
        <w:t>绩效评价和运营考核</w:t>
      </w:r>
      <w:r>
        <w:rPr>
          <w:rFonts w:hint="eastAsia" w:ascii="宋体" w:hAnsi="宋体" w:eastAsia="宋体" w:cs="宋体"/>
          <w:bCs/>
          <w:caps w:val="0"/>
          <w:smallCaps w:val="0"/>
          <w:color w:val="auto"/>
          <w:sz w:val="21"/>
          <w:szCs w:val="21"/>
          <w:highlight w:val="none"/>
          <w:lang w:eastAsia="zh-CN"/>
        </w:rPr>
        <w:t>（或有）</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_Toc938287533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BB1C77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"_Toc1804756653"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第58条</w:t>
      </w:r>
      <w:r>
        <w:rPr>
          <w:rFonts w:hint="eastAsia" w:ascii="宋体" w:hAnsi="宋体" w:eastAsia="宋体" w:cs="宋体"/>
          <w:bCs/>
          <w:caps w:val="0"/>
          <w:smallCaps w:val="0"/>
          <w:color w:val="auto"/>
          <w:sz w:val="21"/>
          <w:szCs w:val="21"/>
          <w:highlight w:val="none"/>
        </w:rPr>
        <w:t>应急预案</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_Toc1804756653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2F9D036">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"_Toc1027099209"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第59条</w:t>
      </w:r>
      <w:r>
        <w:rPr>
          <w:rFonts w:hint="eastAsia" w:ascii="宋体" w:hAnsi="宋体" w:eastAsia="宋体" w:cs="宋体"/>
          <w:bCs/>
          <w:caps w:val="0"/>
          <w:smallCaps w:val="0"/>
          <w:color w:val="auto"/>
          <w:sz w:val="21"/>
          <w:szCs w:val="21"/>
          <w:highlight w:val="none"/>
        </w:rPr>
        <w:t>临时接管预案</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_Toc1027099209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410B9A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"_Toc298316537"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第60条</w:t>
      </w:r>
      <w:r>
        <w:rPr>
          <w:rFonts w:hint="eastAsia" w:ascii="宋体" w:hAnsi="宋体" w:eastAsia="宋体" w:cs="宋体"/>
          <w:bCs/>
          <w:caps w:val="0"/>
          <w:smallCaps w:val="0"/>
          <w:color w:val="auto"/>
          <w:sz w:val="21"/>
          <w:szCs w:val="21"/>
          <w:highlight w:val="none"/>
        </w:rPr>
        <w:t>审计监督</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_Toc298316537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D284CF9">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"_Toc212092422"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第61条</w:t>
      </w:r>
      <w:r>
        <w:rPr>
          <w:rFonts w:hint="eastAsia" w:ascii="宋体" w:hAnsi="宋体" w:eastAsia="宋体" w:cs="宋体"/>
          <w:bCs/>
          <w:caps w:val="0"/>
          <w:smallCaps w:val="0"/>
          <w:color w:val="auto"/>
          <w:sz w:val="21"/>
          <w:szCs w:val="21"/>
          <w:highlight w:val="none"/>
        </w:rPr>
        <w:t>信息披露</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_Toc212092422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3EDCA09">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"_Toc1332870842"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第62条</w:t>
      </w:r>
      <w:r>
        <w:rPr>
          <w:rFonts w:hint="eastAsia" w:ascii="宋体" w:hAnsi="宋体" w:eastAsia="宋体" w:cs="宋体"/>
          <w:bCs/>
          <w:caps w:val="0"/>
          <w:smallCaps w:val="0"/>
          <w:color w:val="auto"/>
          <w:sz w:val="21"/>
          <w:szCs w:val="21"/>
          <w:highlight w:val="none"/>
        </w:rPr>
        <w:t>公众监督</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_Toc1332870842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AC21A73">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"_Toc1674613150"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第十章不可抗力、情势变更和法律变更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_Toc1674613150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5483585">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"_Toc814171893"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第63条</w:t>
      </w:r>
      <w:r>
        <w:rPr>
          <w:rFonts w:hint="eastAsia" w:ascii="宋体" w:hAnsi="宋体" w:eastAsia="宋体" w:cs="宋体"/>
          <w:bCs/>
          <w:caps w:val="0"/>
          <w:smallCaps w:val="0"/>
          <w:color w:val="auto"/>
          <w:sz w:val="21"/>
          <w:szCs w:val="21"/>
          <w:highlight w:val="none"/>
        </w:rPr>
        <w:t>不可抗力事件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_Toc814171893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9EC3F55">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"_Toc23098687"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第64条</w:t>
      </w:r>
      <w:r>
        <w:rPr>
          <w:rFonts w:hint="eastAsia" w:ascii="宋体" w:hAnsi="宋体" w:eastAsia="宋体" w:cs="宋体"/>
          <w:bCs/>
          <w:caps w:val="0"/>
          <w:smallCaps w:val="0"/>
          <w:color w:val="auto"/>
          <w:sz w:val="21"/>
          <w:szCs w:val="21"/>
          <w:highlight w:val="none"/>
        </w:rPr>
        <w:t>不可抗力事件发生后的各方权利和义务</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_Toc23098687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180998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"_Toc1029944710"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第65条</w:t>
      </w:r>
      <w:r>
        <w:rPr>
          <w:rFonts w:hint="eastAsia" w:ascii="宋体" w:hAnsi="宋体" w:eastAsia="宋体" w:cs="宋体"/>
          <w:bCs/>
          <w:caps w:val="0"/>
          <w:smallCaps w:val="0"/>
          <w:color w:val="auto"/>
          <w:sz w:val="21"/>
          <w:szCs w:val="21"/>
          <w:highlight w:val="none"/>
        </w:rPr>
        <w:t>不可抗力事件的处理</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_Toc1029944710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08C4176">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"_Toc284831333"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第66条</w:t>
      </w:r>
      <w:r>
        <w:rPr>
          <w:rFonts w:hint="eastAsia" w:ascii="宋体" w:hAnsi="宋体" w:eastAsia="宋体" w:cs="宋体"/>
          <w:bCs/>
          <w:caps w:val="0"/>
          <w:smallCaps w:val="0"/>
          <w:color w:val="auto"/>
          <w:sz w:val="21"/>
          <w:szCs w:val="21"/>
          <w:highlight w:val="none"/>
        </w:rPr>
        <w:t>情势变更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_Toc284831333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92EAB5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"_Toc434388593"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第67条</w:t>
      </w:r>
      <w:r>
        <w:rPr>
          <w:rFonts w:hint="eastAsia" w:ascii="宋体" w:hAnsi="宋体" w:eastAsia="宋体" w:cs="宋体"/>
          <w:bCs/>
          <w:caps w:val="0"/>
          <w:smallCaps w:val="0"/>
          <w:color w:val="auto"/>
          <w:sz w:val="21"/>
          <w:szCs w:val="21"/>
          <w:highlight w:val="none"/>
        </w:rPr>
        <w:t>法律变更</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_Toc434388593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88</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6062413">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"_Toc536995538"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第十一章特许经营协议解除</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_Toc536995538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4F99FA9">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"_Toc1835968308"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第68条</w:t>
      </w:r>
      <w:r>
        <w:rPr>
          <w:rFonts w:hint="eastAsia" w:ascii="宋体" w:hAnsi="宋体" w:eastAsia="宋体" w:cs="宋体"/>
          <w:bCs/>
          <w:caps w:val="0"/>
          <w:smallCaps w:val="0"/>
          <w:color w:val="auto"/>
          <w:sz w:val="21"/>
          <w:szCs w:val="21"/>
          <w:highlight w:val="none"/>
        </w:rPr>
        <w:t>协议解除的事由</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_Toc1835968308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2B3A53D">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"_Toc108514076"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第69条</w:t>
      </w:r>
      <w:r>
        <w:rPr>
          <w:rFonts w:hint="eastAsia" w:ascii="宋体" w:hAnsi="宋体" w:eastAsia="宋体" w:cs="宋体"/>
          <w:bCs/>
          <w:caps w:val="0"/>
          <w:smallCaps w:val="0"/>
          <w:color w:val="auto"/>
          <w:sz w:val="21"/>
          <w:szCs w:val="21"/>
          <w:highlight w:val="none"/>
        </w:rPr>
        <w:t>协议的解除程序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_Toc108514076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19A6628">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"_Toc33530441"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第70条</w:t>
      </w:r>
      <w:r>
        <w:rPr>
          <w:rFonts w:hint="eastAsia" w:ascii="宋体" w:hAnsi="宋体" w:eastAsia="宋体" w:cs="宋体"/>
          <w:bCs/>
          <w:caps w:val="0"/>
          <w:smallCaps w:val="0"/>
          <w:color w:val="auto"/>
          <w:sz w:val="21"/>
          <w:szCs w:val="21"/>
          <w:highlight w:val="none"/>
        </w:rPr>
        <w:t>协议解除后的财务安排</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_Toc33530441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C3E378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"_Toc1100494841"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第71条</w:t>
      </w:r>
      <w:r>
        <w:rPr>
          <w:rFonts w:hint="eastAsia" w:ascii="宋体" w:hAnsi="宋体" w:eastAsia="宋体" w:cs="宋体"/>
          <w:bCs/>
          <w:caps w:val="0"/>
          <w:smallCaps w:val="0"/>
          <w:color w:val="auto"/>
          <w:sz w:val="21"/>
          <w:szCs w:val="21"/>
          <w:highlight w:val="none"/>
        </w:rPr>
        <w:t>协议解除后的项目移交</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_Toc1100494841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446274B">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"_Toc1530075470"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第72条</w:t>
      </w:r>
      <w:r>
        <w:rPr>
          <w:rFonts w:hint="eastAsia" w:ascii="宋体" w:hAnsi="宋体" w:eastAsia="宋体" w:cs="宋体"/>
          <w:bCs/>
          <w:caps w:val="0"/>
          <w:smallCaps w:val="0"/>
          <w:color w:val="auto"/>
          <w:sz w:val="21"/>
          <w:szCs w:val="21"/>
          <w:highlight w:val="none"/>
        </w:rPr>
        <w:t>协议解除的其他约定</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_Toc1530075470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96</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1E60198">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"_Toc1703283299"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第十二章项目公司移交项目设施及权益</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_Toc1703283299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8E99A0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"_Toc60744412"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第73条</w:t>
      </w:r>
      <w:r>
        <w:rPr>
          <w:rFonts w:hint="eastAsia" w:ascii="宋体" w:hAnsi="宋体" w:eastAsia="宋体" w:cs="宋体"/>
          <w:bCs/>
          <w:caps w:val="0"/>
          <w:smallCaps w:val="0"/>
          <w:color w:val="auto"/>
          <w:sz w:val="21"/>
          <w:szCs w:val="21"/>
          <w:highlight w:val="none"/>
        </w:rPr>
        <w:t>项目设施移交前过渡期</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_Toc60744412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7DA3D7C">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"_Toc1069600764"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第74条</w:t>
      </w:r>
      <w:r>
        <w:rPr>
          <w:rFonts w:hint="eastAsia" w:ascii="宋体" w:hAnsi="宋体" w:eastAsia="宋体" w:cs="宋体"/>
          <w:bCs/>
          <w:caps w:val="0"/>
          <w:smallCaps w:val="0"/>
          <w:color w:val="auto"/>
          <w:sz w:val="21"/>
          <w:szCs w:val="21"/>
          <w:highlight w:val="none"/>
        </w:rPr>
        <w:t>项目设施及权益移交</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_Toc1069600764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97</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0693A7">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"_Toc451258947"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第75条</w:t>
      </w:r>
      <w:r>
        <w:rPr>
          <w:rFonts w:hint="eastAsia" w:ascii="宋体" w:hAnsi="宋体" w:eastAsia="宋体" w:cs="宋体"/>
          <w:bCs/>
          <w:caps w:val="0"/>
          <w:smallCaps w:val="0"/>
          <w:color w:val="auto"/>
          <w:sz w:val="21"/>
          <w:szCs w:val="21"/>
          <w:highlight w:val="none"/>
        </w:rPr>
        <w:t>移交质量保证</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_Toc451258947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7AF9CE4">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"_Toc692051698"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第76条</w:t>
      </w:r>
      <w:r>
        <w:rPr>
          <w:rFonts w:hint="eastAsia" w:ascii="宋体" w:hAnsi="宋体" w:eastAsia="宋体" w:cs="宋体"/>
          <w:bCs/>
          <w:caps w:val="0"/>
          <w:smallCaps w:val="0"/>
          <w:color w:val="auto"/>
          <w:sz w:val="21"/>
          <w:szCs w:val="21"/>
          <w:highlight w:val="none"/>
        </w:rPr>
        <w:t>项目设施移交违约事项</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_Toc692051698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99</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6ADA0C5">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"_Toc677359527"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第十三章违约责任</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_Toc677359527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3A280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"_Toc168265904"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第77条</w:t>
      </w:r>
      <w:r>
        <w:rPr>
          <w:rFonts w:hint="eastAsia" w:ascii="宋体" w:hAnsi="宋体" w:eastAsia="宋体" w:cs="宋体"/>
          <w:bCs/>
          <w:caps w:val="0"/>
          <w:smallCaps w:val="0"/>
          <w:color w:val="auto"/>
          <w:sz w:val="21"/>
          <w:szCs w:val="21"/>
          <w:highlight w:val="none"/>
        </w:rPr>
        <w:t>违约</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_Toc168265904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A4BB4DD">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"_Toc67666035"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第78条</w:t>
      </w:r>
      <w:r>
        <w:rPr>
          <w:rFonts w:hint="eastAsia" w:ascii="宋体" w:hAnsi="宋体" w:eastAsia="宋体" w:cs="宋体"/>
          <w:bCs/>
          <w:caps w:val="0"/>
          <w:smallCaps w:val="0"/>
          <w:color w:val="auto"/>
          <w:sz w:val="21"/>
          <w:szCs w:val="21"/>
          <w:highlight w:val="none"/>
        </w:rPr>
        <w:t>违约责任</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_Toc67666035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101</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40642508">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"_Toc182571816"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第十四章争议解决</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_Toc182571816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B1722B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"_Toc1133923870"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第79条</w:t>
      </w:r>
      <w:r>
        <w:rPr>
          <w:rFonts w:hint="eastAsia" w:ascii="宋体" w:hAnsi="宋体" w:eastAsia="宋体" w:cs="宋体"/>
          <w:bCs/>
          <w:caps w:val="0"/>
          <w:smallCaps w:val="0"/>
          <w:color w:val="auto"/>
          <w:sz w:val="21"/>
          <w:szCs w:val="21"/>
          <w:highlight w:val="none"/>
        </w:rPr>
        <w:t>争议解决方式</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_Toc1133923870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EA38555">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"_Toc121532250"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lang w:val="en-US"/>
        </w:rPr>
        <w:t>第80条</w:t>
      </w:r>
      <w:r>
        <w:rPr>
          <w:rFonts w:hint="eastAsia" w:ascii="宋体" w:hAnsi="宋体" w:eastAsia="宋体" w:cs="宋体"/>
          <w:caps w:val="0"/>
          <w:smallCaps w:val="0"/>
          <w:color w:val="auto"/>
          <w:sz w:val="21"/>
          <w:szCs w:val="21"/>
          <w:highlight w:val="none"/>
        </w:rPr>
        <w:t>争议期间的协议履行</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_Toc121532250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103</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2357C89B">
      <w:pPr>
        <w:pStyle w:val="38"/>
        <w:tabs>
          <w:tab w:val="right" w:leader="dot" w:pos="8674"/>
        </w:tabs>
        <w:spacing w:line="360" w:lineRule="auto"/>
        <w:ind w:left="0" w:leftChars="0" w:firstLine="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"_Toc1868791831" </w:instrText>
      </w:r>
      <w:r>
        <w:rPr>
          <w:rFonts w:hint="eastAsia" w:ascii="宋体" w:hAnsi="宋体" w:eastAsia="宋体" w:cs="宋体"/>
          <w:sz w:val="21"/>
          <w:szCs w:val="21"/>
        </w:rPr>
        <w:fldChar w:fldCharType="separate"/>
      </w:r>
      <w:r>
        <w:rPr>
          <w:rFonts w:hint="eastAsia" w:ascii="宋体" w:hAnsi="宋体" w:eastAsia="宋体" w:cs="宋体"/>
          <w:caps w:val="0"/>
          <w:smallCaps w:val="0"/>
          <w:color w:val="auto"/>
          <w:sz w:val="21"/>
          <w:szCs w:val="21"/>
          <w:highlight w:val="none"/>
        </w:rPr>
        <w:t>第十五章其他约定</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_Toc1868791831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4EE8DD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"_Toc310280462"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第81条</w:t>
      </w:r>
      <w:r>
        <w:rPr>
          <w:rFonts w:hint="eastAsia" w:ascii="宋体" w:hAnsi="宋体" w:eastAsia="宋体" w:cs="宋体"/>
          <w:bCs/>
          <w:caps w:val="0"/>
          <w:smallCaps w:val="0"/>
          <w:color w:val="auto"/>
          <w:sz w:val="21"/>
          <w:szCs w:val="21"/>
          <w:highlight w:val="none"/>
        </w:rPr>
        <w:t>协议变更与修订</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_Toc310280462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39F9C5E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"_Toc1059819783"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第82条</w:t>
      </w:r>
      <w:r>
        <w:rPr>
          <w:rFonts w:hint="eastAsia" w:ascii="宋体" w:hAnsi="宋体" w:eastAsia="宋体" w:cs="宋体"/>
          <w:bCs/>
          <w:caps w:val="0"/>
          <w:smallCaps w:val="0"/>
          <w:color w:val="auto"/>
          <w:sz w:val="21"/>
          <w:szCs w:val="21"/>
          <w:highlight w:val="none"/>
        </w:rPr>
        <w:t>保密</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_Toc1059819783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5397CF9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"_Toc1526064836"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第83条</w:t>
      </w:r>
      <w:r>
        <w:rPr>
          <w:rFonts w:hint="eastAsia" w:ascii="宋体" w:hAnsi="宋体" w:eastAsia="宋体" w:cs="宋体"/>
          <w:bCs/>
          <w:caps w:val="0"/>
          <w:smallCaps w:val="0"/>
          <w:color w:val="auto"/>
          <w:sz w:val="21"/>
          <w:szCs w:val="21"/>
          <w:highlight w:val="none"/>
        </w:rPr>
        <w:t>廉政和反腐</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_Toc1526064836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4650563">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"_Toc1337379671"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第84条</w:t>
      </w:r>
      <w:r>
        <w:rPr>
          <w:rFonts w:hint="eastAsia" w:ascii="宋体" w:hAnsi="宋体" w:eastAsia="宋体" w:cs="宋体"/>
          <w:bCs/>
          <w:caps w:val="0"/>
          <w:smallCaps w:val="0"/>
          <w:color w:val="auto"/>
          <w:sz w:val="21"/>
          <w:szCs w:val="21"/>
          <w:highlight w:val="none"/>
        </w:rPr>
        <w:t>不弃权</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_Toc1337379671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61E73F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"_Toc1358136321"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第85条</w:t>
      </w:r>
      <w:r>
        <w:rPr>
          <w:rFonts w:hint="eastAsia" w:ascii="宋体" w:hAnsi="宋体" w:eastAsia="宋体" w:cs="宋体"/>
          <w:bCs/>
          <w:caps w:val="0"/>
          <w:smallCaps w:val="0"/>
          <w:color w:val="auto"/>
          <w:sz w:val="21"/>
          <w:szCs w:val="21"/>
          <w:highlight w:val="none"/>
        </w:rPr>
        <w:t>通知</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_Toc1358136321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4CD7A3E">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"_Toc1738157259"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第86条</w:t>
      </w:r>
      <w:r>
        <w:rPr>
          <w:rFonts w:hint="eastAsia" w:ascii="宋体" w:hAnsi="宋体" w:eastAsia="宋体" w:cs="宋体"/>
          <w:bCs/>
          <w:caps w:val="0"/>
          <w:smallCaps w:val="0"/>
          <w:color w:val="auto"/>
          <w:sz w:val="21"/>
          <w:szCs w:val="21"/>
          <w:highlight w:val="none"/>
        </w:rPr>
        <w:t>法律适用</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_Toc1738157259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104</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0D2AD23A">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"_Toc522766865"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第87条</w:t>
      </w:r>
      <w:r>
        <w:rPr>
          <w:rFonts w:hint="eastAsia" w:ascii="宋体" w:hAnsi="宋体" w:eastAsia="宋体" w:cs="宋体"/>
          <w:bCs/>
          <w:caps w:val="0"/>
          <w:smallCaps w:val="0"/>
          <w:color w:val="auto"/>
          <w:sz w:val="21"/>
          <w:szCs w:val="21"/>
          <w:highlight w:val="none"/>
        </w:rPr>
        <w:t>适用语言</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_Toc522766865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1168C8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"_Toc885265823"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第88条</w:t>
      </w:r>
      <w:r>
        <w:rPr>
          <w:rFonts w:hint="eastAsia" w:ascii="宋体" w:hAnsi="宋体" w:eastAsia="宋体" w:cs="宋体"/>
          <w:bCs/>
          <w:caps w:val="0"/>
          <w:smallCaps w:val="0"/>
          <w:color w:val="auto"/>
          <w:sz w:val="21"/>
          <w:szCs w:val="21"/>
          <w:highlight w:val="none"/>
        </w:rPr>
        <w:t>适用货币</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_Toc885265823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72EDBE8F">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"_Toc404845504"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第89条</w:t>
      </w:r>
      <w:r>
        <w:rPr>
          <w:rFonts w:hint="eastAsia" w:ascii="宋体" w:hAnsi="宋体" w:eastAsia="宋体" w:cs="宋体"/>
          <w:bCs/>
          <w:caps w:val="0"/>
          <w:smallCaps w:val="0"/>
          <w:color w:val="auto"/>
          <w:sz w:val="21"/>
          <w:szCs w:val="21"/>
          <w:highlight w:val="none"/>
        </w:rPr>
        <w:t>协议份数</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_Toc404845504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6FB29674">
      <w:pPr>
        <w:pStyle w:val="45"/>
        <w:tabs>
          <w:tab w:val="right" w:leader="dot" w:pos="8674"/>
        </w:tabs>
        <w:spacing w:line="360" w:lineRule="auto"/>
        <w:rPr>
          <w:rFonts w:hint="eastAsia" w:ascii="宋体" w:hAnsi="宋体" w:eastAsia="宋体" w:cs="宋体"/>
          <w:caps w:val="0"/>
          <w:smallCaps w:val="0"/>
          <w:color w:val="auto"/>
          <w:sz w:val="21"/>
          <w:szCs w:val="21"/>
          <w:highlight w:val="none"/>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"_Toc545865552" </w:instrText>
      </w:r>
      <w:r>
        <w:rPr>
          <w:rFonts w:hint="eastAsia" w:ascii="宋体" w:hAnsi="宋体" w:eastAsia="宋体" w:cs="宋体"/>
          <w:sz w:val="21"/>
          <w:szCs w:val="21"/>
        </w:rPr>
        <w:fldChar w:fldCharType="separate"/>
      </w:r>
      <w:r>
        <w:rPr>
          <w:rFonts w:hint="eastAsia" w:ascii="宋体" w:hAnsi="宋体" w:eastAsia="宋体" w:cs="宋体"/>
          <w:bCs/>
          <w:caps w:val="0"/>
          <w:smallCaps w:val="0"/>
          <w:color w:val="auto"/>
          <w:sz w:val="21"/>
          <w:szCs w:val="21"/>
          <w:highlight w:val="none"/>
          <w:lang w:val="en-US"/>
        </w:rPr>
        <w:t>第90条</w:t>
      </w:r>
      <w:r>
        <w:rPr>
          <w:rFonts w:hint="eastAsia" w:ascii="宋体" w:hAnsi="宋体" w:eastAsia="宋体" w:cs="宋体"/>
          <w:bCs/>
          <w:caps w:val="0"/>
          <w:smallCaps w:val="0"/>
          <w:color w:val="auto"/>
          <w:sz w:val="21"/>
          <w:szCs w:val="21"/>
          <w:highlight w:val="none"/>
        </w:rPr>
        <w:t>协议附件</w:t>
      </w:r>
      <w:r>
        <w:rPr>
          <w:rFonts w:hint="eastAsia" w:ascii="宋体" w:hAnsi="宋体" w:eastAsia="宋体" w:cs="宋体"/>
          <w:caps w:val="0"/>
          <w:smallCaps w:val="0"/>
          <w:color w:val="auto"/>
          <w:sz w:val="21"/>
          <w:szCs w:val="21"/>
          <w:highlight w:val="none"/>
        </w:rPr>
        <w:tab/>
      </w:r>
      <w:r>
        <w:rPr>
          <w:rFonts w:hint="eastAsia" w:ascii="宋体" w:hAnsi="宋体" w:eastAsia="宋体" w:cs="宋体"/>
          <w:caps w:val="0"/>
          <w:smallCaps w:val="0"/>
          <w:color w:val="auto"/>
          <w:sz w:val="21"/>
          <w:szCs w:val="21"/>
          <w:highlight w:val="none"/>
        </w:rPr>
        <w:fldChar w:fldCharType="begin"/>
      </w:r>
      <w:r>
        <w:rPr>
          <w:rFonts w:hint="eastAsia" w:ascii="宋体" w:hAnsi="宋体" w:eastAsia="宋体" w:cs="宋体"/>
          <w:caps w:val="0"/>
          <w:smallCaps w:val="0"/>
          <w:color w:val="auto"/>
          <w:sz w:val="21"/>
          <w:szCs w:val="21"/>
          <w:highlight w:val="none"/>
        </w:rPr>
        <w:instrText xml:space="preserve"> PAGEREF _Toc545865552 \h </w:instrText>
      </w:r>
      <w:r>
        <w:rPr>
          <w:rFonts w:hint="eastAsia" w:ascii="宋体" w:hAnsi="宋体" w:eastAsia="宋体" w:cs="宋体"/>
          <w:caps w:val="0"/>
          <w:smallCaps w:val="0"/>
          <w:color w:val="auto"/>
          <w:sz w:val="21"/>
          <w:szCs w:val="21"/>
          <w:highlight w:val="none"/>
        </w:rPr>
        <w:fldChar w:fldCharType="separate"/>
      </w:r>
      <w:r>
        <w:rPr>
          <w:rFonts w:hint="eastAsia" w:ascii="宋体" w:hAnsi="宋体" w:eastAsia="宋体" w:cs="宋体"/>
          <w:caps w:val="0"/>
          <w:smallCaps w:val="0"/>
          <w:color w:val="auto"/>
          <w:sz w:val="21"/>
          <w:szCs w:val="21"/>
          <w:highlight w:val="none"/>
        </w:rPr>
        <w:t>105</w:t>
      </w:r>
      <w:r>
        <w:rPr>
          <w:rFonts w:hint="eastAsia" w:ascii="宋体" w:hAnsi="宋体" w:eastAsia="宋体" w:cs="宋体"/>
          <w:caps w:val="0"/>
          <w:smallCaps w:val="0"/>
          <w:color w:val="auto"/>
          <w:sz w:val="21"/>
          <w:szCs w:val="21"/>
          <w:highlight w:val="none"/>
        </w:rPr>
        <w:fldChar w:fldCharType="end"/>
      </w:r>
      <w:r>
        <w:rPr>
          <w:rFonts w:hint="eastAsia" w:ascii="宋体" w:hAnsi="宋体" w:eastAsia="宋体" w:cs="宋体"/>
          <w:caps w:val="0"/>
          <w:smallCaps w:val="0"/>
          <w:color w:val="auto"/>
          <w:sz w:val="21"/>
          <w:szCs w:val="21"/>
          <w:highlight w:val="none"/>
        </w:rPr>
        <w:fldChar w:fldCharType="end"/>
      </w:r>
    </w:p>
    <w:p w14:paraId="10D764E4">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caps w:val="0"/>
          <w:smallCaps w:val="0"/>
          <w:color w:val="auto"/>
          <w:sz w:val="28"/>
          <w:szCs w:val="28"/>
          <w:highlight w:val="none"/>
          <w:lang w:val="zh-CN"/>
        </w:rPr>
      </w:pPr>
      <w:r>
        <w:rPr>
          <w:rFonts w:hint="eastAsia" w:ascii="宋体" w:hAnsi="宋体" w:eastAsia="宋体" w:cs="宋体"/>
          <w:caps w:val="0"/>
          <w:smallCaps w:val="0"/>
          <w:color w:val="auto"/>
          <w:sz w:val="21"/>
          <w:szCs w:val="21"/>
          <w:highlight w:val="none"/>
          <w:lang w:val="zh-CN"/>
        </w:rPr>
        <w:fldChar w:fldCharType="end"/>
      </w:r>
    </w:p>
    <w:bookmarkEnd w:id="490"/>
    <w:p w14:paraId="09F2913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sectPr>
          <w:headerReference r:id="rId13" w:type="default"/>
          <w:footerReference r:id="rId14" w:type="default"/>
          <w:pgSz w:w="11906" w:h="16838"/>
          <w:pgMar w:top="1984" w:right="1616" w:bottom="1434" w:left="1616" w:header="851" w:footer="0" w:gutter="0"/>
          <w:pgNumType w:fmt="decimal"/>
          <w:cols w:space="708" w:num="1"/>
          <w:docGrid w:type="linesAndChars" w:linePitch="312" w:charSpace="0"/>
        </w:sectPr>
      </w:pPr>
    </w:p>
    <w:p w14:paraId="36DBF3A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为规范</w:t>
      </w:r>
      <w:r>
        <w:rPr>
          <w:rFonts w:hint="eastAsia" w:ascii="宋体" w:hAnsi="宋体" w:eastAsia="宋体" w:cs="宋体"/>
          <w:caps w:val="0"/>
          <w:smallCaps w:val="0"/>
          <w:color w:val="auto"/>
          <w:sz w:val="21"/>
          <w:szCs w:val="21"/>
          <w:highlight w:val="none"/>
          <w:lang w:eastAsia="zh-CN"/>
        </w:rPr>
        <w:t>政府和社会资本合作项目</w:t>
      </w:r>
      <w:r>
        <w:rPr>
          <w:rFonts w:hint="eastAsia" w:ascii="宋体" w:hAnsi="宋体" w:eastAsia="宋体" w:cs="宋体"/>
          <w:caps w:val="0"/>
          <w:smallCaps w:val="0"/>
          <w:color w:val="auto"/>
          <w:sz w:val="21"/>
          <w:szCs w:val="21"/>
          <w:highlight w:val="none"/>
        </w:rPr>
        <w:t>特许经营协议编制工作，根据《国务院办公厅转发国家发展改革委、财政部</w:t>
      </w:r>
      <w:bookmarkStart w:id="491" w:name="_Hlk158109991"/>
      <w:r>
        <w:rPr>
          <w:rFonts w:hint="eastAsia" w:ascii="宋体" w:hAnsi="宋体" w:eastAsia="宋体" w:cs="宋体"/>
          <w:caps w:val="0"/>
          <w:smallCaps w:val="0"/>
          <w:color w:val="auto"/>
          <w:sz w:val="21"/>
          <w:szCs w:val="21"/>
          <w:highlight w:val="none"/>
          <w:lang w:val="en"/>
        </w:rPr>
        <w:t>〈</w:t>
      </w:r>
      <w:r>
        <w:rPr>
          <w:rFonts w:hint="eastAsia" w:ascii="宋体" w:hAnsi="宋体" w:eastAsia="宋体" w:cs="宋体"/>
          <w:caps w:val="0"/>
          <w:smallCaps w:val="0"/>
          <w:color w:val="auto"/>
          <w:sz w:val="21"/>
          <w:szCs w:val="21"/>
          <w:highlight w:val="none"/>
        </w:rPr>
        <w:t>关于规范实施政府和社会资本合作新机制的指导意见</w:t>
      </w:r>
      <w:r>
        <w:rPr>
          <w:rFonts w:hint="eastAsia" w:ascii="宋体" w:hAnsi="宋体" w:eastAsia="宋体" w:cs="宋体"/>
          <w:caps w:val="0"/>
          <w:smallCaps w:val="0"/>
          <w:color w:val="auto"/>
          <w:sz w:val="21"/>
          <w:szCs w:val="21"/>
          <w:highlight w:val="none"/>
          <w:lang w:val="en"/>
        </w:rPr>
        <w:t>〉</w:t>
      </w:r>
      <w:bookmarkEnd w:id="491"/>
      <w:r>
        <w:rPr>
          <w:rFonts w:hint="eastAsia" w:ascii="宋体" w:hAnsi="宋体" w:eastAsia="宋体" w:cs="宋体"/>
          <w:caps w:val="0"/>
          <w:smallCaps w:val="0"/>
          <w:color w:val="auto"/>
          <w:sz w:val="21"/>
          <w:szCs w:val="21"/>
          <w:highlight w:val="none"/>
        </w:rPr>
        <w:t>的通知》</w:t>
      </w:r>
      <w:bookmarkStart w:id="492" w:name="_Hlk158110048"/>
      <w:r>
        <w:rPr>
          <w:rFonts w:hint="eastAsia" w:ascii="宋体" w:hAnsi="宋体" w:eastAsia="宋体" w:cs="宋体"/>
          <w:caps w:val="0"/>
          <w:smallCaps w:val="0"/>
          <w:color w:val="auto"/>
          <w:sz w:val="21"/>
          <w:szCs w:val="21"/>
          <w:highlight w:val="none"/>
          <w:lang w:val="en" w:eastAsia="zh-CN"/>
        </w:rPr>
        <w:t>（</w:t>
      </w:r>
      <w:r>
        <w:rPr>
          <w:rFonts w:hint="eastAsia" w:ascii="宋体" w:hAnsi="宋体" w:eastAsia="宋体" w:cs="宋体"/>
          <w:caps w:val="0"/>
          <w:smallCaps w:val="0"/>
          <w:color w:val="auto"/>
          <w:sz w:val="21"/>
          <w:szCs w:val="21"/>
          <w:highlight w:val="none"/>
        </w:rPr>
        <w:t>国办函〔2023〕115号</w:t>
      </w:r>
      <w:bookmarkEnd w:id="492"/>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、《基础设施和公用事业特许经营管理办法》（2024年第17号令），国家发展改革委特制定和发布《</w:t>
      </w:r>
      <w:r>
        <w:rPr>
          <w:rFonts w:hint="eastAsia" w:ascii="宋体" w:hAnsi="宋体" w:eastAsia="宋体" w:cs="宋体"/>
          <w:caps w:val="0"/>
          <w:smallCaps w:val="0"/>
          <w:color w:val="auto"/>
          <w:sz w:val="21"/>
          <w:szCs w:val="21"/>
          <w:highlight w:val="none"/>
          <w:lang w:eastAsia="zh-CN"/>
        </w:rPr>
        <w:t>政府和社会资本合作项目</w:t>
      </w:r>
      <w:r>
        <w:rPr>
          <w:rFonts w:hint="eastAsia" w:ascii="宋体" w:hAnsi="宋体" w:eastAsia="宋体" w:cs="宋体"/>
          <w:caps w:val="0"/>
          <w:smallCaps w:val="0"/>
          <w:color w:val="auto"/>
          <w:sz w:val="21"/>
          <w:szCs w:val="21"/>
          <w:highlight w:val="none"/>
        </w:rPr>
        <w:t>特许经营协议</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编制</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范本》（简称《范本》），指导各地</w:t>
      </w:r>
      <w:r>
        <w:rPr>
          <w:rFonts w:hint="eastAsia" w:ascii="宋体" w:hAnsi="宋体" w:eastAsia="宋体" w:cs="宋体"/>
          <w:caps w:val="0"/>
          <w:smallCaps w:val="0"/>
          <w:color w:val="auto"/>
          <w:sz w:val="21"/>
          <w:szCs w:val="21"/>
          <w:highlight w:val="none"/>
          <w:lang w:eastAsia="zh-CN"/>
        </w:rPr>
        <w:t>方</w:t>
      </w:r>
      <w:r>
        <w:rPr>
          <w:rFonts w:hint="eastAsia" w:ascii="宋体" w:hAnsi="宋体" w:eastAsia="宋体" w:cs="宋体"/>
          <w:caps w:val="0"/>
          <w:smallCaps w:val="0"/>
          <w:color w:val="auto"/>
          <w:sz w:val="21"/>
          <w:szCs w:val="21"/>
          <w:highlight w:val="none"/>
        </w:rPr>
        <w:t>按照新机制要求依法合规、稳妥有序实施政府和社会资本合作项目。《范本》主要基于国内</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建设</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运营</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移交</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BOT</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实施方式常见</w:t>
      </w:r>
      <w:r>
        <w:rPr>
          <w:rFonts w:hint="eastAsia" w:ascii="宋体" w:hAnsi="宋体" w:eastAsia="宋体" w:cs="宋体"/>
          <w:caps w:val="0"/>
          <w:smallCaps w:val="0"/>
          <w:color w:val="auto"/>
          <w:sz w:val="21"/>
          <w:szCs w:val="21"/>
          <w:highlight w:val="none"/>
          <w:lang w:eastAsia="zh-CN"/>
        </w:rPr>
        <w:t>条款</w:t>
      </w:r>
      <w:r>
        <w:rPr>
          <w:rFonts w:hint="eastAsia" w:ascii="宋体" w:hAnsi="宋体" w:eastAsia="宋体" w:cs="宋体"/>
          <w:caps w:val="0"/>
          <w:smallCaps w:val="0"/>
          <w:color w:val="auto"/>
          <w:sz w:val="21"/>
          <w:szCs w:val="21"/>
          <w:highlight w:val="none"/>
        </w:rPr>
        <w:t>条件编制，供相关项目参考使用，实践中需注意结合具体实施方式和项目实际情况协商调整。</w:t>
      </w:r>
    </w:p>
    <w:p w14:paraId="741937D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
          <w:bCs/>
          <w:caps w:val="0"/>
          <w:smallCaps w:val="0"/>
          <w:color w:val="auto"/>
          <w:sz w:val="21"/>
          <w:szCs w:val="21"/>
          <w:highlight w:val="none"/>
        </w:rPr>
      </w:pPr>
      <w:bookmarkStart w:id="493" w:name="_Toc152878836"/>
      <w:bookmarkStart w:id="494" w:name="_Toc154175369"/>
      <w:bookmarkStart w:id="495" w:name="_Toc154397035"/>
      <w:bookmarkStart w:id="496" w:name="_Toc152946759"/>
      <w:bookmarkStart w:id="497" w:name="_Toc154400861"/>
      <w:bookmarkStart w:id="498" w:name="_Toc154400142"/>
      <w:bookmarkStart w:id="499" w:name="_Toc152569511"/>
      <w:bookmarkStart w:id="500" w:name="_Toc1976703705"/>
      <w:r>
        <w:rPr>
          <w:rFonts w:hint="eastAsia" w:ascii="宋体" w:hAnsi="宋体" w:eastAsia="宋体" w:cs="宋体"/>
          <w:b/>
          <w:bCs/>
          <w:caps w:val="0"/>
          <w:smallCaps w:val="0"/>
          <w:color w:val="auto"/>
          <w:sz w:val="21"/>
          <w:szCs w:val="21"/>
          <w:highlight w:val="none"/>
          <w:lang w:eastAsia="zh-CN"/>
        </w:rPr>
        <w:t>一、</w:t>
      </w:r>
      <w:r>
        <w:rPr>
          <w:rFonts w:hint="eastAsia" w:ascii="宋体" w:hAnsi="宋体" w:eastAsia="宋体" w:cs="宋体"/>
          <w:b/>
          <w:bCs/>
          <w:caps w:val="0"/>
          <w:smallCaps w:val="0"/>
          <w:color w:val="auto"/>
          <w:sz w:val="21"/>
          <w:szCs w:val="21"/>
          <w:highlight w:val="none"/>
        </w:rPr>
        <w:t>特许经营协议</w:t>
      </w:r>
      <w:bookmarkEnd w:id="493"/>
      <w:bookmarkEnd w:id="494"/>
      <w:bookmarkEnd w:id="495"/>
      <w:bookmarkEnd w:id="496"/>
      <w:bookmarkEnd w:id="497"/>
      <w:bookmarkEnd w:id="498"/>
      <w:bookmarkEnd w:id="499"/>
      <w:r>
        <w:rPr>
          <w:rFonts w:hint="eastAsia" w:ascii="宋体" w:hAnsi="宋体" w:eastAsia="宋体" w:cs="宋体"/>
          <w:b/>
          <w:bCs/>
          <w:caps w:val="0"/>
          <w:smallCaps w:val="0"/>
          <w:color w:val="auto"/>
          <w:sz w:val="21"/>
          <w:szCs w:val="21"/>
          <w:highlight w:val="none"/>
        </w:rPr>
        <w:t>体系</w:t>
      </w:r>
      <w:bookmarkEnd w:id="500"/>
    </w:p>
    <w:p w14:paraId="433C500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en-US" w:eastAsia="zh-CN"/>
        </w:rPr>
        <w:t>1.</w:t>
      </w:r>
      <w:r>
        <w:rPr>
          <w:rFonts w:hint="eastAsia" w:ascii="宋体" w:hAnsi="宋体" w:eastAsia="宋体" w:cs="宋体"/>
          <w:caps w:val="0"/>
          <w:smallCaps w:val="0"/>
          <w:color w:val="auto"/>
          <w:sz w:val="21"/>
          <w:szCs w:val="21"/>
          <w:highlight w:val="none"/>
        </w:rPr>
        <w:t>特许经营协议。</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通过</w:t>
      </w:r>
      <w:r>
        <w:rPr>
          <w:rFonts w:hint="eastAsia" w:ascii="宋体" w:hAnsi="宋体" w:eastAsia="宋体" w:cs="宋体"/>
          <w:caps w:val="0"/>
          <w:smallCaps w:val="0"/>
          <w:color w:val="auto"/>
          <w:sz w:val="21"/>
          <w:szCs w:val="21"/>
          <w:highlight w:val="none"/>
          <w:lang w:eastAsia="zh-CN"/>
        </w:rPr>
        <w:t>公开招标等</w:t>
      </w:r>
      <w:r>
        <w:rPr>
          <w:rFonts w:hint="eastAsia" w:ascii="宋体" w:hAnsi="宋体" w:eastAsia="宋体" w:cs="宋体"/>
          <w:caps w:val="0"/>
          <w:smallCaps w:val="0"/>
          <w:color w:val="auto"/>
          <w:sz w:val="21"/>
          <w:szCs w:val="21"/>
          <w:highlight w:val="none"/>
        </w:rPr>
        <w:t>公开竞争方式选定特许经营者后，</w:t>
      </w:r>
      <w:r>
        <w:rPr>
          <w:rFonts w:hint="eastAsia" w:ascii="宋体" w:hAnsi="宋体" w:eastAsia="宋体" w:cs="宋体"/>
          <w:caps w:val="0"/>
          <w:smallCaps w:val="0"/>
          <w:color w:val="auto"/>
          <w:sz w:val="21"/>
          <w:szCs w:val="21"/>
          <w:highlight w:val="none"/>
          <w:lang w:eastAsia="zh-CN"/>
        </w:rPr>
        <w:t>如</w:t>
      </w:r>
      <w:r>
        <w:rPr>
          <w:rFonts w:hint="eastAsia" w:ascii="宋体" w:hAnsi="宋体" w:eastAsia="宋体" w:cs="宋体"/>
          <w:caps w:val="0"/>
          <w:smallCaps w:val="0"/>
          <w:color w:val="auto"/>
          <w:sz w:val="21"/>
          <w:szCs w:val="21"/>
          <w:highlight w:val="none"/>
        </w:rPr>
        <w:t>特许经营者按要求（如有）设立特许经营项目公司，由</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与项目公司签署特许经营协议</w:t>
      </w:r>
      <w:r>
        <w:rPr>
          <w:rFonts w:hint="eastAsia" w:ascii="宋体" w:hAnsi="宋体" w:eastAsia="宋体" w:cs="宋体"/>
          <w:caps w:val="0"/>
          <w:smallCaps w:val="0"/>
          <w:color w:val="auto"/>
          <w:sz w:val="21"/>
          <w:szCs w:val="21"/>
          <w:highlight w:val="none"/>
          <w:lang w:val="en-US" w:eastAsia="zh-CN"/>
        </w:rPr>
        <w:t>，</w:t>
      </w:r>
      <w:r>
        <w:rPr>
          <w:rFonts w:hint="eastAsia" w:ascii="宋体" w:hAnsi="宋体" w:eastAsia="宋体" w:cs="宋体"/>
          <w:caps w:val="0"/>
          <w:smallCaps w:val="0"/>
          <w:color w:val="auto"/>
          <w:sz w:val="21"/>
          <w:szCs w:val="21"/>
          <w:highlight w:val="none"/>
        </w:rPr>
        <w:t>如不设立项目公司，则由</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与特许经营者签署特许经营协议。《范本》采纳需要设立项目公司的情形。</w:t>
      </w:r>
    </w:p>
    <w:p w14:paraId="7D891CF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en-US" w:eastAsia="zh-CN"/>
        </w:rPr>
        <w:t>2.</w:t>
      </w:r>
      <w:r>
        <w:rPr>
          <w:rFonts w:hint="eastAsia" w:ascii="宋体" w:hAnsi="宋体" w:eastAsia="宋体" w:cs="宋体"/>
          <w:caps w:val="0"/>
          <w:smallCaps w:val="0"/>
          <w:color w:val="auto"/>
          <w:sz w:val="21"/>
          <w:szCs w:val="21"/>
          <w:highlight w:val="none"/>
        </w:rPr>
        <w:t>初步协议。由</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与选定的特许经营者先行签署初步协议，约定其在规定期限内成立项目公司并完成出资、提供融资支持等义务、</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与项目公司签订特许经营协议等事项。初步协议条款应包括特许经营者的主体资格及主要权利和义务，其中</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主要权利包括</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设立项目公司的权利</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按相关法律法规和项目公司股东协议约定拥有项目公司的股东权利</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主要义务包括</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按与</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约定的时间、地点、形式等条件注册成立项目公司并由项目公司签订特许经营协议，按项目公司股东协议约定履行相应股东义务，遵守股权转让限制等约定</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以恰当方式监督指导项目公司全面履行特许经营协议</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按特许经营协议和相关协议约定为项目公司提供融资支持</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为保障项目公司具备足够的特许经营协议履约能力而提供必要的人力、技术、经验等资源支持，以及根据适用法律和相关约定承担相应的民事补充责任等。如特许经营项目公司组建涉及政府资本金注入投资参与，则政府出资人代表也应共同签署初步协议。</w:t>
      </w:r>
      <w:bookmarkStart w:id="501" w:name="_Hlk158089045"/>
      <w:r>
        <w:rPr>
          <w:rFonts w:hint="eastAsia" w:ascii="宋体" w:hAnsi="宋体" w:eastAsia="宋体" w:cs="宋体"/>
          <w:caps w:val="0"/>
          <w:smallCaps w:val="0"/>
          <w:color w:val="auto"/>
          <w:sz w:val="21"/>
          <w:szCs w:val="21"/>
          <w:highlight w:val="none"/>
        </w:rPr>
        <w:t>项目公司成立后</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由</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和项目公司签订特许经营协议。</w:t>
      </w:r>
      <w:bookmarkEnd w:id="501"/>
    </w:p>
    <w:p w14:paraId="099132A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en-US" w:eastAsia="zh-CN"/>
        </w:rPr>
        <w:t>3.</w:t>
      </w:r>
      <w:r>
        <w:rPr>
          <w:rFonts w:hint="eastAsia" w:ascii="宋体" w:hAnsi="宋体" w:eastAsia="宋体" w:cs="宋体"/>
          <w:caps w:val="0"/>
          <w:smallCaps w:val="0"/>
          <w:color w:val="auto"/>
          <w:sz w:val="21"/>
          <w:szCs w:val="21"/>
          <w:highlight w:val="none"/>
        </w:rPr>
        <w:t>股东协议和公司章程。为组建项目公司，由特许经营者及其联合体全体成员单位</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如有</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、政府资本金注入方式政府出资人代表</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如有</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共同签署项目公司股东协议和公司章程。</w:t>
      </w:r>
    </w:p>
    <w:p w14:paraId="3AB332E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en-US" w:eastAsia="zh-CN"/>
        </w:rPr>
        <w:t>4.</w:t>
      </w:r>
      <w:r>
        <w:rPr>
          <w:rFonts w:hint="eastAsia" w:ascii="宋体" w:hAnsi="宋体" w:eastAsia="宋体" w:cs="宋体"/>
          <w:caps w:val="0"/>
          <w:smallCaps w:val="0"/>
          <w:color w:val="auto"/>
          <w:sz w:val="21"/>
          <w:szCs w:val="21"/>
          <w:highlight w:val="none"/>
        </w:rPr>
        <w:t>对于特许经营协议履约阶段的补充协议或变更协议等。由</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与项目公司或特许经营者</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不设立项目公司</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签订，必要时与特许经营者和项目公司共同签订。</w:t>
      </w:r>
    </w:p>
    <w:p w14:paraId="61AF06D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val="en-US" w:eastAsia="zh-CN"/>
        </w:rPr>
        <w:t>5.</w:t>
      </w:r>
      <w:r>
        <w:rPr>
          <w:rFonts w:hint="eastAsia" w:ascii="宋体" w:hAnsi="宋体" w:eastAsia="宋体" w:cs="宋体"/>
          <w:caps w:val="0"/>
          <w:smallCaps w:val="0"/>
          <w:color w:val="auto"/>
          <w:sz w:val="21"/>
          <w:szCs w:val="21"/>
          <w:highlight w:val="none"/>
        </w:rPr>
        <w:t>因项目自身特点而</w:t>
      </w:r>
      <w:r>
        <w:rPr>
          <w:rFonts w:hint="eastAsia" w:ascii="宋体" w:hAnsi="宋体" w:eastAsia="宋体" w:cs="宋体"/>
          <w:caps w:val="0"/>
          <w:smallCaps w:val="0"/>
          <w:color w:val="auto"/>
          <w:sz w:val="21"/>
          <w:szCs w:val="21"/>
          <w:highlight w:val="none"/>
          <w:lang w:eastAsia="zh-CN"/>
        </w:rPr>
        <w:t>必须</w:t>
      </w:r>
      <w:r>
        <w:rPr>
          <w:rFonts w:hint="eastAsia" w:ascii="宋体" w:hAnsi="宋体" w:eastAsia="宋体" w:cs="宋体"/>
          <w:caps w:val="0"/>
          <w:smallCaps w:val="0"/>
          <w:color w:val="auto"/>
          <w:sz w:val="21"/>
          <w:szCs w:val="21"/>
          <w:highlight w:val="none"/>
        </w:rPr>
        <w:t>签署的其他重要项目协议。初步协议、特许经营协议除约定政府方与特许经营者及项目公司之间行政管理事务，例如授予项目特许经营、排他承诺、风险分担机制、监督管理、公共利益保障、验收移交等事项外，也会存在政府定价和调价以外的服务价费支付、配套服务供给及补偿款支付等民商事内容，特别是涉及第三方履行或向第三方履行的情况。如条件适宜，各方可在特许经营协议以外签署特许经营相关协议，例如由购买服务或代收付用户付费的第三方与项目公司签署协议等。</w:t>
      </w:r>
    </w:p>
    <w:p w14:paraId="5E0CA597">
      <w:pPr>
        <w:keepNext w:val="0"/>
        <w:keepLines w:val="0"/>
        <w:pageBreakBefore w:val="0"/>
        <w:widowControl w:val="0"/>
        <w:numPr>
          <w:ilvl w:val="0"/>
          <w:numId w:val="0"/>
        </w:numPr>
        <w:tabs>
          <w:tab w:val="left" w:pos="1418"/>
        </w:tabs>
        <w:kinsoku/>
        <w:wordWrap/>
        <w:overflowPunct/>
        <w:topLinePunct w:val="0"/>
        <w:bidi w:val="0"/>
        <w:spacing w:before="0" w:beforeLines="0" w:beforeAutospacing="0" w:after="0" w:afterLines="0" w:afterAutospacing="0" w:line="360" w:lineRule="auto"/>
        <w:ind w:left="565" w:leftChars="0"/>
        <w:outlineLvl w:val="1"/>
        <w:rPr>
          <w:rFonts w:hint="eastAsia" w:ascii="宋体" w:hAnsi="宋体" w:eastAsia="宋体" w:cs="宋体"/>
          <w:b/>
          <w:bCs/>
          <w:caps w:val="0"/>
          <w:smallCaps w:val="0"/>
          <w:color w:val="auto"/>
          <w:highlight w:val="none"/>
        </w:rPr>
      </w:pPr>
      <w:bookmarkStart w:id="502" w:name="_Toc279619698"/>
      <w:bookmarkStart w:id="503" w:name="_Toc154400862"/>
      <w:bookmarkStart w:id="504" w:name="_Toc154397036"/>
      <w:bookmarkStart w:id="505" w:name="_Toc154400143"/>
      <w:bookmarkStart w:id="506" w:name="_Toc154175370"/>
      <w:r>
        <w:rPr>
          <w:rFonts w:hint="eastAsia" w:ascii="宋体" w:hAnsi="宋体" w:cs="宋体"/>
          <w:b/>
          <w:bCs/>
          <w:caps w:val="0"/>
          <w:smallCaps w:val="0"/>
          <w:color w:val="auto"/>
          <w:highlight w:val="none"/>
          <w:lang w:eastAsia="zh-CN"/>
        </w:rPr>
        <w:t>二、</w:t>
      </w:r>
      <w:r>
        <w:rPr>
          <w:rFonts w:hint="eastAsia" w:ascii="宋体" w:hAnsi="宋体" w:eastAsia="宋体" w:cs="宋体"/>
          <w:b/>
          <w:bCs/>
          <w:caps w:val="0"/>
          <w:smallCaps w:val="0"/>
          <w:color w:val="auto"/>
          <w:highlight w:val="none"/>
        </w:rPr>
        <w:t>《范本》使用说明</w:t>
      </w:r>
      <w:bookmarkEnd w:id="502"/>
      <w:bookmarkEnd w:id="503"/>
      <w:bookmarkEnd w:id="504"/>
      <w:bookmarkEnd w:id="505"/>
      <w:bookmarkEnd w:id="506"/>
    </w:p>
    <w:p w14:paraId="47CDEE1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1.《范本》列示了国内BOT实施方式常见条款条件参考文本，组成相对完整的条款体系，努力体现特许经营理念方法和我国特许经营管理要求，供相关项目参考使用，实践中需以《范本》为基础结合具体实施方式和项目实际情况协商约定，做必要调整修订后使用。</w:t>
      </w:r>
    </w:p>
    <w:p w14:paraId="07AF901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2.特许经营项目类型多样、情况复杂，《范本》部分条款列示了特定行业应用内容，部分条款包含了通用参考性较弱的内容，作为示例并予以标注。</w:t>
      </w:r>
    </w:p>
    <w:p w14:paraId="510E0139">
      <w:pPr>
        <w:keepNext w:val="0"/>
        <w:keepLines w:val="0"/>
        <w:pageBreakBefore w:val="0"/>
        <w:widowControl w:val="0"/>
        <w:tabs>
          <w:tab w:val="left" w:pos="851"/>
          <w:tab w:val="left" w:pos="993"/>
        </w:tabs>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caps w:val="0"/>
          <w:smallCaps w:val="0"/>
          <w:color w:val="auto"/>
          <w:kern w:val="44"/>
          <w:highlight w:val="none"/>
        </w:rPr>
      </w:pPr>
      <w:r>
        <w:rPr>
          <w:rFonts w:hint="eastAsia" w:ascii="宋体" w:hAnsi="宋体" w:eastAsia="宋体" w:cs="宋体"/>
          <w:caps w:val="0"/>
          <w:smallCaps w:val="0"/>
          <w:color w:val="auto"/>
          <w:highlight w:val="none"/>
        </w:rPr>
        <w:br w:type="page"/>
      </w:r>
      <w:r>
        <w:rPr>
          <w:rFonts w:hint="eastAsia" w:ascii="宋体" w:hAnsi="宋体" w:eastAsia="宋体" w:cs="宋体"/>
          <w:caps w:val="0"/>
          <w:smallCaps w:val="0"/>
          <w:color w:val="auto"/>
          <w:kern w:val="44"/>
          <w:highlight w:val="none"/>
        </w:rPr>
        <w:t>特许经营协议（编制）范本</w:t>
      </w:r>
    </w:p>
    <w:p w14:paraId="15E1538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5C16F4F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64C5C65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49E77B7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7BB915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BEB9F2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0A077CF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131A31E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jc w:val="center"/>
        <w:rPr>
          <w:rFonts w:hint="eastAsia" w:ascii="宋体" w:hAnsi="宋体" w:eastAsia="宋体" w:cs="宋体"/>
          <w:caps w:val="0"/>
          <w:smallCaps w:val="0"/>
          <w:color w:val="auto"/>
          <w:sz w:val="40"/>
          <w:szCs w:val="40"/>
          <w:highlight w:val="none"/>
          <w:lang w:val="en-US" w:eastAsia="zh-CN"/>
        </w:rPr>
      </w:pPr>
      <w:r>
        <w:rPr>
          <w:rFonts w:hint="eastAsia" w:ascii="宋体" w:hAnsi="宋体" w:eastAsia="宋体" w:cs="宋体"/>
          <w:caps w:val="0"/>
          <w:smallCaps w:val="0"/>
          <w:color w:val="auto"/>
          <w:sz w:val="40"/>
          <w:szCs w:val="40"/>
          <w:highlight w:val="none"/>
          <w:lang w:val="en-US" w:eastAsia="zh-CN"/>
        </w:rPr>
        <w:t>****项目</w:t>
      </w:r>
    </w:p>
    <w:p w14:paraId="5C7DE8D5">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jc w:val="center"/>
        <w:rPr>
          <w:rFonts w:hint="eastAsia" w:ascii="宋体" w:hAnsi="宋体" w:eastAsia="宋体" w:cs="宋体"/>
          <w:caps w:val="0"/>
          <w:smallCaps w:val="0"/>
          <w:color w:val="auto"/>
          <w:sz w:val="40"/>
          <w:szCs w:val="40"/>
          <w:highlight w:val="none"/>
          <w:lang w:val="en-US" w:eastAsia="zh-CN"/>
        </w:rPr>
      </w:pPr>
      <w:r>
        <w:rPr>
          <w:rFonts w:hint="eastAsia" w:ascii="宋体" w:hAnsi="宋体" w:eastAsia="宋体" w:cs="宋体"/>
          <w:caps w:val="0"/>
          <w:smallCaps w:val="0"/>
          <w:color w:val="auto"/>
          <w:sz w:val="40"/>
          <w:szCs w:val="40"/>
          <w:highlight w:val="none"/>
          <w:lang w:val="en-US" w:eastAsia="zh-CN"/>
        </w:rPr>
        <w:t>特许经营协议</w:t>
      </w:r>
    </w:p>
    <w:p w14:paraId="54F7BB3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56C4BEE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4B68CE9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92F610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4C98BCF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6AF72F5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16DA627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67262E3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32C7731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0CD3289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610F39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66C09FD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304A1B0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44039A3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w:t>
      </w:r>
    </w:p>
    <w:p w14:paraId="7A4A76D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2D864B2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w:t>
      </w:r>
    </w:p>
    <w:p w14:paraId="351675C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71B0D10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签订日期：</w:t>
      </w:r>
      <w:r>
        <w:rPr>
          <w:rFonts w:hint="eastAsia" w:ascii="宋体" w:hAnsi="宋体" w:cs="宋体"/>
          <w:caps w:val="0"/>
          <w:smallCaps w:val="0"/>
          <w:color w:val="auto"/>
          <w:highlight w:val="none"/>
          <w:lang w:val="en-US" w:eastAsia="zh-CN"/>
        </w:rPr>
        <w:t xml:space="preserve">  </w:t>
      </w:r>
      <w:r>
        <w:rPr>
          <w:rFonts w:hint="eastAsia" w:ascii="宋体" w:hAnsi="宋体" w:eastAsia="宋体" w:cs="宋体"/>
          <w:caps w:val="0"/>
          <w:smallCaps w:val="0"/>
          <w:color w:val="auto"/>
          <w:highlight w:val="none"/>
        </w:rPr>
        <w:t>年</w:t>
      </w:r>
      <w:r>
        <w:rPr>
          <w:rFonts w:hint="eastAsia" w:ascii="宋体" w:hAnsi="宋体" w:cs="宋体"/>
          <w:caps w:val="0"/>
          <w:smallCaps w:val="0"/>
          <w:color w:val="auto"/>
          <w:highlight w:val="none"/>
          <w:lang w:val="en-US" w:eastAsia="zh-CN"/>
        </w:rPr>
        <w:t xml:space="preserve">  </w:t>
      </w:r>
      <w:r>
        <w:rPr>
          <w:rFonts w:hint="eastAsia" w:ascii="宋体" w:hAnsi="宋体" w:eastAsia="宋体" w:cs="宋体"/>
          <w:caps w:val="0"/>
          <w:smallCaps w:val="0"/>
          <w:color w:val="auto"/>
          <w:highlight w:val="none"/>
        </w:rPr>
        <w:t>月</w:t>
      </w:r>
      <w:r>
        <w:rPr>
          <w:rFonts w:hint="eastAsia" w:ascii="宋体" w:hAnsi="宋体" w:cs="宋体"/>
          <w:caps w:val="0"/>
          <w:smallCaps w:val="0"/>
          <w:color w:val="auto"/>
          <w:highlight w:val="none"/>
          <w:lang w:val="en-US" w:eastAsia="zh-CN"/>
        </w:rPr>
        <w:t xml:space="preserve">   </w:t>
      </w:r>
      <w:r>
        <w:rPr>
          <w:rFonts w:hint="eastAsia" w:ascii="宋体" w:hAnsi="宋体" w:eastAsia="宋体" w:cs="宋体"/>
          <w:caps w:val="0"/>
          <w:smallCaps w:val="0"/>
          <w:color w:val="auto"/>
          <w:highlight w:val="none"/>
        </w:rPr>
        <w:t>日</w:t>
      </w:r>
    </w:p>
    <w:p w14:paraId="519ACF6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br w:type="page"/>
      </w:r>
      <w:r>
        <w:rPr>
          <w:rFonts w:hint="eastAsia" w:ascii="宋体" w:hAnsi="宋体" w:eastAsia="宋体" w:cs="宋体"/>
          <w:caps w:val="0"/>
          <w:smallCaps w:val="0"/>
          <w:color w:val="auto"/>
          <w:highlight w:val="none"/>
        </w:rPr>
        <w:t>【说明：由</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与项目公司签署，甲方为</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、乙方为项目公司。】</w:t>
      </w:r>
    </w:p>
    <w:p w14:paraId="4C1F4B1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本协议由以下双方于</w:t>
      </w:r>
      <w:r>
        <w:rPr>
          <w:rFonts w:hint="eastAsia" w:ascii="宋体" w:hAnsi="宋体" w:eastAsia="宋体" w:cs="宋体"/>
          <w:caps w:val="0"/>
          <w:smallCaps w:val="0"/>
          <w:color w:val="auto"/>
          <w:highlight w:val="none"/>
          <w:u w:val="single"/>
        </w:rPr>
        <w:t>【年月日】</w:t>
      </w:r>
      <w:r>
        <w:rPr>
          <w:rFonts w:hint="eastAsia" w:ascii="宋体" w:hAnsi="宋体" w:eastAsia="宋体" w:cs="宋体"/>
          <w:caps w:val="0"/>
          <w:smallCaps w:val="0"/>
          <w:color w:val="auto"/>
          <w:highlight w:val="none"/>
        </w:rPr>
        <w:t>在</w:t>
      </w:r>
      <w:r>
        <w:rPr>
          <w:rFonts w:hint="eastAsia" w:ascii="宋体" w:hAnsi="宋体" w:eastAsia="宋体" w:cs="宋体"/>
          <w:caps w:val="0"/>
          <w:smallCaps w:val="0"/>
          <w:color w:val="auto"/>
          <w:highlight w:val="none"/>
          <w:u w:val="single"/>
        </w:rPr>
        <w:t>【地点】</w:t>
      </w:r>
      <w:r>
        <w:rPr>
          <w:rFonts w:hint="eastAsia" w:ascii="宋体" w:hAnsi="宋体" w:eastAsia="宋体" w:cs="宋体"/>
          <w:caps w:val="0"/>
          <w:smallCaps w:val="0"/>
          <w:color w:val="auto"/>
          <w:highlight w:val="none"/>
        </w:rPr>
        <w:t>签署：</w:t>
      </w:r>
    </w:p>
    <w:p w14:paraId="0363C4B8">
      <w:pPr>
        <w:pStyle w:val="370"/>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lang w:eastAsia="zh-CN"/>
        </w:rPr>
      </w:pPr>
      <w:r>
        <w:rPr>
          <w:rFonts w:hint="eastAsia" w:ascii="宋体" w:hAnsi="宋体" w:eastAsia="宋体" w:cs="宋体"/>
          <w:caps w:val="0"/>
          <w:smallCaps w:val="0"/>
          <w:color w:val="auto"/>
          <w:sz w:val="24"/>
          <w:szCs w:val="24"/>
          <w:highlight w:val="none"/>
        </w:rPr>
        <w:t>甲方：</w:t>
      </w:r>
    </w:p>
    <w:p w14:paraId="3F786E6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lang w:eastAsia="zh-CN"/>
        </w:rPr>
      </w:pPr>
      <w:r>
        <w:rPr>
          <w:rFonts w:hint="eastAsia" w:ascii="宋体" w:hAnsi="宋体" w:eastAsia="宋体" w:cs="宋体"/>
          <w:caps w:val="0"/>
          <w:smallCaps w:val="0"/>
          <w:color w:val="auto"/>
          <w:sz w:val="24"/>
          <w:szCs w:val="24"/>
          <w:highlight w:val="none"/>
        </w:rPr>
        <w:t>注册地址：</w:t>
      </w:r>
    </w:p>
    <w:p w14:paraId="0167224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lang w:eastAsia="zh-CN"/>
        </w:rPr>
      </w:pPr>
      <w:r>
        <w:rPr>
          <w:rFonts w:hint="eastAsia" w:ascii="宋体" w:hAnsi="宋体" w:eastAsia="宋体" w:cs="宋体"/>
          <w:caps w:val="0"/>
          <w:smallCaps w:val="0"/>
          <w:color w:val="auto"/>
          <w:sz w:val="24"/>
          <w:szCs w:val="24"/>
          <w:highlight w:val="none"/>
        </w:rPr>
        <w:t>法定代表人：</w:t>
      </w:r>
    </w:p>
    <w:p w14:paraId="5A722E6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rPr>
      </w:pPr>
    </w:p>
    <w:p w14:paraId="5D45B41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lang w:eastAsia="zh-CN"/>
        </w:rPr>
      </w:pPr>
      <w:r>
        <w:rPr>
          <w:rFonts w:hint="eastAsia" w:ascii="宋体" w:hAnsi="宋体" w:eastAsia="宋体" w:cs="宋体"/>
          <w:caps w:val="0"/>
          <w:smallCaps w:val="0"/>
          <w:color w:val="auto"/>
          <w:sz w:val="24"/>
          <w:szCs w:val="24"/>
          <w:highlight w:val="none"/>
        </w:rPr>
        <w:t>乙方：</w:t>
      </w:r>
    </w:p>
    <w:p w14:paraId="073BC5B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4"/>
          <w:szCs w:val="24"/>
          <w:highlight w:val="none"/>
          <w:lang w:eastAsia="zh-CN"/>
        </w:rPr>
      </w:pPr>
      <w:r>
        <w:rPr>
          <w:rFonts w:hint="eastAsia" w:ascii="宋体" w:hAnsi="宋体" w:eastAsia="宋体" w:cs="宋体"/>
          <w:caps w:val="0"/>
          <w:smallCaps w:val="0"/>
          <w:color w:val="auto"/>
          <w:sz w:val="24"/>
          <w:szCs w:val="24"/>
          <w:highlight w:val="none"/>
        </w:rPr>
        <w:t>注册地址：</w:t>
      </w:r>
    </w:p>
    <w:p w14:paraId="6388D5D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8"/>
          <w:szCs w:val="28"/>
          <w:highlight w:val="none"/>
          <w:lang w:eastAsia="zh-CN"/>
        </w:rPr>
      </w:pPr>
      <w:r>
        <w:rPr>
          <w:rFonts w:hint="eastAsia" w:ascii="宋体" w:hAnsi="宋体" w:eastAsia="宋体" w:cs="宋体"/>
          <w:caps w:val="0"/>
          <w:smallCaps w:val="0"/>
          <w:color w:val="auto"/>
          <w:sz w:val="24"/>
          <w:szCs w:val="24"/>
          <w:highlight w:val="none"/>
        </w:rPr>
        <w:t>法定代表人</w:t>
      </w:r>
      <w:r>
        <w:rPr>
          <w:rFonts w:hint="eastAsia" w:ascii="宋体" w:hAnsi="宋体" w:eastAsia="宋体" w:cs="宋体"/>
          <w:caps w:val="0"/>
          <w:smallCaps w:val="0"/>
          <w:color w:val="auto"/>
          <w:sz w:val="28"/>
          <w:szCs w:val="28"/>
          <w:highlight w:val="none"/>
        </w:rPr>
        <w:t>：</w:t>
      </w:r>
    </w:p>
    <w:p w14:paraId="2F63D7A4">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caps w:val="0"/>
          <w:smallCaps w:val="0"/>
          <w:color w:val="auto"/>
          <w:sz w:val="28"/>
          <w:szCs w:val="28"/>
          <w:highlight w:val="none"/>
          <w:lang w:eastAsia="zh-CN"/>
        </w:rPr>
      </w:pPr>
    </w:p>
    <w:p w14:paraId="70204B3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鉴于：</w:t>
      </w:r>
    </w:p>
    <w:p w14:paraId="52C8894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【说明：为便于理解和执行本协议和其他相关合同，应当简要介绍项目基本情况、本协议订立前项目前期工作开展情况、特许经营方案审核、特许经营者选择等协议签署背景。】</w:t>
      </w:r>
    </w:p>
    <w:p w14:paraId="412629E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1.</w:t>
      </w:r>
      <w:r>
        <w:rPr>
          <w:rFonts w:hint="eastAsia" w:ascii="宋体" w:hAnsi="宋体" w:eastAsia="宋体" w:cs="宋体"/>
          <w:caps w:val="0"/>
          <w:smallCaps w:val="0"/>
          <w:color w:val="auto"/>
          <w:sz w:val="21"/>
          <w:szCs w:val="21"/>
          <w:highlight w:val="none"/>
          <w:u w:val="single"/>
        </w:rPr>
        <w:t>【】</w:t>
      </w:r>
      <w:r>
        <w:rPr>
          <w:rFonts w:hint="eastAsia" w:ascii="宋体" w:hAnsi="宋体" w:eastAsia="宋体" w:cs="宋体"/>
          <w:caps w:val="0"/>
          <w:smallCaps w:val="0"/>
          <w:color w:val="auto"/>
          <w:sz w:val="21"/>
          <w:szCs w:val="21"/>
          <w:highlight w:val="none"/>
        </w:rPr>
        <w:t>项目（以下简称本项目）特许经营方案（以下简称《特许经营方案》）已由【特许经营方案审核单位名称】审核通过。</w:t>
      </w:r>
    </w:p>
    <w:p w14:paraId="4B87455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2</w:t>
      </w:r>
      <w:r>
        <w:rPr>
          <w:rFonts w:hint="eastAsia" w:ascii="宋体" w:hAnsi="宋体" w:cs="宋体"/>
          <w:caps w:val="0"/>
          <w:smallCaps w:val="0"/>
          <w:color w:val="auto"/>
          <w:sz w:val="21"/>
          <w:szCs w:val="21"/>
          <w:highlight w:val="none"/>
          <w:lang w:val="en-US" w:eastAsia="zh-CN"/>
        </w:rPr>
        <w:t>.</w:t>
      </w:r>
      <w:r>
        <w:rPr>
          <w:rFonts w:hint="eastAsia" w:ascii="宋体" w:hAnsi="宋体" w:eastAsia="宋体" w:cs="宋体"/>
          <w:caps w:val="0"/>
          <w:smallCaps w:val="0"/>
          <w:color w:val="auto"/>
          <w:sz w:val="21"/>
          <w:szCs w:val="21"/>
          <w:highlight w:val="none"/>
          <w:u w:val="single"/>
        </w:rPr>
        <w:t>【】</w:t>
      </w:r>
      <w:r>
        <w:rPr>
          <w:rFonts w:hint="eastAsia" w:ascii="宋体" w:hAnsi="宋体" w:eastAsia="宋体" w:cs="宋体"/>
          <w:caps w:val="0"/>
          <w:smallCaps w:val="0"/>
          <w:color w:val="auto"/>
          <w:sz w:val="21"/>
          <w:szCs w:val="21"/>
          <w:highlight w:val="none"/>
        </w:rPr>
        <w:t>人民政府授权【甲方】作为</w:t>
      </w:r>
      <w:r>
        <w:rPr>
          <w:rFonts w:hint="eastAsia" w:ascii="宋体" w:hAnsi="宋体" w:cs="宋体"/>
          <w:caps w:val="0"/>
          <w:smallCaps w:val="0"/>
          <w:color w:val="auto"/>
          <w:sz w:val="21"/>
          <w:szCs w:val="21"/>
          <w:highlight w:val="none"/>
          <w:lang w:eastAsia="zh-CN"/>
        </w:rPr>
        <w:t>项目实施机构</w:t>
      </w:r>
      <w:r>
        <w:rPr>
          <w:rFonts w:hint="eastAsia" w:ascii="宋体" w:hAnsi="宋体" w:eastAsia="宋体" w:cs="宋体"/>
          <w:caps w:val="0"/>
          <w:smallCaps w:val="0"/>
          <w:color w:val="auto"/>
          <w:sz w:val="21"/>
          <w:szCs w:val="21"/>
          <w:highlight w:val="none"/>
        </w:rPr>
        <w:t>负责本项目的具体实施。甲方已通过【招标、谈判等】公开竞争方式选定</w:t>
      </w:r>
      <w:r>
        <w:rPr>
          <w:rFonts w:hint="eastAsia" w:ascii="宋体" w:hAnsi="宋体" w:eastAsia="宋体" w:cs="宋体"/>
          <w:caps w:val="0"/>
          <w:smallCaps w:val="0"/>
          <w:color w:val="auto"/>
          <w:sz w:val="21"/>
          <w:szCs w:val="21"/>
          <w:highlight w:val="none"/>
          <w:u w:val="single"/>
        </w:rPr>
        <w:t>【】</w:t>
      </w:r>
      <w:r>
        <w:rPr>
          <w:rFonts w:hint="eastAsia" w:ascii="宋体" w:hAnsi="宋体" w:eastAsia="宋体" w:cs="宋体"/>
          <w:caps w:val="0"/>
          <w:smallCaps w:val="0"/>
          <w:color w:val="auto"/>
          <w:sz w:val="21"/>
          <w:szCs w:val="21"/>
          <w:highlight w:val="none"/>
        </w:rPr>
        <w:t>为本项目的特许经营者，并于</w:t>
      </w:r>
      <w:r>
        <w:rPr>
          <w:rFonts w:hint="eastAsia" w:ascii="宋体" w:hAnsi="宋体" w:eastAsia="宋体" w:cs="宋体"/>
          <w:caps w:val="0"/>
          <w:smallCaps w:val="0"/>
          <w:color w:val="auto"/>
          <w:sz w:val="21"/>
          <w:szCs w:val="21"/>
          <w:highlight w:val="none"/>
          <w:u w:val="single"/>
        </w:rPr>
        <w:t>【年月日】</w:t>
      </w:r>
      <w:r>
        <w:rPr>
          <w:rFonts w:hint="eastAsia" w:ascii="宋体" w:hAnsi="宋体" w:eastAsia="宋体" w:cs="宋体"/>
          <w:caps w:val="0"/>
          <w:smallCaps w:val="0"/>
          <w:color w:val="auto"/>
          <w:sz w:val="21"/>
          <w:szCs w:val="21"/>
          <w:highlight w:val="none"/>
        </w:rPr>
        <w:t>日发出【</w:t>
      </w:r>
      <w:r>
        <w:rPr>
          <w:rFonts w:hint="eastAsia" w:ascii="宋体" w:hAnsi="宋体" w:eastAsia="宋体" w:cs="宋体"/>
          <w:caps w:val="0"/>
          <w:smallCaps w:val="0"/>
          <w:color w:val="auto"/>
          <w:sz w:val="21"/>
          <w:szCs w:val="21"/>
          <w:highlight w:val="none"/>
          <w:u w:val="single"/>
        </w:rPr>
        <w:t>中标通知书或其他成交通知书</w:t>
      </w:r>
      <w:r>
        <w:rPr>
          <w:rFonts w:hint="eastAsia" w:ascii="宋体" w:hAnsi="宋体" w:eastAsia="宋体" w:cs="宋体"/>
          <w:caps w:val="0"/>
          <w:smallCaps w:val="0"/>
          <w:color w:val="auto"/>
          <w:sz w:val="21"/>
          <w:szCs w:val="21"/>
          <w:highlight w:val="none"/>
        </w:rPr>
        <w:t>】。</w:t>
      </w:r>
    </w:p>
    <w:p w14:paraId="6831021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3.项目公司已</w:t>
      </w:r>
      <w:r>
        <w:rPr>
          <w:rFonts w:hint="eastAsia" w:ascii="宋体" w:hAnsi="宋体" w:eastAsia="宋体" w:cs="宋体"/>
          <w:caps w:val="0"/>
          <w:smallCaps w:val="0"/>
          <w:color w:val="auto"/>
          <w:sz w:val="21"/>
          <w:szCs w:val="21"/>
          <w:highlight w:val="none"/>
          <w:lang w:eastAsia="zh-CN"/>
        </w:rPr>
        <w:t>由</w:t>
      </w:r>
      <w:r>
        <w:rPr>
          <w:rFonts w:hint="eastAsia" w:ascii="宋体" w:hAnsi="宋体" w:eastAsia="宋体" w:cs="宋体"/>
          <w:caps w:val="0"/>
          <w:smallCaps w:val="0"/>
          <w:color w:val="auto"/>
          <w:sz w:val="21"/>
          <w:szCs w:val="21"/>
          <w:highlight w:val="none"/>
        </w:rPr>
        <w:t>【项目公司各股东名称】于【年月日】设立，作为本协议乙方，享有和承担本协议项下特许经营的权利义务。</w:t>
      </w:r>
    </w:p>
    <w:p w14:paraId="24DDA52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4</w:t>
      </w:r>
      <w:r>
        <w:rPr>
          <w:rFonts w:hint="eastAsia" w:ascii="宋体" w:hAnsi="宋体" w:cs="宋体"/>
          <w:caps w:val="0"/>
          <w:smallCaps w:val="0"/>
          <w:color w:val="auto"/>
          <w:sz w:val="21"/>
          <w:szCs w:val="21"/>
          <w:highlight w:val="none"/>
          <w:lang w:val="en-US" w:eastAsia="zh-CN"/>
        </w:rPr>
        <w:t>.</w:t>
      </w:r>
      <w:r>
        <w:rPr>
          <w:rFonts w:hint="eastAsia" w:ascii="宋体" w:hAnsi="宋体" w:eastAsia="宋体" w:cs="宋体"/>
          <w:caps w:val="0"/>
          <w:smallCaps w:val="0"/>
          <w:color w:val="auto"/>
          <w:sz w:val="21"/>
          <w:szCs w:val="21"/>
          <w:highlight w:val="none"/>
        </w:rPr>
        <w:t>甲方已获得【】人民政府授权与乙方签订本协议。【授权书见附件】</w:t>
      </w:r>
    </w:p>
    <w:p w14:paraId="051E739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sz w:val="21"/>
          <w:szCs w:val="21"/>
          <w:highlight w:val="none"/>
        </w:rPr>
        <w:t>甲</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乙双方遵循平等、自愿、诚信的原则，就本项目实施的相关事项已协商一致，并根据适用本项目和特许经营的法律法规规章和规范性文件规定，共同达成和签署本协议如下。</w:t>
      </w:r>
    </w:p>
    <w:p w14:paraId="0B08324B">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rPr>
      </w:pPr>
      <w:r>
        <w:rPr>
          <w:rFonts w:hint="eastAsia" w:ascii="宋体" w:hAnsi="宋体" w:eastAsia="宋体" w:cs="宋体"/>
          <w:caps w:val="0"/>
          <w:smallCaps w:val="0"/>
          <w:color w:val="auto"/>
          <w:highlight w:val="none"/>
        </w:rPr>
        <w:br w:type="page"/>
      </w:r>
      <w:bookmarkStart w:id="507" w:name="_Toc1933944826"/>
      <w:r>
        <w:rPr>
          <w:rFonts w:hint="eastAsia" w:ascii="宋体" w:hAnsi="宋体" w:eastAsia="宋体" w:cs="宋体"/>
          <w:caps w:val="0"/>
          <w:smallCaps w:val="0"/>
          <w:color w:val="auto"/>
          <w:sz w:val="28"/>
          <w:highlight w:val="none"/>
        </w:rPr>
        <w:t>总则</w:t>
      </w:r>
      <w:bookmarkEnd w:id="507"/>
    </w:p>
    <w:p w14:paraId="6CEE23E1">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【说明：本章应就特许经营协议全局性事项进行约定，具体包括协议相关术语的定义和解释、协议签订目的、声明和保证、协议生效条件、协议体系构成等。示例如下：】</w:t>
      </w:r>
    </w:p>
    <w:p w14:paraId="29409E3E">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bookmarkStart w:id="508" w:name="_Toc136070550"/>
      <w:r>
        <w:rPr>
          <w:rFonts w:hint="eastAsia" w:ascii="宋体" w:hAnsi="宋体" w:eastAsia="宋体" w:cs="宋体"/>
          <w:caps w:val="0"/>
          <w:smallCaps w:val="0"/>
          <w:color w:val="auto"/>
          <w:sz w:val="21"/>
          <w:szCs w:val="21"/>
          <w:highlight w:val="none"/>
        </w:rPr>
        <w:t>术语定义和解释</w:t>
      </w:r>
      <w:bookmarkEnd w:id="508"/>
    </w:p>
    <w:p w14:paraId="0E7EB5BC">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【说明：为避免歧义，协议涉及的重要术语需要根据项目具体情况加以定义。凡经定义的术语，协议文本中的内涵和外延应与其定义保持一致。需要定义和解释的术语通常包括但不限于：</w:t>
      </w:r>
    </w:p>
    <w:p w14:paraId="0C3976F0">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（1）项目名称与涉及协议主体或项目相关方的术语，如</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项目</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项目公司</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等。</w:t>
      </w:r>
    </w:p>
    <w:p w14:paraId="0FFCC250">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（2）涉及项目技术经济特征</w:t>
      </w:r>
      <w:r>
        <w:rPr>
          <w:rFonts w:hint="eastAsia" w:ascii="宋体" w:hAnsi="宋体" w:eastAsia="宋体" w:cs="宋体"/>
          <w:caps w:val="0"/>
          <w:smallCaps w:val="0"/>
          <w:color w:val="auto"/>
          <w:sz w:val="21"/>
          <w:szCs w:val="21"/>
          <w:highlight w:val="none"/>
          <w:lang w:eastAsia="zh-CN"/>
        </w:rPr>
        <w:t>或行为</w:t>
      </w:r>
      <w:r>
        <w:rPr>
          <w:rFonts w:hint="eastAsia" w:ascii="宋体" w:hAnsi="宋体" w:eastAsia="宋体" w:cs="宋体"/>
          <w:caps w:val="0"/>
          <w:smallCaps w:val="0"/>
          <w:color w:val="auto"/>
          <w:sz w:val="21"/>
          <w:szCs w:val="21"/>
          <w:highlight w:val="none"/>
        </w:rPr>
        <w:t>的相关术语，如</w:t>
      </w:r>
      <w:r>
        <w:rPr>
          <w:rFonts w:hint="eastAsia" w:ascii="宋体" w:hAnsi="宋体" w:eastAsia="宋体" w:cs="宋体"/>
          <w:caps w:val="0"/>
          <w:smallCaps w:val="0"/>
          <w:color w:val="auto"/>
          <w:sz w:val="21"/>
          <w:szCs w:val="21"/>
          <w:highlight w:val="none"/>
          <w:lang w:eastAsia="zh-CN"/>
        </w:rPr>
        <w:t>“履约担保”“</w:t>
      </w:r>
      <w:r>
        <w:rPr>
          <w:rFonts w:hint="eastAsia" w:ascii="宋体" w:hAnsi="宋体" w:eastAsia="宋体" w:cs="宋体"/>
          <w:caps w:val="0"/>
          <w:smallCaps w:val="0"/>
          <w:color w:val="auto"/>
          <w:sz w:val="21"/>
          <w:szCs w:val="21"/>
          <w:highlight w:val="none"/>
        </w:rPr>
        <w:t>谨慎运营惯例</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等。</w:t>
      </w:r>
    </w:p>
    <w:p w14:paraId="65453BB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（3）涉及时间安排或时间节点的相关术语，如</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生效日</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正式运营日</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特许经营期</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移交日</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等。</w:t>
      </w:r>
    </w:p>
    <w:p w14:paraId="384F2049">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（4）涉及协议履行的相关术语，如</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批准</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不可抗力</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法律变更</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等。</w:t>
      </w:r>
    </w:p>
    <w:p w14:paraId="4094A71C">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（5）其他需定义的术语。</w:t>
      </w:r>
    </w:p>
    <w:p w14:paraId="1F2F277E">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特许经营协议相关术语定义可参考下表，但表中列示各术语并非全部必须，应根据项目具体情况增加或缩减术语定义条目，或对下表</w:t>
      </w:r>
      <w:r>
        <w:rPr>
          <w:rFonts w:hint="eastAsia" w:ascii="宋体" w:hAnsi="宋体" w:eastAsia="宋体" w:cs="宋体"/>
          <w:caps w:val="0"/>
          <w:smallCaps w:val="0"/>
          <w:color w:val="auto"/>
          <w:sz w:val="21"/>
          <w:szCs w:val="21"/>
          <w:highlight w:val="none"/>
          <w:lang w:eastAsia="zh-CN"/>
        </w:rPr>
        <w:t>中</w:t>
      </w:r>
      <w:r>
        <w:rPr>
          <w:rFonts w:hint="eastAsia" w:ascii="宋体" w:hAnsi="宋体" w:eastAsia="宋体" w:cs="宋体"/>
          <w:caps w:val="0"/>
          <w:smallCaps w:val="0"/>
          <w:color w:val="auto"/>
          <w:sz w:val="21"/>
          <w:szCs w:val="21"/>
          <w:highlight w:val="none"/>
        </w:rPr>
        <w:t>相关定义进行适当修订。</w:t>
      </w:r>
    </w:p>
    <w:p w14:paraId="5A14B6D8">
      <w:pPr>
        <w:keepNext w:val="0"/>
        <w:keepLines w:val="0"/>
        <w:pageBreakBefore w:val="0"/>
        <w:widowControl w:val="0"/>
        <w:kinsoku/>
        <w:wordWrap/>
        <w:overflowPunct/>
        <w:topLinePunct w:val="0"/>
        <w:bidi w:val="0"/>
        <w:adjustRightInd/>
        <w:snapToGrid/>
        <w:spacing w:before="0" w:beforeLines="0" w:beforeAutospacing="0" w:after="0" w:afterLines="0" w:afterAutospacing="0" w:line="360" w:lineRule="auto"/>
        <w:ind w:firstLine="0" w:firstLineChars="0"/>
        <w:jc w:val="left"/>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br w:type="page"/>
      </w:r>
    </w:p>
    <w:p w14:paraId="25658424">
      <w:pPr>
        <w:keepNext w:val="0"/>
        <w:keepLines w:val="0"/>
        <w:pageBreakBefore w:val="0"/>
        <w:widowControl w:val="0"/>
        <w:numPr>
          <w:ilvl w:val="0"/>
          <w:numId w:val="0"/>
        </w:numPr>
        <w:tabs>
          <w:tab w:val="left" w:pos="993"/>
        </w:tabs>
        <w:kinsoku/>
        <w:wordWrap/>
        <w:overflowPunct/>
        <w:topLinePunct w:val="0"/>
        <w:bidi w:val="0"/>
        <w:spacing w:before="0" w:beforeLines="0" w:beforeAutospacing="0" w:after="0" w:afterLines="0" w:afterAutospacing="0" w:line="360" w:lineRule="auto"/>
        <w:ind w:left="567" w:leftChars="0"/>
        <w:jc w:val="left"/>
        <w:outlineLvl w:val="2"/>
        <w:rPr>
          <w:rFonts w:hint="eastAsia" w:ascii="宋体" w:hAnsi="宋体" w:eastAsia="宋体" w:cs="宋体"/>
          <w:b/>
          <w:caps w:val="0"/>
          <w:smallCaps w:val="0"/>
          <w:color w:val="auto"/>
          <w:sz w:val="21"/>
          <w:szCs w:val="21"/>
          <w:highlight w:val="none"/>
        </w:rPr>
      </w:pPr>
      <w:r>
        <w:rPr>
          <w:rFonts w:hint="eastAsia" w:ascii="宋体" w:hAnsi="宋体" w:eastAsia="宋体" w:cs="宋体"/>
          <w:b/>
          <w:caps w:val="0"/>
          <w:smallCaps w:val="0"/>
          <w:color w:val="auto"/>
          <w:sz w:val="21"/>
          <w:szCs w:val="21"/>
          <w:highlight w:val="none"/>
          <w:lang w:val="en-US" w:eastAsia="zh-CN"/>
        </w:rPr>
        <w:t>1.</w:t>
      </w:r>
      <w:r>
        <w:rPr>
          <w:rFonts w:hint="eastAsia" w:ascii="宋体" w:hAnsi="宋体" w:eastAsia="宋体" w:cs="宋体"/>
          <w:b/>
          <w:caps w:val="0"/>
          <w:smallCaps w:val="0"/>
          <w:color w:val="auto"/>
          <w:sz w:val="21"/>
          <w:szCs w:val="21"/>
          <w:highlight w:val="none"/>
        </w:rPr>
        <w:t>术语定义</w:t>
      </w:r>
    </w:p>
    <w:p w14:paraId="7294347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为避免歧义，本协议使用的下列的措辞和用语应具有本条赋予的含义：</w:t>
      </w:r>
    </w:p>
    <w:tbl>
      <w:tblPr>
        <w:tblStyle w:val="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21"/>
        <w:gridCol w:w="6627"/>
      </w:tblGrid>
      <w:tr w14:paraId="232B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tblHeader/>
        </w:trPr>
        <w:tc>
          <w:tcPr>
            <w:tcW w:w="510" w:type="pct"/>
            <w:vAlign w:val="center"/>
          </w:tcPr>
          <w:p w14:paraId="5D912E66">
            <w:pPr>
              <w:keepNext w:val="0"/>
              <w:keepLines w:val="0"/>
              <w:pageBreakBefore w:val="0"/>
              <w:widowControl w:val="0"/>
              <w:kinsoku/>
              <w:wordWrap/>
              <w:overflowPunct/>
              <w:topLinePunct w:val="0"/>
              <w:bidi w:val="0"/>
              <w:spacing w:before="0" w:beforeLines="0" w:beforeAutospacing="0" w:after="0" w:afterLines="0" w:afterAutospacing="0" w:line="240" w:lineRule="auto"/>
              <w:ind w:firstLine="15" w:firstLineChars="7"/>
              <w:jc w:val="center"/>
              <w:rPr>
                <w:rFonts w:hint="eastAsia" w:ascii="宋体" w:hAnsi="宋体" w:eastAsia="宋体" w:cs="宋体"/>
                <w:b/>
                <w:bCs/>
                <w:caps w:val="0"/>
                <w:smallCaps w:val="0"/>
                <w:color w:val="auto"/>
                <w:kern w:val="0"/>
                <w:sz w:val="21"/>
                <w:szCs w:val="21"/>
                <w:highlight w:val="none"/>
              </w:rPr>
            </w:pPr>
            <w:r>
              <w:rPr>
                <w:rFonts w:hint="eastAsia" w:ascii="宋体" w:hAnsi="宋体" w:eastAsia="宋体" w:cs="宋体"/>
                <w:b/>
                <w:bCs/>
                <w:caps w:val="0"/>
                <w:smallCaps w:val="0"/>
                <w:color w:val="auto"/>
                <w:kern w:val="0"/>
                <w:sz w:val="21"/>
                <w:szCs w:val="21"/>
                <w:highlight w:val="none"/>
              </w:rPr>
              <w:t>序号</w:t>
            </w:r>
          </w:p>
        </w:tc>
        <w:tc>
          <w:tcPr>
            <w:tcW w:w="1009" w:type="pct"/>
            <w:vAlign w:val="center"/>
          </w:tcPr>
          <w:p w14:paraId="1A7C1FDB">
            <w:pPr>
              <w:keepNext w:val="0"/>
              <w:keepLines w:val="0"/>
              <w:pageBreakBefore w:val="0"/>
              <w:widowControl w:val="0"/>
              <w:kinsoku/>
              <w:wordWrap/>
              <w:overflowPunct/>
              <w:topLinePunct w:val="0"/>
              <w:bidi w:val="0"/>
              <w:spacing w:before="0" w:beforeLines="0" w:beforeAutospacing="0" w:after="0" w:afterLines="0" w:afterAutospacing="0" w:line="240" w:lineRule="auto"/>
              <w:ind w:firstLine="15" w:firstLineChars="7"/>
              <w:jc w:val="center"/>
              <w:rPr>
                <w:rFonts w:hint="eastAsia" w:ascii="宋体" w:hAnsi="宋体" w:eastAsia="宋体" w:cs="宋体"/>
                <w:b/>
                <w:bCs/>
                <w:caps w:val="0"/>
                <w:smallCaps w:val="0"/>
                <w:color w:val="auto"/>
                <w:kern w:val="0"/>
                <w:sz w:val="21"/>
                <w:szCs w:val="21"/>
                <w:highlight w:val="none"/>
              </w:rPr>
            </w:pPr>
            <w:r>
              <w:rPr>
                <w:rFonts w:hint="eastAsia" w:ascii="宋体" w:hAnsi="宋体" w:eastAsia="宋体" w:cs="宋体"/>
                <w:b/>
                <w:bCs/>
                <w:caps w:val="0"/>
                <w:smallCaps w:val="0"/>
                <w:color w:val="auto"/>
                <w:kern w:val="0"/>
                <w:sz w:val="21"/>
                <w:szCs w:val="21"/>
                <w:highlight w:val="none"/>
              </w:rPr>
              <w:t>术语</w:t>
            </w:r>
          </w:p>
        </w:tc>
        <w:tc>
          <w:tcPr>
            <w:tcW w:w="3480" w:type="pct"/>
            <w:vAlign w:val="center"/>
          </w:tcPr>
          <w:p w14:paraId="1552119E">
            <w:pPr>
              <w:keepNext w:val="0"/>
              <w:keepLines w:val="0"/>
              <w:pageBreakBefore w:val="0"/>
              <w:widowControl w:val="0"/>
              <w:kinsoku/>
              <w:wordWrap/>
              <w:overflowPunct/>
              <w:topLinePunct w:val="0"/>
              <w:bidi w:val="0"/>
              <w:spacing w:before="0" w:beforeLines="0" w:beforeAutospacing="0" w:after="0" w:afterLines="0" w:afterAutospacing="0" w:line="240" w:lineRule="auto"/>
              <w:ind w:firstLine="15" w:firstLineChars="7"/>
              <w:jc w:val="center"/>
              <w:rPr>
                <w:rFonts w:hint="eastAsia" w:ascii="宋体" w:hAnsi="宋体" w:eastAsia="宋体" w:cs="宋体"/>
                <w:b/>
                <w:bCs/>
                <w:caps w:val="0"/>
                <w:smallCaps w:val="0"/>
                <w:color w:val="auto"/>
                <w:kern w:val="0"/>
                <w:sz w:val="21"/>
                <w:szCs w:val="21"/>
                <w:highlight w:val="none"/>
              </w:rPr>
            </w:pPr>
            <w:r>
              <w:rPr>
                <w:rFonts w:hint="eastAsia" w:ascii="宋体" w:hAnsi="宋体" w:eastAsia="宋体" w:cs="宋体"/>
                <w:b/>
                <w:bCs/>
                <w:caps w:val="0"/>
                <w:smallCaps w:val="0"/>
                <w:color w:val="auto"/>
                <w:kern w:val="0"/>
                <w:sz w:val="21"/>
                <w:szCs w:val="21"/>
                <w:highlight w:val="none"/>
              </w:rPr>
              <w:t>术语定义</w:t>
            </w:r>
          </w:p>
        </w:tc>
      </w:tr>
      <w:tr w14:paraId="160E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77BE9E1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15C68D0B">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协议/本协议</w:t>
            </w:r>
          </w:p>
        </w:tc>
        <w:tc>
          <w:tcPr>
            <w:tcW w:w="3480" w:type="pct"/>
            <w:vAlign w:val="center"/>
          </w:tcPr>
          <w:p w14:paraId="3C6141CE">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指由甲方与乙方就本项目签署的特许经营协议，包括全部附件以及日后签署的本协议之补充协议和附件，均视为本协议的组成部分。</w:t>
            </w:r>
          </w:p>
        </w:tc>
      </w:tr>
      <w:tr w14:paraId="6E9E1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6D3DFE3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1D6B66D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初步协议</w:t>
            </w:r>
          </w:p>
        </w:tc>
        <w:tc>
          <w:tcPr>
            <w:tcW w:w="3480" w:type="pct"/>
            <w:vAlign w:val="center"/>
          </w:tcPr>
          <w:p w14:paraId="5FEB243F">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指甲方与特许经营者、政府出资人代表（如有）签订的，约定特许经营者在规定期限内注册成立项目公司，并由甲方与项目公司签订特许经营协议等事项的协议。初步协议持续有效，且有效期不短于本协议。</w:t>
            </w:r>
          </w:p>
        </w:tc>
      </w:tr>
      <w:tr w14:paraId="02CEF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04BDD8B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3A8D5B63">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本项目</w:t>
            </w:r>
          </w:p>
          <w:p w14:paraId="18D6F8C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lang w:eastAsia="zh-CN"/>
              </w:rPr>
            </w:pPr>
            <w:r>
              <w:rPr>
                <w:rFonts w:hint="eastAsia" w:ascii="宋体" w:hAnsi="宋体" w:eastAsia="宋体" w:cs="宋体"/>
                <w:caps w:val="0"/>
                <w:smallCaps w:val="0"/>
                <w:color w:val="auto"/>
                <w:kern w:val="0"/>
                <w:sz w:val="21"/>
                <w:szCs w:val="21"/>
                <w:highlight w:val="none"/>
              </w:rPr>
              <w:t>/特许经营项目</w:t>
            </w:r>
          </w:p>
        </w:tc>
        <w:tc>
          <w:tcPr>
            <w:tcW w:w="3480" w:type="pct"/>
            <w:vAlign w:val="center"/>
          </w:tcPr>
          <w:p w14:paraId="680F09BF">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指【特许经营项目名称】。由甲方选定特许经营者并由其承担前期工作、设计、投资、建设、运营、移交的特许经营项目。</w:t>
            </w:r>
          </w:p>
          <w:p w14:paraId="4B0818C0">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【说明：对于仅是项目的局部功能模块实施特许经营的，项目名称应加入体现该局部模块或模式特点的相关标识字样，如</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lang w:val="en-US" w:eastAsia="zh-CN"/>
              </w:rPr>
              <w:t>****</w:t>
            </w:r>
            <w:r>
              <w:rPr>
                <w:rFonts w:hint="eastAsia" w:ascii="宋体" w:hAnsi="宋体" w:eastAsia="宋体" w:cs="宋体"/>
                <w:caps w:val="0"/>
                <w:smallCaps w:val="0"/>
                <w:color w:val="auto"/>
                <w:kern w:val="0"/>
                <w:highlight w:val="none"/>
              </w:rPr>
              <w:t>工程A部分特许经营项目</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等。】</w:t>
            </w:r>
          </w:p>
        </w:tc>
      </w:tr>
      <w:tr w14:paraId="3C17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5B2E4D7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000CF614">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特许经营者</w:t>
            </w:r>
          </w:p>
        </w:tc>
        <w:tc>
          <w:tcPr>
            <w:tcW w:w="3480" w:type="pct"/>
            <w:vAlign w:val="center"/>
          </w:tcPr>
          <w:p w14:paraId="7102D1DD">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指【特许经营者或联合体名称】。</w:t>
            </w:r>
          </w:p>
          <w:p w14:paraId="03AFEB9F">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【说明：特许经营者系为甲方采用公开竞争方式选定的拟由其承担本特许经营项目的社会资本，即本项目特许经营者选择程序的中标者</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或中选者</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；如特许经营者为联合体，需在此款进一步注明联合体牵头单位和全部成员单位名称；特许经营者名称应与其投标文件上的名称保持一致】</w:t>
            </w:r>
          </w:p>
        </w:tc>
      </w:tr>
      <w:tr w14:paraId="0566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4DBDC87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2C0C187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政府方</w:t>
            </w:r>
          </w:p>
        </w:tc>
        <w:tc>
          <w:tcPr>
            <w:tcW w:w="3480" w:type="pct"/>
            <w:vAlign w:val="center"/>
          </w:tcPr>
          <w:p w14:paraId="2F238BDA">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lang w:val="en-US" w:eastAsia="zh-CN"/>
              </w:rPr>
            </w:pPr>
            <w:r>
              <w:rPr>
                <w:rFonts w:hint="eastAsia" w:ascii="宋体" w:hAnsi="宋体" w:eastAsia="宋体" w:cs="宋体"/>
                <w:caps w:val="0"/>
                <w:smallCaps w:val="0"/>
                <w:color w:val="auto"/>
                <w:kern w:val="0"/>
                <w:highlight w:val="none"/>
              </w:rPr>
              <w:t>指中华人民共和国【省</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自治区、直辖市</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】【市/州】【县/区】人民政府及其组成部门的统称，包括</w:t>
            </w:r>
            <w:r>
              <w:rPr>
                <w:rFonts w:hint="eastAsia" w:ascii="宋体" w:hAnsi="宋体" w:eastAsia="宋体" w:cs="宋体"/>
                <w:caps w:val="0"/>
                <w:smallCaps w:val="0"/>
                <w:color w:val="auto"/>
                <w:kern w:val="0"/>
                <w:highlight w:val="none"/>
                <w:lang w:eastAsia="zh-CN"/>
              </w:rPr>
              <w:t>项目实施机构</w:t>
            </w:r>
            <w:r>
              <w:rPr>
                <w:rFonts w:hint="eastAsia" w:ascii="宋体" w:hAnsi="宋体" w:eastAsia="宋体" w:cs="宋体"/>
                <w:caps w:val="0"/>
                <w:smallCaps w:val="0"/>
                <w:color w:val="auto"/>
                <w:kern w:val="0"/>
                <w:highlight w:val="none"/>
              </w:rPr>
              <w:t>。</w:t>
            </w:r>
          </w:p>
        </w:tc>
      </w:tr>
      <w:tr w14:paraId="553F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5639801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445790C4">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政府部门</w:t>
            </w:r>
          </w:p>
        </w:tc>
        <w:tc>
          <w:tcPr>
            <w:tcW w:w="3480" w:type="pct"/>
            <w:vAlign w:val="center"/>
          </w:tcPr>
          <w:p w14:paraId="5A351ABB">
            <w:pPr>
              <w:keepNext w:val="0"/>
              <w:keepLines w:val="0"/>
              <w:pageBreakBefore w:val="0"/>
              <w:widowControl w:val="0"/>
              <w:kinsoku/>
              <w:wordWrap/>
              <w:overflowPunct/>
              <w:topLinePunct w:val="0"/>
              <w:bidi w:val="0"/>
              <w:spacing w:before="0" w:beforeLines="0" w:beforeAutospacing="0" w:after="0" w:afterLines="0" w:afterAutospacing="0" w:line="24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指本级地方政府的组成部门。</w:t>
            </w:r>
          </w:p>
        </w:tc>
      </w:tr>
      <w:tr w14:paraId="72A8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29FA984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33F25EE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lang w:eastAsia="zh-CN"/>
              </w:rPr>
            </w:pPr>
            <w:r>
              <w:rPr>
                <w:rFonts w:hint="eastAsia" w:ascii="宋体" w:hAnsi="宋体" w:cs="宋体"/>
                <w:caps w:val="0"/>
                <w:smallCaps w:val="0"/>
                <w:color w:val="auto"/>
                <w:kern w:val="0"/>
                <w:sz w:val="21"/>
                <w:szCs w:val="21"/>
                <w:highlight w:val="none"/>
                <w:lang w:eastAsia="zh-CN"/>
              </w:rPr>
              <w:t>项目实施机构</w:t>
            </w:r>
          </w:p>
        </w:tc>
        <w:tc>
          <w:tcPr>
            <w:tcW w:w="3480" w:type="pct"/>
            <w:vAlign w:val="center"/>
          </w:tcPr>
          <w:p w14:paraId="550A91E4">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指根据相关法律法规由人民政府授权的本项目特许经营</w:t>
            </w:r>
            <w:r>
              <w:rPr>
                <w:rFonts w:hint="eastAsia" w:ascii="宋体" w:hAnsi="宋体" w:eastAsia="宋体" w:cs="宋体"/>
                <w:caps w:val="0"/>
                <w:smallCaps w:val="0"/>
                <w:color w:val="auto"/>
                <w:kern w:val="0"/>
                <w:highlight w:val="none"/>
                <w:lang w:eastAsia="zh-CN"/>
              </w:rPr>
              <w:t>项目实施机构</w:t>
            </w:r>
            <w:r>
              <w:rPr>
                <w:rFonts w:hint="eastAsia" w:ascii="宋体" w:hAnsi="宋体" w:eastAsia="宋体" w:cs="宋体"/>
                <w:caps w:val="0"/>
                <w:smallCaps w:val="0"/>
                <w:color w:val="auto"/>
                <w:kern w:val="0"/>
                <w:highlight w:val="none"/>
              </w:rPr>
              <w:t>，具体为【】。</w:t>
            </w:r>
          </w:p>
        </w:tc>
      </w:tr>
      <w:tr w14:paraId="1A0F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1B4DE12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725A8E33">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项目公司</w:t>
            </w:r>
          </w:p>
        </w:tc>
        <w:tc>
          <w:tcPr>
            <w:tcW w:w="3480" w:type="pct"/>
            <w:vAlign w:val="center"/>
          </w:tcPr>
          <w:p w14:paraId="3BA85BE2">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指【项目公司全称】。指在需要设立项目公司的情形下，按初步协议要求，</w:t>
            </w:r>
            <w:bookmarkStart w:id="509" w:name="_Hlk156982687"/>
            <w:r>
              <w:rPr>
                <w:rFonts w:hint="eastAsia" w:ascii="宋体" w:hAnsi="宋体" w:eastAsia="宋体" w:cs="宋体"/>
                <w:caps w:val="0"/>
                <w:smallCaps w:val="0"/>
                <w:color w:val="auto"/>
                <w:kern w:val="0"/>
                <w:highlight w:val="none"/>
              </w:rPr>
              <w:t>为履行本协议而由特许经营者单独或与政府出资人代表</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如有</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共同组建的特殊目的公司</w:t>
            </w:r>
            <w:bookmarkEnd w:id="509"/>
            <w:r>
              <w:rPr>
                <w:rFonts w:hint="eastAsia" w:ascii="宋体" w:hAnsi="宋体" w:eastAsia="宋体" w:cs="宋体"/>
                <w:caps w:val="0"/>
                <w:smallCaps w:val="0"/>
                <w:color w:val="auto"/>
                <w:kern w:val="0"/>
                <w:highlight w:val="none"/>
              </w:rPr>
              <w:t>。</w:t>
            </w:r>
          </w:p>
        </w:tc>
      </w:tr>
      <w:tr w14:paraId="5624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03C18F1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311D5A40">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甲方</w:t>
            </w:r>
          </w:p>
        </w:tc>
        <w:tc>
          <w:tcPr>
            <w:tcW w:w="3480" w:type="pct"/>
            <w:vAlign w:val="center"/>
          </w:tcPr>
          <w:p w14:paraId="219CACFF">
            <w:pPr>
              <w:keepNext w:val="0"/>
              <w:keepLines w:val="0"/>
              <w:pageBreakBefore w:val="0"/>
              <w:widowControl w:val="0"/>
              <w:kinsoku/>
              <w:wordWrap/>
              <w:overflowPunct/>
              <w:topLinePunct w:val="0"/>
              <w:bidi w:val="0"/>
              <w:spacing w:before="0" w:beforeLines="0" w:beforeAutospacing="0" w:after="0" w:afterLines="0" w:afterAutospacing="0" w:line="24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w:t>
            </w:r>
            <w:r>
              <w:rPr>
                <w:rFonts w:hint="eastAsia" w:ascii="宋体" w:hAnsi="宋体" w:eastAsia="宋体" w:cs="宋体"/>
                <w:caps w:val="0"/>
                <w:smallCaps w:val="0"/>
                <w:color w:val="auto"/>
                <w:kern w:val="0"/>
                <w:highlight w:val="none"/>
                <w:lang w:eastAsia="zh-CN"/>
              </w:rPr>
              <w:t>项目项目实施机构</w:t>
            </w:r>
            <w:r>
              <w:rPr>
                <w:rFonts w:hint="eastAsia" w:ascii="宋体" w:hAnsi="宋体" w:eastAsia="宋体" w:cs="宋体"/>
                <w:caps w:val="0"/>
                <w:smallCaps w:val="0"/>
                <w:color w:val="auto"/>
                <w:kern w:val="0"/>
                <w:highlight w:val="none"/>
              </w:rPr>
              <w:t>。</w:t>
            </w:r>
          </w:p>
        </w:tc>
      </w:tr>
      <w:tr w14:paraId="2D8F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2E886BF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5FEDDEB3">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乙方</w:t>
            </w:r>
          </w:p>
        </w:tc>
        <w:tc>
          <w:tcPr>
            <w:tcW w:w="3480" w:type="pct"/>
            <w:vAlign w:val="center"/>
          </w:tcPr>
          <w:p w14:paraId="4120DD0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指项目公司。</w:t>
            </w:r>
          </w:p>
          <w:p w14:paraId="13FF9A0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【说明：在《范本》中，如</w:t>
            </w:r>
            <w:r>
              <w:rPr>
                <w:rFonts w:hint="eastAsia" w:ascii="宋体" w:hAnsi="宋体" w:eastAsia="宋体" w:cs="宋体"/>
                <w:caps w:val="0"/>
                <w:smallCaps w:val="0"/>
                <w:color w:val="auto"/>
                <w:kern w:val="0"/>
                <w:sz w:val="21"/>
                <w:szCs w:val="21"/>
                <w:highlight w:val="none"/>
                <w:lang w:eastAsia="zh-CN"/>
              </w:rPr>
              <w:t>未经</w:t>
            </w:r>
            <w:r>
              <w:rPr>
                <w:rFonts w:hint="eastAsia" w:ascii="宋体" w:hAnsi="宋体" w:eastAsia="宋体" w:cs="宋体"/>
                <w:caps w:val="0"/>
                <w:smallCaps w:val="0"/>
                <w:color w:val="auto"/>
                <w:kern w:val="0"/>
                <w:sz w:val="21"/>
                <w:szCs w:val="21"/>
                <w:highlight w:val="none"/>
              </w:rPr>
              <w:t>特别指出或说明，则</w:t>
            </w:r>
            <w:r>
              <w:rPr>
                <w:rFonts w:hint="eastAsia" w:ascii="宋体" w:hAnsi="宋体" w:eastAsia="宋体" w:cs="宋体"/>
                <w:caps w:val="0"/>
                <w:smallCaps w:val="0"/>
                <w:color w:val="auto"/>
                <w:kern w:val="0"/>
                <w:sz w:val="21"/>
                <w:szCs w:val="21"/>
                <w:highlight w:val="none"/>
                <w:lang w:eastAsia="zh-CN"/>
              </w:rPr>
              <w:t>“</w:t>
            </w:r>
            <w:r>
              <w:rPr>
                <w:rFonts w:hint="eastAsia" w:ascii="宋体" w:hAnsi="宋体" w:eastAsia="宋体" w:cs="宋体"/>
                <w:caps w:val="0"/>
                <w:smallCaps w:val="0"/>
                <w:color w:val="auto"/>
                <w:kern w:val="0"/>
                <w:sz w:val="21"/>
                <w:szCs w:val="21"/>
                <w:highlight w:val="none"/>
              </w:rPr>
              <w:t>乙方</w:t>
            </w:r>
            <w:r>
              <w:rPr>
                <w:rFonts w:hint="eastAsia" w:ascii="宋体" w:hAnsi="宋体" w:eastAsia="宋体" w:cs="宋体"/>
                <w:caps w:val="0"/>
                <w:smallCaps w:val="0"/>
                <w:color w:val="auto"/>
                <w:kern w:val="0"/>
                <w:sz w:val="21"/>
                <w:szCs w:val="21"/>
                <w:highlight w:val="none"/>
                <w:lang w:eastAsia="zh-CN"/>
              </w:rPr>
              <w:t>”</w:t>
            </w:r>
            <w:r>
              <w:rPr>
                <w:rFonts w:hint="eastAsia" w:ascii="宋体" w:hAnsi="宋体" w:eastAsia="宋体" w:cs="宋体"/>
                <w:caps w:val="0"/>
                <w:smallCaps w:val="0"/>
                <w:color w:val="auto"/>
                <w:kern w:val="0"/>
                <w:sz w:val="21"/>
                <w:szCs w:val="21"/>
                <w:highlight w:val="none"/>
              </w:rPr>
              <w:t>为特许经营者组建的项目公司。】</w:t>
            </w:r>
          </w:p>
        </w:tc>
      </w:tr>
      <w:tr w14:paraId="5683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11BCEB2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7EF64C97">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特许经营方案</w:t>
            </w:r>
          </w:p>
        </w:tc>
        <w:tc>
          <w:tcPr>
            <w:tcW w:w="3480" w:type="pct"/>
            <w:vAlign w:val="center"/>
          </w:tcPr>
          <w:p w14:paraId="6D152ED9">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指由甲方编制并经【特许经营</w:t>
            </w:r>
            <w:r>
              <w:rPr>
                <w:rFonts w:hint="eastAsia" w:ascii="宋体" w:hAnsi="宋体" w:eastAsia="宋体" w:cs="宋体"/>
                <w:caps w:val="0"/>
                <w:smallCaps w:val="0"/>
                <w:color w:val="auto"/>
                <w:kern w:val="0"/>
                <w:highlight w:val="none"/>
                <w:lang w:eastAsia="zh-CN"/>
              </w:rPr>
              <w:t>方案</w:t>
            </w:r>
            <w:r>
              <w:rPr>
                <w:rFonts w:hint="eastAsia" w:ascii="宋体" w:hAnsi="宋体" w:eastAsia="宋体" w:cs="宋体"/>
                <w:caps w:val="0"/>
                <w:smallCaps w:val="0"/>
                <w:color w:val="auto"/>
                <w:kern w:val="0"/>
                <w:highlight w:val="none"/>
              </w:rPr>
              <w:t>审核单位名称】审核通过的《</w:t>
            </w:r>
            <w:r>
              <w:rPr>
                <w:rFonts w:hint="eastAsia" w:ascii="宋体" w:hAnsi="宋体" w:eastAsia="宋体" w:cs="宋体"/>
                <w:caps w:val="0"/>
                <w:smallCaps w:val="0"/>
                <w:color w:val="auto"/>
                <w:kern w:val="0"/>
                <w:highlight w:val="none"/>
                <w:lang w:val="en-US" w:eastAsia="zh-CN"/>
              </w:rPr>
              <w:t>****</w:t>
            </w:r>
            <w:r>
              <w:rPr>
                <w:rFonts w:hint="eastAsia" w:ascii="宋体" w:hAnsi="宋体" w:eastAsia="宋体" w:cs="宋体"/>
                <w:caps w:val="0"/>
                <w:smallCaps w:val="0"/>
                <w:color w:val="auto"/>
                <w:kern w:val="0"/>
                <w:highlight w:val="none"/>
              </w:rPr>
              <w:t>项目特许经营方案》。</w:t>
            </w:r>
          </w:p>
        </w:tc>
      </w:tr>
      <w:tr w14:paraId="6968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6471ACA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210E44CD">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生效日</w:t>
            </w:r>
          </w:p>
        </w:tc>
        <w:tc>
          <w:tcPr>
            <w:tcW w:w="3480" w:type="pct"/>
            <w:vAlign w:val="center"/>
          </w:tcPr>
          <w:p w14:paraId="01AA6895">
            <w:pPr>
              <w:keepNext w:val="0"/>
              <w:keepLines w:val="0"/>
              <w:pageBreakBefore w:val="0"/>
              <w:widowControl w:val="0"/>
              <w:kinsoku/>
              <w:wordWrap/>
              <w:overflowPunct/>
              <w:topLinePunct w:val="0"/>
              <w:bidi w:val="0"/>
              <w:spacing w:before="0" w:beforeLines="0" w:beforeAutospacing="0" w:after="0" w:afterLines="0" w:afterAutospacing="0" w:line="24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为【年月日】，指本特许经营协议生效的日期。</w:t>
            </w:r>
          </w:p>
        </w:tc>
      </w:tr>
      <w:tr w14:paraId="6EB5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2214A00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481D29EE">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特许经营期</w:t>
            </w:r>
          </w:p>
        </w:tc>
        <w:tc>
          <w:tcPr>
            <w:tcW w:w="3480" w:type="pct"/>
            <w:vAlign w:val="center"/>
          </w:tcPr>
          <w:p w14:paraId="72C57A68">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指从本协议生效日开始</w:t>
            </w:r>
            <w:r>
              <w:rPr>
                <w:rFonts w:hint="eastAsia" w:ascii="宋体" w:hAnsi="宋体" w:eastAsia="宋体" w:cs="宋体"/>
                <w:caps w:val="0"/>
                <w:smallCaps w:val="0"/>
                <w:color w:val="auto"/>
                <w:kern w:val="0"/>
                <w:highlight w:val="none"/>
                <w:lang w:eastAsia="zh-CN"/>
              </w:rPr>
              <w:t>至</w:t>
            </w:r>
            <w:r>
              <w:rPr>
                <w:rFonts w:hint="eastAsia" w:ascii="宋体" w:hAnsi="宋体" w:eastAsia="宋体" w:cs="宋体"/>
                <w:caps w:val="0"/>
                <w:smallCaps w:val="0"/>
                <w:color w:val="auto"/>
                <w:kern w:val="0"/>
                <w:highlight w:val="none"/>
              </w:rPr>
              <w:t>本协议约定的</w:t>
            </w:r>
            <w:bookmarkStart w:id="510" w:name="_Hlk156981341"/>
            <w:r>
              <w:rPr>
                <w:rFonts w:hint="eastAsia" w:ascii="宋体" w:hAnsi="宋体" w:eastAsia="宋体" w:cs="宋体"/>
                <w:caps w:val="0"/>
                <w:smallCaps w:val="0"/>
                <w:color w:val="auto"/>
                <w:kern w:val="0"/>
                <w:highlight w:val="none"/>
              </w:rPr>
              <w:t>项目特许经营期限届满之日</w:t>
            </w:r>
            <w:bookmarkEnd w:id="510"/>
            <w:r>
              <w:rPr>
                <w:rFonts w:hint="eastAsia" w:ascii="宋体" w:hAnsi="宋体" w:eastAsia="宋体" w:cs="宋体"/>
                <w:caps w:val="0"/>
                <w:smallCaps w:val="0"/>
                <w:color w:val="auto"/>
                <w:kern w:val="0"/>
                <w:highlight w:val="none"/>
              </w:rPr>
              <w:t>的期间。特许经营期按</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前期及建设期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和</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运营期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划分为前后两个有机衔接的项目阶段。</w:t>
            </w:r>
          </w:p>
        </w:tc>
      </w:tr>
      <w:tr w14:paraId="3A80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5C95C75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6D8A5BB6">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lang w:eastAsia="zh-CN"/>
              </w:rPr>
              <w:t>审核</w:t>
            </w:r>
            <w:r>
              <w:rPr>
                <w:rFonts w:hint="eastAsia" w:ascii="宋体" w:hAnsi="宋体" w:eastAsia="宋体" w:cs="宋体"/>
                <w:caps w:val="0"/>
                <w:smallCaps w:val="0"/>
                <w:color w:val="auto"/>
                <w:kern w:val="0"/>
                <w:sz w:val="21"/>
                <w:szCs w:val="21"/>
                <w:highlight w:val="none"/>
              </w:rPr>
              <w:t>程序</w:t>
            </w:r>
          </w:p>
        </w:tc>
        <w:tc>
          <w:tcPr>
            <w:tcW w:w="3480" w:type="pct"/>
            <w:vAlign w:val="center"/>
          </w:tcPr>
          <w:p w14:paraId="141573A0">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指按我国投资项目管理相关规定履行项目可行性研究报告审批的程序</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对于政府投资项目</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，或履行项目核准或备案的程序</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对于企业投资项目</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w:t>
            </w:r>
          </w:p>
        </w:tc>
      </w:tr>
      <w:tr w14:paraId="63DA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7DE1685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sz w:val="21"/>
                <w:szCs w:val="21"/>
                <w:highlight w:val="none"/>
              </w:rPr>
            </w:pPr>
          </w:p>
        </w:tc>
        <w:tc>
          <w:tcPr>
            <w:tcW w:w="1009" w:type="pct"/>
            <w:vAlign w:val="center"/>
          </w:tcPr>
          <w:p w14:paraId="5C3DF18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sz w:val="21"/>
                <w:szCs w:val="21"/>
                <w:highlight w:val="none"/>
              </w:rPr>
            </w:pPr>
            <w:r>
              <w:rPr>
                <w:rFonts w:hint="eastAsia" w:ascii="宋体" w:hAnsi="宋体" w:eastAsia="宋体" w:cs="宋体"/>
                <w:caps w:val="0"/>
                <w:smallCaps w:val="0"/>
                <w:color w:val="auto"/>
                <w:kern w:val="0"/>
                <w:sz w:val="21"/>
                <w:szCs w:val="21"/>
                <w:highlight w:val="none"/>
              </w:rPr>
              <w:t>约定完工日</w:t>
            </w:r>
          </w:p>
        </w:tc>
        <w:tc>
          <w:tcPr>
            <w:tcW w:w="3480" w:type="pct"/>
            <w:vAlign w:val="center"/>
          </w:tcPr>
          <w:p w14:paraId="72C20468">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为【年月日】，是本协议约定特许经营期中</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前期及建设期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与</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运营期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的约定分界时点。该日期含义指【具体定义或描述该日期的特征】。</w:t>
            </w:r>
          </w:p>
          <w:p w14:paraId="601D0BC6">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约定完工日</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体现为甲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乙双方对项目完工进度的目标性约定，需结合行业相关技术规范、管理要求或惯例等合理约定，可按项目交工验收合格日期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如公路工程</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、竣工验收合格日期或甲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乙双方认为合适的其他目标日期予以设置。与之同口径对应的项目实际完工日则因各种原因可能提前或滞后于</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约定完工日</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，但无论何种情况皆以约定完工日（或按本协议约定调整后的约定完工日）作为约定特许经营期中</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前期及建设期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与</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运营期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的分界依据。】</w:t>
            </w:r>
          </w:p>
        </w:tc>
      </w:tr>
      <w:tr w14:paraId="5DAB3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51AF6AC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239FA620">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前期及建设期</w:t>
            </w:r>
          </w:p>
        </w:tc>
        <w:tc>
          <w:tcPr>
            <w:tcW w:w="3480" w:type="pct"/>
            <w:vAlign w:val="center"/>
          </w:tcPr>
          <w:p w14:paraId="7C6BFCB1">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w:t>
            </w:r>
            <w:r>
              <w:rPr>
                <w:rFonts w:hint="eastAsia" w:ascii="宋体" w:hAnsi="宋体" w:eastAsia="宋体" w:cs="宋体"/>
                <w:caps w:val="0"/>
                <w:smallCaps w:val="0"/>
                <w:color w:val="auto"/>
                <w:kern w:val="0"/>
                <w:highlight w:val="none"/>
                <w:lang w:eastAsia="zh-CN"/>
              </w:rPr>
              <w:t>在本协议约定的特许经营期阶段划分中，</w:t>
            </w:r>
            <w:r>
              <w:rPr>
                <w:rFonts w:hint="eastAsia" w:ascii="宋体" w:hAnsi="宋体" w:eastAsia="宋体" w:cs="宋体"/>
                <w:caps w:val="0"/>
                <w:smallCaps w:val="0"/>
                <w:color w:val="auto"/>
                <w:kern w:val="0"/>
                <w:highlight w:val="none"/>
              </w:rPr>
              <w:t>从本协议生效日开始至项目约定完工日之间的期间，该期间乙方主要工作是完成项目必要的前期工作和投资建设实施工作。【说明：该期间中的</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前期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与</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建设期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本协议以项目履行完成</w:t>
            </w:r>
            <w:r>
              <w:rPr>
                <w:rFonts w:hint="eastAsia" w:ascii="宋体" w:hAnsi="宋体" w:eastAsia="宋体" w:cs="宋体"/>
                <w:caps w:val="0"/>
                <w:smallCaps w:val="0"/>
                <w:color w:val="auto"/>
                <w:kern w:val="0"/>
                <w:highlight w:val="none"/>
                <w:lang w:eastAsia="zh-CN"/>
              </w:rPr>
              <w:t>审核</w:t>
            </w:r>
            <w:r>
              <w:rPr>
                <w:rFonts w:hint="eastAsia" w:ascii="宋体" w:hAnsi="宋体" w:eastAsia="宋体" w:cs="宋体"/>
                <w:caps w:val="0"/>
                <w:smallCaps w:val="0"/>
                <w:color w:val="auto"/>
                <w:kern w:val="0"/>
                <w:highlight w:val="none"/>
              </w:rPr>
              <w:t>程序作为时间分界点。</w:t>
            </w:r>
            <w:r>
              <w:rPr>
                <w:rFonts w:hint="eastAsia" w:ascii="宋体" w:hAnsi="宋体" w:eastAsia="宋体" w:cs="宋体"/>
                <w:caps w:val="0"/>
                <w:smallCaps w:val="0"/>
                <w:color w:val="auto"/>
                <w:kern w:val="0"/>
                <w:highlight w:val="none"/>
                <w:lang w:eastAsia="zh-CN"/>
              </w:rPr>
              <w:t>本协议对“前期”单独表述时，需根据上下文确定是否属于特许经营期</w:t>
            </w:r>
            <w:r>
              <w:rPr>
                <w:rFonts w:hint="eastAsia" w:ascii="宋体" w:hAnsi="宋体" w:eastAsia="宋体" w:cs="宋体"/>
                <w:caps w:val="0"/>
                <w:smallCaps w:val="0"/>
                <w:color w:val="auto"/>
                <w:kern w:val="0"/>
                <w:highlight w:val="none"/>
              </w:rPr>
              <w:t>】</w:t>
            </w:r>
          </w:p>
        </w:tc>
      </w:tr>
      <w:tr w14:paraId="1E99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0621DD0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07F62966">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运营期</w:t>
            </w:r>
          </w:p>
        </w:tc>
        <w:tc>
          <w:tcPr>
            <w:tcW w:w="3480" w:type="pct"/>
            <w:vAlign w:val="center"/>
          </w:tcPr>
          <w:p w14:paraId="60626C20">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w:t>
            </w:r>
            <w:r>
              <w:rPr>
                <w:rFonts w:hint="eastAsia" w:ascii="宋体" w:hAnsi="宋体" w:eastAsia="宋体" w:cs="宋体"/>
                <w:caps w:val="0"/>
                <w:smallCaps w:val="0"/>
                <w:color w:val="auto"/>
                <w:kern w:val="0"/>
                <w:highlight w:val="none"/>
                <w:lang w:eastAsia="zh-CN"/>
              </w:rPr>
              <w:t>在本协议约定的特许经营期阶段划分中，</w:t>
            </w:r>
            <w:r>
              <w:rPr>
                <w:rFonts w:hint="eastAsia" w:ascii="宋体" w:hAnsi="宋体" w:eastAsia="宋体" w:cs="宋体"/>
                <w:caps w:val="0"/>
                <w:smallCaps w:val="0"/>
                <w:color w:val="auto"/>
                <w:kern w:val="0"/>
                <w:highlight w:val="none"/>
              </w:rPr>
              <w:t>从项目约定完工日的下一个公历日开始至特许经营期届满之日，或本协议提前终止日之间的期间。</w:t>
            </w:r>
          </w:p>
        </w:tc>
      </w:tr>
      <w:tr w14:paraId="68A7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D103B7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520D5CBB">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项目前期</w:t>
            </w:r>
          </w:p>
        </w:tc>
        <w:tc>
          <w:tcPr>
            <w:tcW w:w="3480" w:type="pct"/>
            <w:vAlign w:val="center"/>
          </w:tcPr>
          <w:p w14:paraId="35BE8777">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lang w:eastAsia="zh-CN"/>
              </w:rPr>
            </w:pPr>
            <w:r>
              <w:rPr>
                <w:rFonts w:hint="eastAsia" w:ascii="宋体" w:hAnsi="宋体" w:eastAsia="宋体" w:cs="宋体"/>
                <w:caps w:val="0"/>
                <w:smallCaps w:val="0"/>
                <w:color w:val="auto"/>
                <w:kern w:val="0"/>
                <w:highlight w:val="none"/>
              </w:rPr>
              <w:t>指从项目发起至履行完成</w:t>
            </w:r>
            <w:r>
              <w:rPr>
                <w:rFonts w:hint="eastAsia" w:ascii="宋体" w:hAnsi="宋体" w:eastAsia="宋体" w:cs="宋体"/>
                <w:caps w:val="0"/>
                <w:smallCaps w:val="0"/>
                <w:color w:val="auto"/>
                <w:kern w:val="0"/>
                <w:highlight w:val="none"/>
                <w:lang w:eastAsia="zh-CN"/>
              </w:rPr>
              <w:t>项目审核程序</w:t>
            </w:r>
            <w:r>
              <w:rPr>
                <w:rFonts w:hint="eastAsia" w:ascii="宋体" w:hAnsi="宋体" w:eastAsia="宋体" w:cs="宋体"/>
                <w:caps w:val="0"/>
                <w:smallCaps w:val="0"/>
                <w:color w:val="auto"/>
                <w:kern w:val="0"/>
                <w:highlight w:val="none"/>
              </w:rPr>
              <w:t>之间的项目阶段或期间。</w:t>
            </w:r>
            <w:r>
              <w:rPr>
                <w:rFonts w:hint="eastAsia" w:ascii="宋体" w:hAnsi="宋体" w:eastAsia="宋体" w:cs="宋体"/>
                <w:caps w:val="0"/>
                <w:smallCaps w:val="0"/>
                <w:color w:val="auto"/>
                <w:kern w:val="0"/>
                <w:highlight w:val="none"/>
                <w:lang w:eastAsia="zh-CN"/>
              </w:rPr>
              <w:t>【说明：项目发起起始时间通常早于特许经营实施起始时间，特许经营协议签署前的项目前期阶段不属于本协议特许经营期阶段划分中的“前期及建设期”。】</w:t>
            </w:r>
          </w:p>
        </w:tc>
      </w:tr>
      <w:tr w14:paraId="2E6C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71A46E1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215BECC9">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项目前期工作</w:t>
            </w:r>
          </w:p>
        </w:tc>
        <w:tc>
          <w:tcPr>
            <w:tcW w:w="3480" w:type="pct"/>
            <w:vAlign w:val="center"/>
          </w:tcPr>
          <w:p w14:paraId="668C30C3">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指项目前期阶段应该开展的全部工作。</w:t>
            </w:r>
          </w:p>
        </w:tc>
      </w:tr>
      <w:tr w14:paraId="6A68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076D79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5833E860">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前期资料</w:t>
            </w:r>
          </w:p>
        </w:tc>
        <w:tc>
          <w:tcPr>
            <w:tcW w:w="3480" w:type="pct"/>
            <w:vAlign w:val="center"/>
          </w:tcPr>
          <w:p w14:paraId="73790481">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为完成项目前期工作而由任何一方采集、编制、取得的数据、技术文件、勘察结论、咨询意见、评估或评审文件，以及从相关技术审查机构或政府有关部门取得的审查、审核、审批、核准、备案等文件资料，包括过程性资料和最终资料。</w:t>
            </w:r>
          </w:p>
        </w:tc>
      </w:tr>
      <w:tr w14:paraId="4450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4782167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2B3F5187">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正式运营日</w:t>
            </w:r>
          </w:p>
        </w:tc>
        <w:tc>
          <w:tcPr>
            <w:tcW w:w="3480" w:type="pct"/>
            <w:vAlign w:val="center"/>
          </w:tcPr>
          <w:p w14:paraId="46501AE1">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乙方获得有关部门或甲方批准、具备依法依规实质启动项目运营并依托该运营行为有权获得本协议约定的项目收入的起始日期。【说明：在本协议采用的机制安排中，正式运营日可能出现提前或滞后于项目约定完工日的情形。】</w:t>
            </w:r>
          </w:p>
        </w:tc>
      </w:tr>
      <w:tr w14:paraId="531D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76F538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6DB128F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终止日</w:t>
            </w:r>
          </w:p>
        </w:tc>
        <w:tc>
          <w:tcPr>
            <w:tcW w:w="3480" w:type="pct"/>
            <w:vAlign w:val="center"/>
          </w:tcPr>
          <w:p w14:paraId="251DE914">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正常情况下指特许经营期届满日（含本日）；如本协议提前终止则指提前终止日。</w:t>
            </w:r>
          </w:p>
        </w:tc>
      </w:tr>
      <w:tr w14:paraId="203C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570640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6B17AD05">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lang w:eastAsia="zh-CN"/>
              </w:rPr>
            </w:pPr>
            <w:r>
              <w:rPr>
                <w:rFonts w:hint="eastAsia" w:ascii="宋体" w:hAnsi="宋体" w:eastAsia="宋体" w:cs="宋体"/>
                <w:caps w:val="0"/>
                <w:smallCaps w:val="0"/>
                <w:color w:val="auto"/>
                <w:kern w:val="0"/>
                <w:highlight w:val="none"/>
              </w:rPr>
              <w:t>移交日</w:t>
            </w:r>
          </w:p>
        </w:tc>
        <w:tc>
          <w:tcPr>
            <w:tcW w:w="3480" w:type="pct"/>
            <w:vAlign w:val="center"/>
          </w:tcPr>
          <w:p w14:paraId="560BB223">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指特许经营期届满日（适用于本协议期满终止），或协议提前终止时根据届时双方约定确定的项目资产移交日（适用于协议解除的情形）。</w:t>
            </w:r>
          </w:p>
        </w:tc>
      </w:tr>
      <w:tr w14:paraId="4AEC7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02E3715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52BD3A7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履约担保</w:t>
            </w:r>
          </w:p>
        </w:tc>
        <w:tc>
          <w:tcPr>
            <w:tcW w:w="3480" w:type="pct"/>
            <w:vAlign w:val="center"/>
          </w:tcPr>
          <w:p w14:paraId="2746C877">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对本协议约定的建设履约担保、运维履约担保、移交履约担保的统称。其中：建设履约担保，指乙方按本协议约定提供的、为担保其履行本协议项下建设等义务的担保措施；运维履约担保，指乙方按照本协议约定提交的、为担保其履行本协议项下运营维护等义务的担保措施；移交履约担保，指乙方按本协议约定提交的、为担保其履行本协议项下移交、质量保证等义务的担保措施。</w:t>
            </w:r>
          </w:p>
        </w:tc>
      </w:tr>
      <w:tr w14:paraId="15E7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08B56A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52DD5E95">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适用法律</w:t>
            </w:r>
          </w:p>
        </w:tc>
        <w:tc>
          <w:tcPr>
            <w:tcW w:w="3480" w:type="pct"/>
            <w:vAlign w:val="center"/>
          </w:tcPr>
          <w:p w14:paraId="57319739">
            <w:pPr>
              <w:keepNext w:val="0"/>
              <w:keepLines w:val="0"/>
              <w:pageBreakBefore w:val="0"/>
              <w:widowControl w:val="0"/>
              <w:kinsoku/>
              <w:wordWrap/>
              <w:overflowPunct/>
              <w:topLinePunct w:val="0"/>
              <w:bidi w:val="0"/>
              <w:spacing w:before="0" w:beforeLines="0" w:beforeAutospacing="0" w:after="0" w:afterLines="0" w:afterAutospacing="0" w:line="24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指中华人民共和国法律。</w:t>
            </w:r>
          </w:p>
        </w:tc>
      </w:tr>
      <w:tr w14:paraId="26B7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3647B26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0CB62A3F">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法律变更</w:t>
            </w:r>
          </w:p>
        </w:tc>
        <w:tc>
          <w:tcPr>
            <w:tcW w:w="3480" w:type="pct"/>
            <w:vAlign w:val="center"/>
          </w:tcPr>
          <w:p w14:paraId="185BFEE9">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指本协议【第</w:t>
            </w:r>
            <w:r>
              <w:rPr>
                <w:rFonts w:hint="eastAsia" w:ascii="宋体" w:hAnsi="宋体" w:eastAsia="宋体" w:cs="宋体"/>
                <w:caps w:val="0"/>
                <w:smallCaps w:val="0"/>
                <w:color w:val="auto"/>
                <w:kern w:val="0"/>
                <w:highlight w:val="none"/>
                <w:lang w:val="en-US" w:eastAsia="zh-CN"/>
              </w:rPr>
              <w:t>67</w:t>
            </w:r>
            <w:r>
              <w:rPr>
                <w:rFonts w:hint="eastAsia" w:ascii="宋体" w:hAnsi="宋体" w:eastAsia="宋体" w:cs="宋体"/>
                <w:caps w:val="0"/>
                <w:smallCaps w:val="0"/>
                <w:color w:val="auto"/>
                <w:kern w:val="0"/>
                <w:highlight w:val="none"/>
              </w:rPr>
              <w:t>条】所定义的法律变更，包括一般性法律变更和特定的法律变更。</w:t>
            </w:r>
          </w:p>
        </w:tc>
      </w:tr>
      <w:tr w14:paraId="3365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68440F7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59071132">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批准</w:t>
            </w:r>
          </w:p>
        </w:tc>
        <w:tc>
          <w:tcPr>
            <w:tcW w:w="3480" w:type="pct"/>
            <w:vAlign w:val="center"/>
          </w:tcPr>
          <w:p w14:paraId="445240E7">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指为了使乙方能够履行其在本协议项下的义务和行使其在本协议项下的权利，乙方必须或希望从政府机关依法获得的所需要的任何许可、执照、同意、授权、批准、免除或相同及类似的合规性文件。</w:t>
            </w:r>
          </w:p>
        </w:tc>
      </w:tr>
      <w:tr w14:paraId="6C94D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7FF607D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017A74D9">
            <w:pPr>
              <w:keepNext w:val="0"/>
              <w:keepLines w:val="0"/>
              <w:pageBreakBefore w:val="0"/>
              <w:widowControl w:val="0"/>
              <w:kinsoku/>
              <w:wordWrap/>
              <w:overflowPunct/>
              <w:topLinePunct w:val="0"/>
              <w:bidi w:val="0"/>
              <w:spacing w:before="0" w:beforeLines="0" w:beforeAutospacing="0" w:after="0" w:afterLines="0" w:afterAutospacing="0" w:line="24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不可抗力</w:t>
            </w:r>
          </w:p>
        </w:tc>
        <w:tc>
          <w:tcPr>
            <w:tcW w:w="3480" w:type="pct"/>
            <w:vAlign w:val="center"/>
          </w:tcPr>
          <w:p w14:paraId="56D6CDB3">
            <w:pPr>
              <w:keepNext w:val="0"/>
              <w:keepLines w:val="0"/>
              <w:pageBreakBefore w:val="0"/>
              <w:widowControl w:val="0"/>
              <w:kinsoku/>
              <w:wordWrap/>
              <w:overflowPunct/>
              <w:topLinePunct w:val="0"/>
              <w:bidi w:val="0"/>
              <w:spacing w:before="0" w:beforeLines="0" w:beforeAutospacing="0" w:after="0" w:afterLines="0" w:afterAutospacing="0" w:line="24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指在签订本协议时不能预见、不能避免且不能克服的客观情况。</w:t>
            </w:r>
          </w:p>
        </w:tc>
      </w:tr>
      <w:tr w14:paraId="5D64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473AF39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1545B91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谨慎运营惯例</w:t>
            </w:r>
          </w:p>
        </w:tc>
        <w:tc>
          <w:tcPr>
            <w:tcW w:w="3480" w:type="pct"/>
            <w:vAlign w:val="center"/>
          </w:tcPr>
          <w:p w14:paraId="78CDA975">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指可以合理期望的对同一项业务在相同或类似情形下熟练和有经验的操作者的技能、勤勉、谨慎和预见能力的惯例标准。</w:t>
            </w:r>
          </w:p>
        </w:tc>
      </w:tr>
      <w:tr w14:paraId="7B4D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10" w:type="pct"/>
            <w:vAlign w:val="center"/>
          </w:tcPr>
          <w:p w14:paraId="1609F0B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tc>
        <w:tc>
          <w:tcPr>
            <w:tcW w:w="1009" w:type="pct"/>
            <w:vAlign w:val="center"/>
          </w:tcPr>
          <w:p w14:paraId="2C8127A8">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jc w:val="center"/>
              <w:rPr>
                <w:rFonts w:hint="eastAsia" w:ascii="宋体" w:hAnsi="宋体" w:eastAsia="宋体" w:cs="宋体"/>
                <w:caps w:val="0"/>
                <w:smallCaps w:val="0"/>
                <w:color w:val="auto"/>
                <w:kern w:val="0"/>
                <w:highlight w:val="none"/>
                <w:lang w:eastAsia="zh-CN"/>
              </w:rPr>
            </w:pP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其他术语</w:t>
            </w:r>
            <w:r>
              <w:rPr>
                <w:rFonts w:hint="eastAsia" w:ascii="宋体" w:hAnsi="宋体" w:eastAsia="宋体" w:cs="宋体"/>
                <w:caps w:val="0"/>
                <w:smallCaps w:val="0"/>
                <w:color w:val="auto"/>
                <w:kern w:val="0"/>
                <w:highlight w:val="none"/>
                <w:lang w:eastAsia="zh-CN"/>
              </w:rPr>
              <w:t>）</w:t>
            </w:r>
          </w:p>
        </w:tc>
        <w:tc>
          <w:tcPr>
            <w:tcW w:w="3480" w:type="pct"/>
            <w:vAlign w:val="center"/>
          </w:tcPr>
          <w:p w14:paraId="532A777C">
            <w:pPr>
              <w:keepNext w:val="0"/>
              <w:keepLines w:val="0"/>
              <w:pageBreakBefore w:val="0"/>
              <w:widowControl w:val="0"/>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乙双方根据实际情况将本协议正文多次出现并具有相同含义，但对于确定双方权利义务可能存在影响的概念、术语、名词的定义进行约定】</w:t>
            </w:r>
          </w:p>
        </w:tc>
      </w:tr>
    </w:tbl>
    <w:p w14:paraId="1B891DC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0715E88C">
      <w:pPr>
        <w:keepNext w:val="0"/>
        <w:keepLines w:val="0"/>
        <w:pageBreakBefore w:val="0"/>
        <w:widowControl w:val="0"/>
        <w:numPr>
          <w:ilvl w:val="0"/>
          <w:numId w:val="0"/>
        </w:numPr>
        <w:tabs>
          <w:tab w:val="left" w:pos="993"/>
        </w:tabs>
        <w:kinsoku/>
        <w:wordWrap/>
        <w:overflowPunct/>
        <w:topLinePunct w:val="0"/>
        <w:bidi w:val="0"/>
        <w:spacing w:before="0" w:beforeLines="0" w:beforeAutospacing="0" w:after="0" w:afterLines="0" w:afterAutospacing="0" w:line="360" w:lineRule="auto"/>
        <w:ind w:left="567" w:leftChars="0"/>
        <w:jc w:val="left"/>
        <w:outlineLvl w:val="2"/>
        <w:rPr>
          <w:rFonts w:hint="eastAsia" w:ascii="宋体" w:hAnsi="宋体" w:eastAsia="宋体" w:cs="宋体"/>
          <w:b/>
          <w:caps w:val="0"/>
          <w:smallCaps w:val="0"/>
          <w:color w:val="auto"/>
          <w:sz w:val="21"/>
          <w:szCs w:val="21"/>
          <w:highlight w:val="none"/>
        </w:rPr>
      </w:pPr>
      <w:r>
        <w:rPr>
          <w:rFonts w:hint="eastAsia" w:ascii="宋体" w:hAnsi="宋体" w:cs="宋体"/>
          <w:b/>
          <w:caps w:val="0"/>
          <w:smallCaps w:val="0"/>
          <w:color w:val="auto"/>
          <w:sz w:val="21"/>
          <w:szCs w:val="21"/>
          <w:highlight w:val="none"/>
          <w:lang w:val="en-US" w:eastAsia="zh-CN"/>
        </w:rPr>
        <w:t>2.</w:t>
      </w:r>
      <w:r>
        <w:rPr>
          <w:rFonts w:hint="eastAsia" w:ascii="宋体" w:hAnsi="宋体" w:eastAsia="宋体" w:cs="宋体"/>
          <w:b/>
          <w:caps w:val="0"/>
          <w:smallCaps w:val="0"/>
          <w:color w:val="auto"/>
          <w:sz w:val="21"/>
          <w:szCs w:val="21"/>
          <w:highlight w:val="none"/>
        </w:rPr>
        <w:t>解释</w:t>
      </w:r>
    </w:p>
    <w:p w14:paraId="4434AA7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【说明：为避免对协议中使用的关键用语的歧义、模糊性或不必要的重复，需要予以统一解释。】</w:t>
      </w:r>
    </w:p>
    <w:p w14:paraId="38A50874">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rPr>
        <w:t>本协议中的标题仅为方便阅读参考所设，不应影响具体条文的解释。以下约定同样适用于对本协议进行解释，除非其上下文明确显示其不适用。在本协议中：</w:t>
      </w:r>
    </w:p>
    <w:p w14:paraId="5D0C38B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1</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协议或文件</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指包括经修订、更新、补充或替代后的该协议或文件；</w:t>
      </w:r>
    </w:p>
    <w:p w14:paraId="6FF90C6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2</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元</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，指中国的法定货币单位人民币元；</w:t>
      </w:r>
    </w:p>
    <w:p w14:paraId="15171D8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3</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条款或附件，指本协议的条款或附件；</w:t>
      </w:r>
    </w:p>
    <w:p w14:paraId="6AF2CB0F">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4</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一方、双方、各方，指本协议中的一方、双方或各方，并且包括经允许的替代该方的主体或该方的受让人；</w:t>
      </w:r>
    </w:p>
    <w:p w14:paraId="534EEA7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5</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包括</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，指包括但不限于；</w:t>
      </w:r>
    </w:p>
    <w:p w14:paraId="440A211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6</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以上</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以下</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以内</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或</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内</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均含本数，</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超过</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以外</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均不含本数；</w:t>
      </w:r>
    </w:p>
    <w:p w14:paraId="467A0710">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7</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日、月、季、年，均指公历的日、月、季、年；</w:t>
      </w:r>
    </w:p>
    <w:p w14:paraId="7DB3B429">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8</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本协议并不限制或以其他方式影响甲方及其他政府部门行使其法定行政职权；</w:t>
      </w:r>
    </w:p>
    <w:p w14:paraId="0B17787B">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9</w:t>
      </w: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rPr>
        <w:t>在本协议订立及履约过程中形成并经双方签署的与协议有关的文件均构成协议文件组成部分，并根据其性质按照本协议约定确定优先解释顺序。</w:t>
      </w:r>
    </w:p>
    <w:p w14:paraId="1F5F647E">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b/>
          <w:bCs/>
          <w:caps w:val="0"/>
          <w:smallCaps w:val="0"/>
          <w:color w:val="auto"/>
          <w:sz w:val="21"/>
          <w:szCs w:val="21"/>
          <w:highlight w:val="none"/>
        </w:rPr>
      </w:pPr>
      <w:bookmarkStart w:id="511" w:name="_Toc1257014914"/>
      <w:r>
        <w:rPr>
          <w:rFonts w:hint="eastAsia" w:ascii="宋体" w:hAnsi="宋体" w:eastAsia="宋体" w:cs="宋体"/>
          <w:b/>
          <w:bCs/>
          <w:caps w:val="0"/>
          <w:smallCaps w:val="0"/>
          <w:color w:val="auto"/>
          <w:sz w:val="21"/>
          <w:szCs w:val="21"/>
          <w:highlight w:val="none"/>
          <w:lang w:val="en-US" w:eastAsia="zh-CN"/>
        </w:rPr>
        <w:t>3.</w:t>
      </w:r>
      <w:r>
        <w:rPr>
          <w:rFonts w:hint="eastAsia" w:ascii="宋体" w:hAnsi="宋体" w:eastAsia="宋体" w:cs="宋体"/>
          <w:b/>
          <w:bCs/>
          <w:caps w:val="0"/>
          <w:smallCaps w:val="0"/>
          <w:color w:val="auto"/>
          <w:sz w:val="21"/>
          <w:szCs w:val="21"/>
          <w:highlight w:val="none"/>
        </w:rPr>
        <w:t>协议目的</w:t>
      </w:r>
      <w:bookmarkEnd w:id="511"/>
    </w:p>
    <w:p w14:paraId="3A27D4B6">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bookmarkStart w:id="512" w:name="_Hlk153981972"/>
      <w:r>
        <w:rPr>
          <w:rFonts w:hint="eastAsia" w:ascii="宋体" w:hAnsi="宋体" w:eastAsia="宋体" w:cs="宋体"/>
          <w:caps w:val="0"/>
          <w:smallCaps w:val="0"/>
          <w:color w:val="auto"/>
          <w:sz w:val="21"/>
          <w:szCs w:val="21"/>
          <w:highlight w:val="none"/>
          <w:lang w:eastAsia="zh-CN"/>
        </w:rPr>
        <w:t>【说明：为便于更准确地理解和执行本协议，应当简要阐述订立本协议的目的。</w:t>
      </w:r>
      <w:bookmarkEnd w:id="512"/>
      <w:r>
        <w:rPr>
          <w:rFonts w:hint="eastAsia" w:ascii="宋体" w:hAnsi="宋体" w:eastAsia="宋体" w:cs="宋体"/>
          <w:caps w:val="0"/>
          <w:smallCaps w:val="0"/>
          <w:color w:val="auto"/>
          <w:sz w:val="21"/>
          <w:szCs w:val="21"/>
          <w:highlight w:val="none"/>
          <w:lang w:eastAsia="zh-CN"/>
        </w:rPr>
        <w:t>】</w:t>
      </w:r>
    </w:p>
    <w:p w14:paraId="36C3281E">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bookmarkStart w:id="513" w:name="_Toc206169440"/>
      <w:r>
        <w:rPr>
          <w:rFonts w:hint="eastAsia" w:ascii="宋体" w:hAnsi="宋体" w:eastAsia="宋体" w:cs="宋体"/>
          <w:caps w:val="0"/>
          <w:smallCaps w:val="0"/>
          <w:color w:val="auto"/>
          <w:sz w:val="21"/>
          <w:szCs w:val="21"/>
          <w:highlight w:val="none"/>
          <w:lang w:eastAsia="zh-CN"/>
        </w:rPr>
        <w:t>声明和保证</w:t>
      </w:r>
      <w:bookmarkEnd w:id="513"/>
    </w:p>
    <w:p w14:paraId="58A26481">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【说明：协议双方需就订立协议的主体资格及履行协议的相关事项作出声明和保证，并明确协议各方因违反声明和保证应承担相应责任。示例如下：】</w:t>
      </w:r>
    </w:p>
    <w:p w14:paraId="012EBDC9">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b/>
          <w:bCs/>
          <w:caps w:val="0"/>
          <w:smallCaps w:val="0"/>
          <w:color w:val="auto"/>
          <w:sz w:val="21"/>
          <w:szCs w:val="21"/>
          <w:highlight w:val="none"/>
          <w:lang w:eastAsia="zh-CN"/>
        </w:rPr>
      </w:pPr>
      <w:r>
        <w:rPr>
          <w:rFonts w:hint="eastAsia" w:ascii="宋体" w:hAnsi="宋体" w:eastAsia="宋体" w:cs="宋体"/>
          <w:b/>
          <w:bCs/>
          <w:caps w:val="0"/>
          <w:smallCaps w:val="0"/>
          <w:color w:val="auto"/>
          <w:sz w:val="21"/>
          <w:szCs w:val="21"/>
          <w:highlight w:val="none"/>
          <w:lang w:val="en-US" w:eastAsia="zh-CN"/>
        </w:rPr>
        <w:t>4.</w:t>
      </w:r>
      <w:r>
        <w:rPr>
          <w:rFonts w:hint="eastAsia" w:ascii="宋体" w:hAnsi="宋体" w:eastAsia="宋体" w:cs="宋体"/>
          <w:b/>
          <w:bCs/>
          <w:caps w:val="0"/>
          <w:smallCaps w:val="0"/>
          <w:color w:val="auto"/>
          <w:sz w:val="21"/>
          <w:szCs w:val="21"/>
          <w:highlight w:val="none"/>
          <w:lang w:eastAsia="zh-CN"/>
        </w:rPr>
        <w:t>甲方的声明与保证</w:t>
      </w:r>
    </w:p>
    <w:p w14:paraId="4A3E0DC2">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1</w:t>
      </w:r>
      <w:r>
        <w:rPr>
          <w:rFonts w:hint="eastAsia" w:ascii="宋体" w:hAnsi="宋体" w:eastAsia="宋体" w:cs="宋体"/>
          <w:caps w:val="0"/>
          <w:smallCaps w:val="0"/>
          <w:color w:val="auto"/>
          <w:sz w:val="21"/>
          <w:szCs w:val="21"/>
          <w:highlight w:val="none"/>
          <w:lang w:eastAsia="zh-CN"/>
        </w:rPr>
        <w:t>）甲方已经取得【】人民政府的正式授权及其他必要的同意和批准，代表【】人民政府签订本协议。</w:t>
      </w:r>
    </w:p>
    <w:p w14:paraId="1BAEAED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2</w:t>
      </w:r>
      <w:r>
        <w:rPr>
          <w:rFonts w:hint="eastAsia" w:ascii="宋体" w:hAnsi="宋体" w:eastAsia="宋体" w:cs="宋体"/>
          <w:caps w:val="0"/>
          <w:smallCaps w:val="0"/>
          <w:color w:val="auto"/>
          <w:sz w:val="21"/>
          <w:szCs w:val="21"/>
          <w:highlight w:val="none"/>
          <w:lang w:eastAsia="zh-CN"/>
        </w:rPr>
        <w:t>）甲方具有与乙方签订和履行本协议的充分的法律权利、权力和授权，本协议一经签订，即对甲方和政府方具有完全的法律约束力。签订和履行本协议不违反甲方的授权文件和其组织规则中的任何内容或与之相冲突，也不违反任何适用法律的强制性规定或对其具有约束力的合同性文件或安排，也不会引致任何利益冲突。</w:t>
      </w:r>
    </w:p>
    <w:p w14:paraId="2C2C7E2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3</w:t>
      </w:r>
      <w:r>
        <w:rPr>
          <w:rFonts w:hint="eastAsia" w:ascii="宋体" w:hAnsi="宋体" w:eastAsia="宋体" w:cs="宋体"/>
          <w:caps w:val="0"/>
          <w:smallCaps w:val="0"/>
          <w:color w:val="auto"/>
          <w:sz w:val="21"/>
          <w:szCs w:val="21"/>
          <w:highlight w:val="none"/>
          <w:lang w:eastAsia="zh-CN"/>
        </w:rPr>
        <w:t>）甲方已尽合理审慎地编制在招标文件中提供的技术资料，其中关于项目建设地点、建设范围、建设规模、城乡规划及土地供应方式已经得到政府有权部门的审核或初步确认，在招标文件中预测的未来使用者数量、市场需求情况等作为财务模型测算基础的数据仅供参考，甲方不承担因乙方直接使用或间接利用上述资料而导致失误或损失的责任，但甲方存在故意或重大过失导致的隐瞒或欺骗、重大失实或误导、重大不实披露情形的除外。</w:t>
      </w:r>
    </w:p>
    <w:p w14:paraId="60B3BCAD">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4</w:t>
      </w:r>
      <w:r>
        <w:rPr>
          <w:rFonts w:hint="eastAsia" w:ascii="宋体" w:hAnsi="宋体" w:eastAsia="宋体" w:cs="宋体"/>
          <w:caps w:val="0"/>
          <w:smallCaps w:val="0"/>
          <w:color w:val="auto"/>
          <w:sz w:val="21"/>
          <w:szCs w:val="21"/>
          <w:highlight w:val="none"/>
          <w:lang w:eastAsia="zh-CN"/>
        </w:rPr>
        <w:t>）甲方承诺所声明与保证内容真实、准确、完整。</w:t>
      </w:r>
    </w:p>
    <w:p w14:paraId="61A9B972">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5</w:t>
      </w:r>
      <w:r>
        <w:rPr>
          <w:rFonts w:hint="eastAsia" w:ascii="宋体" w:hAnsi="宋体" w:eastAsia="宋体" w:cs="宋体"/>
          <w:caps w:val="0"/>
          <w:smallCaps w:val="0"/>
          <w:color w:val="auto"/>
          <w:sz w:val="21"/>
          <w:szCs w:val="21"/>
          <w:highlight w:val="none"/>
          <w:lang w:eastAsia="zh-CN"/>
        </w:rPr>
        <w:t>）【其他声明和保证】。</w:t>
      </w:r>
    </w:p>
    <w:p w14:paraId="7403FE4C">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6</w:t>
      </w:r>
      <w:r>
        <w:rPr>
          <w:rFonts w:hint="eastAsia" w:ascii="宋体" w:hAnsi="宋体" w:eastAsia="宋体" w:cs="宋体"/>
          <w:caps w:val="0"/>
          <w:smallCaps w:val="0"/>
          <w:color w:val="auto"/>
          <w:sz w:val="21"/>
          <w:szCs w:val="21"/>
          <w:highlight w:val="none"/>
          <w:lang w:eastAsia="zh-CN"/>
        </w:rPr>
        <w:t>）如果甲方在此所作的声明被证实在作出时存在实质方面的不属实，或在此所作出的保证在未来无法实现并且该等不属实声明和不能实现的保证严重影响本协议项下的项目的顺利进行导致乙方签订本协议的目的不能实现时，乙方有权终止本协议。</w:t>
      </w:r>
    </w:p>
    <w:p w14:paraId="77ED37A2">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b/>
          <w:bCs/>
          <w:caps w:val="0"/>
          <w:smallCaps w:val="0"/>
          <w:color w:val="auto"/>
          <w:sz w:val="21"/>
          <w:szCs w:val="21"/>
          <w:highlight w:val="none"/>
          <w:lang w:eastAsia="zh-CN"/>
        </w:rPr>
      </w:pPr>
      <w:bookmarkStart w:id="514" w:name="_Toc136332504"/>
      <w:r>
        <w:rPr>
          <w:rFonts w:hint="eastAsia" w:ascii="宋体" w:hAnsi="宋体" w:eastAsia="宋体" w:cs="宋体"/>
          <w:b/>
          <w:bCs/>
          <w:caps w:val="0"/>
          <w:smallCaps w:val="0"/>
          <w:color w:val="auto"/>
          <w:sz w:val="21"/>
          <w:szCs w:val="21"/>
          <w:highlight w:val="none"/>
          <w:lang w:val="en-US" w:eastAsia="zh-CN"/>
        </w:rPr>
        <w:t>5.</w:t>
      </w:r>
      <w:r>
        <w:rPr>
          <w:rFonts w:hint="eastAsia" w:ascii="宋体" w:hAnsi="宋体" w:eastAsia="宋体" w:cs="宋体"/>
          <w:b/>
          <w:bCs/>
          <w:caps w:val="0"/>
          <w:smallCaps w:val="0"/>
          <w:color w:val="auto"/>
          <w:sz w:val="21"/>
          <w:szCs w:val="21"/>
          <w:highlight w:val="none"/>
          <w:lang w:eastAsia="zh-CN"/>
        </w:rPr>
        <w:t>乙方的声明</w:t>
      </w:r>
      <w:bookmarkEnd w:id="514"/>
      <w:r>
        <w:rPr>
          <w:rFonts w:hint="eastAsia" w:ascii="宋体" w:hAnsi="宋体" w:eastAsia="宋体" w:cs="宋体"/>
          <w:b/>
          <w:bCs/>
          <w:caps w:val="0"/>
          <w:smallCaps w:val="0"/>
          <w:color w:val="auto"/>
          <w:sz w:val="21"/>
          <w:szCs w:val="21"/>
          <w:highlight w:val="none"/>
          <w:lang w:eastAsia="zh-CN"/>
        </w:rPr>
        <w:t>与保证</w:t>
      </w:r>
    </w:p>
    <w:p w14:paraId="57DC4616">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1</w:t>
      </w:r>
      <w:r>
        <w:rPr>
          <w:rFonts w:hint="eastAsia" w:ascii="宋体" w:hAnsi="宋体" w:eastAsia="宋体" w:cs="宋体"/>
          <w:caps w:val="0"/>
          <w:smallCaps w:val="0"/>
          <w:color w:val="auto"/>
          <w:sz w:val="21"/>
          <w:szCs w:val="21"/>
          <w:highlight w:val="none"/>
          <w:lang w:eastAsia="zh-CN"/>
        </w:rPr>
        <w:t>）乙方是根据【适用法律合法成立（适用境内法人或其他组织），或【】国（或地区）法律合法成立并已根据适用法律在中华人民共和国境内合法登记报备（适用境外法人或其他组织）】和有效存续的公司。</w:t>
      </w:r>
    </w:p>
    <w:p w14:paraId="0AA111EF">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2</w:t>
      </w:r>
      <w:r>
        <w:rPr>
          <w:rFonts w:hint="eastAsia" w:ascii="宋体" w:hAnsi="宋体" w:eastAsia="宋体" w:cs="宋体"/>
          <w:caps w:val="0"/>
          <w:smallCaps w:val="0"/>
          <w:color w:val="auto"/>
          <w:sz w:val="21"/>
          <w:szCs w:val="21"/>
          <w:highlight w:val="none"/>
          <w:lang w:eastAsia="zh-CN"/>
        </w:rPr>
        <w:t>）乙方已根据适用法律和公司章程的规定取得签订和履行本协议所需的一切同意与批准。本协议一经签订，即对乙方具有完全的法律约束力，签订和履行本协议不会导致乙方违反适用法律、行政决定、生效判决或裁决的强制性规定，也不会导致乙方违反公司章程的约定和股东会、董事会决议，不会违反乙方与第三方合同的条款、条件和承诺，也不会引致任何利益冲突。</w:t>
      </w:r>
    </w:p>
    <w:p w14:paraId="7B02E15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eastAsia="zh-CN"/>
        </w:rPr>
      </w:pPr>
      <w:r>
        <w:rPr>
          <w:rFonts w:hint="eastAsia" w:ascii="宋体" w:hAnsi="宋体" w:eastAsia="宋体" w:cs="宋体"/>
          <w:caps w:val="0"/>
          <w:smallCaps w:val="0"/>
          <w:color w:val="auto"/>
          <w:sz w:val="21"/>
          <w:szCs w:val="21"/>
          <w:highlight w:val="none"/>
          <w:lang w:eastAsia="zh-CN"/>
        </w:rPr>
        <w:t>（</w:t>
      </w:r>
      <w:r>
        <w:rPr>
          <w:rFonts w:hint="eastAsia" w:ascii="宋体" w:hAnsi="宋体" w:eastAsia="宋体" w:cs="宋体"/>
          <w:caps w:val="0"/>
          <w:smallCaps w:val="0"/>
          <w:color w:val="auto"/>
          <w:sz w:val="21"/>
          <w:szCs w:val="21"/>
          <w:highlight w:val="none"/>
          <w:lang w:val="en-US" w:eastAsia="zh-CN"/>
        </w:rPr>
        <w:t>3</w:t>
      </w:r>
      <w:r>
        <w:rPr>
          <w:rFonts w:hint="eastAsia" w:ascii="宋体" w:hAnsi="宋体" w:eastAsia="宋体" w:cs="宋体"/>
          <w:caps w:val="0"/>
          <w:smallCaps w:val="0"/>
          <w:color w:val="auto"/>
          <w:sz w:val="21"/>
          <w:szCs w:val="21"/>
          <w:highlight w:val="none"/>
          <w:lang w:eastAsia="zh-CN"/>
        </w:rPr>
        <w:t>）乙方已完全独立并合理审慎地研究和评估了招标文件提供的参考性技术资料，并基于其对项目建设地点、建设范围、建设规模、城乡规划及土地供应方式、预测的未来使用者数量和市场等数据作出的独立判断签署本协议。</w:t>
      </w:r>
    </w:p>
    <w:p w14:paraId="4418765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（4）乙方具有从事本项目投资、融资、建设、运营和维护的条件和能力，在特许经营者选择过程中提供的项目管理经验、专业运营能力、企业综合实力、信用状况等方面情况真实、准确、完整。</w:t>
      </w:r>
    </w:p>
    <w:p w14:paraId="34683C16">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（5）乙方承诺所声明和保证内容真实、准确、完整。</w:t>
      </w:r>
    </w:p>
    <w:p w14:paraId="6BD14DFF">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（6）【其他声明和保证】</w:t>
      </w:r>
    </w:p>
    <w:p w14:paraId="21B1ECB5">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7）如果乙方在此所作的声明被证实在作出时存在实质方面的不属实，或在此所作出的保证在未来无法实现并且该等不属实声明和不能实现的保证严重影响本协议项下的项目的顺利进行导致甲方签订本协议的目的不能实现时，甲方有权终止本协议。</w:t>
      </w:r>
    </w:p>
    <w:p w14:paraId="3021B24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b/>
          <w:bCs/>
          <w:caps w:val="0"/>
          <w:smallCaps w:val="0"/>
          <w:color w:val="auto"/>
          <w:sz w:val="21"/>
          <w:szCs w:val="21"/>
          <w:highlight w:val="none"/>
          <w:lang w:val="en-US" w:eastAsia="zh-CN"/>
        </w:rPr>
      </w:pPr>
      <w:bookmarkStart w:id="515" w:name="_Toc85012562"/>
      <w:r>
        <w:rPr>
          <w:rFonts w:hint="eastAsia" w:ascii="宋体" w:hAnsi="宋体" w:eastAsia="宋体" w:cs="宋体"/>
          <w:b/>
          <w:bCs/>
          <w:caps w:val="0"/>
          <w:smallCaps w:val="0"/>
          <w:color w:val="auto"/>
          <w:sz w:val="21"/>
          <w:szCs w:val="21"/>
          <w:highlight w:val="none"/>
          <w:lang w:val="en-US" w:eastAsia="zh-CN"/>
        </w:rPr>
        <w:t>6.协议生效条件</w:t>
      </w:r>
      <w:bookmarkEnd w:id="515"/>
    </w:p>
    <w:p w14:paraId="3987780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56" w:firstLineChars="253"/>
        <w:rPr>
          <w:rFonts w:hint="eastAsia" w:ascii="宋体" w:hAnsi="宋体" w:eastAsia="宋体" w:cs="宋体"/>
          <w:caps w:val="0"/>
          <w:smallCaps w:val="0"/>
          <w:color w:val="FF0000"/>
          <w:highlight w:val="none"/>
        </w:rPr>
      </w:pPr>
      <w:r>
        <w:rPr>
          <w:rFonts w:hint="eastAsia" w:ascii="宋体" w:hAnsi="宋体" w:eastAsia="宋体" w:cs="宋体"/>
          <w:caps w:val="0"/>
          <w:smallCaps w:val="0"/>
          <w:color w:val="auto"/>
          <w:highlight w:val="none"/>
        </w:rPr>
        <w:t>【说明：项目是否</w:t>
      </w:r>
      <w:r>
        <w:rPr>
          <w:rFonts w:hint="eastAsia" w:ascii="宋体" w:hAnsi="宋体" w:eastAsia="宋体" w:cs="宋体"/>
          <w:caps w:val="0"/>
          <w:smallCaps w:val="0"/>
          <w:color w:val="auto"/>
          <w:highlight w:val="none"/>
          <w:lang w:eastAsia="zh-CN"/>
        </w:rPr>
        <w:t>完成</w:t>
      </w:r>
      <w:r>
        <w:rPr>
          <w:rFonts w:hint="eastAsia" w:ascii="宋体" w:hAnsi="宋体" w:eastAsia="宋体" w:cs="宋体"/>
          <w:caps w:val="0"/>
          <w:smallCaps w:val="0"/>
          <w:color w:val="auto"/>
          <w:highlight w:val="none"/>
        </w:rPr>
        <w:t>审批、核准或</w:t>
      </w:r>
      <w:r>
        <w:rPr>
          <w:rFonts w:hint="eastAsia" w:ascii="宋体" w:hAnsi="宋体" w:eastAsia="宋体" w:cs="宋体"/>
          <w:caps w:val="0"/>
          <w:smallCaps w:val="0"/>
          <w:color w:val="FF0000"/>
          <w:highlight w:val="none"/>
        </w:rPr>
        <w:t>备案，融资条件是否具备，政府方承诺的支持条件是否提供等不应作为生效条件。示例如下：】</w:t>
      </w:r>
    </w:p>
    <w:p w14:paraId="05ADFE2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本协议满足以下条件后即生效：</w:t>
      </w:r>
    </w:p>
    <w:p w14:paraId="0A534B27">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1.本协议已经甲、乙双方法定代表人或授权代表签名盖章。</w:t>
      </w:r>
    </w:p>
    <w:p w14:paraId="4F3CBE22">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2.【其他生效条件，如有。】【说明：为维护特许经营者选择采用公开竞争方式（如公开招标）的严肃性和维护甲、乙双方权益，《范本》建议协议签署即生效，附加其他生效条件应审慎论证。】</w:t>
      </w:r>
    </w:p>
    <w:p w14:paraId="2DA3B41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bookmarkStart w:id="516" w:name="_Toc1492560342"/>
      <w:r>
        <w:rPr>
          <w:rFonts w:hint="eastAsia" w:ascii="宋体" w:hAnsi="宋体" w:eastAsia="宋体" w:cs="宋体"/>
          <w:caps w:val="0"/>
          <w:smallCaps w:val="0"/>
          <w:color w:val="auto"/>
          <w:sz w:val="21"/>
          <w:szCs w:val="21"/>
          <w:highlight w:val="none"/>
          <w:lang w:val="en-US" w:eastAsia="zh-CN"/>
        </w:rPr>
        <w:t>协议构成及优先次序</w:t>
      </w:r>
      <w:bookmarkEnd w:id="516"/>
    </w:p>
    <w:p w14:paraId="75FA42A4">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1.协议构成</w:t>
      </w:r>
    </w:p>
    <w:p w14:paraId="3D41994D">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本协议由以下构成：</w:t>
      </w:r>
    </w:p>
    <w:p w14:paraId="7F64E42F">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（1）项目实施过程中形成的本协议的补充协议或变更协议；</w:t>
      </w:r>
    </w:p>
    <w:p w14:paraId="0CDC26C3">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（2）本协议正文和附件；</w:t>
      </w:r>
    </w:p>
    <w:p w14:paraId="13694FAB">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440" w:firstLineChars="0"/>
        <w:rPr>
          <w:rFonts w:hint="eastAsia" w:ascii="宋体" w:hAnsi="宋体" w:eastAsia="宋体" w:cs="宋体"/>
          <w:caps w:val="0"/>
          <w:smallCaps w:val="0"/>
          <w:color w:val="auto"/>
          <w:sz w:val="21"/>
          <w:szCs w:val="21"/>
          <w:highlight w:val="none"/>
          <w:lang w:val="en-US" w:eastAsia="zh-CN"/>
        </w:rPr>
      </w:pPr>
      <w:r>
        <w:rPr>
          <w:rFonts w:hint="eastAsia" w:ascii="宋体" w:hAnsi="宋体" w:eastAsia="宋体" w:cs="宋体"/>
          <w:caps w:val="0"/>
          <w:smallCaps w:val="0"/>
          <w:color w:val="auto"/>
          <w:sz w:val="21"/>
          <w:szCs w:val="21"/>
          <w:highlight w:val="none"/>
          <w:lang w:val="en-US" w:eastAsia="zh-CN"/>
        </w:rPr>
        <w:t>（3）双方约定的构成本协议组成部分的其他文件。</w:t>
      </w:r>
    </w:p>
    <w:p w14:paraId="1849AEE2">
      <w:pPr>
        <w:keepNext w:val="0"/>
        <w:keepLines w:val="0"/>
        <w:pageBreakBefore w:val="0"/>
        <w:widowControl w:val="0"/>
        <w:numPr>
          <w:ilvl w:val="0"/>
          <w:numId w:val="0"/>
        </w:numPr>
        <w:tabs>
          <w:tab w:val="left" w:pos="993"/>
        </w:tabs>
        <w:kinsoku/>
        <w:wordWrap/>
        <w:overflowPunct/>
        <w:topLinePunct w:val="0"/>
        <w:bidi w:val="0"/>
        <w:spacing w:before="0" w:beforeLines="0" w:beforeAutospacing="0" w:after="0" w:afterLines="0" w:afterAutospacing="0" w:line="360" w:lineRule="auto"/>
        <w:ind w:left="567" w:leftChars="0"/>
        <w:jc w:val="left"/>
        <w:outlineLvl w:val="2"/>
        <w:rPr>
          <w:rFonts w:hint="eastAsia" w:ascii="宋体" w:hAnsi="宋体" w:eastAsia="宋体" w:cs="宋体"/>
          <w:b/>
          <w:caps w:val="0"/>
          <w:smallCaps w:val="0"/>
          <w:color w:val="auto"/>
          <w:highlight w:val="none"/>
        </w:rPr>
      </w:pPr>
      <w:r>
        <w:rPr>
          <w:rFonts w:hint="eastAsia" w:ascii="宋体" w:hAnsi="宋体" w:cs="宋体"/>
          <w:b/>
          <w:caps w:val="0"/>
          <w:smallCaps w:val="0"/>
          <w:color w:val="auto"/>
          <w:highlight w:val="none"/>
          <w:lang w:val="en-US" w:eastAsia="zh-CN"/>
        </w:rPr>
        <w:t>1.</w:t>
      </w:r>
      <w:r>
        <w:rPr>
          <w:rFonts w:hint="eastAsia" w:ascii="宋体" w:hAnsi="宋体" w:eastAsia="宋体" w:cs="宋体"/>
          <w:b/>
          <w:caps w:val="0"/>
          <w:smallCaps w:val="0"/>
          <w:color w:val="auto"/>
          <w:highlight w:val="none"/>
        </w:rPr>
        <w:t>优先次序</w:t>
      </w:r>
    </w:p>
    <w:p w14:paraId="01767E5F">
      <w:pPr>
        <w:keepNext w:val="0"/>
        <w:keepLines w:val="0"/>
        <w:pageBreakBefore w:val="0"/>
        <w:widowControl w:val="0"/>
        <w:numPr>
          <w:ilvl w:val="0"/>
          <w:numId w:val="0"/>
        </w:numPr>
        <w:tabs>
          <w:tab w:val="left" w:pos="993"/>
        </w:tabs>
        <w:kinsoku/>
        <w:wordWrap/>
        <w:overflowPunct/>
        <w:topLinePunct w:val="0"/>
        <w:bidi w:val="0"/>
        <w:spacing w:before="0" w:beforeLines="0" w:beforeAutospacing="0" w:after="0" w:afterLines="0" w:afterAutospacing="0" w:line="360" w:lineRule="auto"/>
        <w:ind w:left="568" w:leftChars="0"/>
        <w:rPr>
          <w:rFonts w:hint="eastAsia" w:ascii="宋体" w:hAnsi="宋体" w:eastAsia="宋体" w:cs="宋体"/>
          <w:caps w:val="0"/>
          <w:smallCaps w:val="0"/>
          <w:color w:val="FF0000"/>
          <w:highlight w:val="none"/>
        </w:rPr>
      </w:pPr>
      <w:r>
        <w:rPr>
          <w:rFonts w:hint="eastAsia" w:ascii="宋体" w:hAnsi="宋体" w:cs="宋体"/>
          <w:caps w:val="0"/>
          <w:smallCaps w:val="0"/>
          <w:color w:val="FF0000"/>
          <w:highlight w:val="none"/>
          <w:lang w:eastAsia="zh-CN"/>
        </w:rPr>
        <w:t>（</w:t>
      </w:r>
      <w:r>
        <w:rPr>
          <w:rFonts w:hint="eastAsia" w:ascii="宋体" w:hAnsi="宋体" w:cs="宋体"/>
          <w:caps w:val="0"/>
          <w:smallCaps w:val="0"/>
          <w:color w:val="FF0000"/>
          <w:highlight w:val="none"/>
          <w:lang w:val="en-US" w:eastAsia="zh-CN"/>
        </w:rPr>
        <w:t>1</w:t>
      </w:r>
      <w:r>
        <w:rPr>
          <w:rFonts w:hint="eastAsia" w:ascii="宋体" w:hAnsi="宋体" w:cs="宋体"/>
          <w:caps w:val="0"/>
          <w:smallCaps w:val="0"/>
          <w:color w:val="FF0000"/>
          <w:highlight w:val="none"/>
          <w:lang w:eastAsia="zh-CN"/>
        </w:rPr>
        <w:t>）</w:t>
      </w:r>
      <w:r>
        <w:rPr>
          <w:rFonts w:hint="eastAsia" w:ascii="宋体" w:hAnsi="宋体" w:eastAsia="宋体" w:cs="宋体"/>
          <w:caps w:val="0"/>
          <w:smallCaps w:val="0"/>
          <w:color w:val="FF0000"/>
          <w:highlight w:val="none"/>
        </w:rPr>
        <w:t>前款所列文件构成本协议整体，互相补充，若有不明确或不一致之处，以前款所列次序在先者为准。</w:t>
      </w:r>
    </w:p>
    <w:p w14:paraId="6C2162F7">
      <w:pPr>
        <w:keepNext w:val="0"/>
        <w:keepLines w:val="0"/>
        <w:pageBreakBefore w:val="0"/>
        <w:widowControl w:val="0"/>
        <w:numPr>
          <w:ilvl w:val="0"/>
          <w:numId w:val="0"/>
        </w:numPr>
        <w:tabs>
          <w:tab w:val="left" w:pos="993"/>
        </w:tabs>
        <w:kinsoku/>
        <w:wordWrap/>
        <w:overflowPunct/>
        <w:topLinePunct w:val="0"/>
        <w:bidi w:val="0"/>
        <w:spacing w:before="0" w:beforeLines="0" w:beforeAutospacing="0" w:after="0" w:afterLines="0" w:afterAutospacing="0" w:line="360" w:lineRule="auto"/>
        <w:ind w:left="568" w:leftChars="0"/>
        <w:rPr>
          <w:rFonts w:hint="eastAsia" w:ascii="宋体" w:hAnsi="宋体" w:eastAsia="宋体" w:cs="宋体"/>
          <w:caps w:val="0"/>
          <w:smallCaps w:val="0"/>
          <w:color w:val="auto"/>
          <w:highlight w:val="none"/>
        </w:rPr>
      </w:pPr>
      <w:r>
        <w:rPr>
          <w:rFonts w:hint="eastAsia" w:ascii="宋体" w:hAnsi="宋体" w:cs="宋体"/>
          <w:caps w:val="0"/>
          <w:smallCaps w:val="0"/>
          <w:color w:val="auto"/>
          <w:highlight w:val="none"/>
          <w:lang w:eastAsia="zh-CN"/>
        </w:rPr>
        <w:t>（</w:t>
      </w:r>
      <w:r>
        <w:rPr>
          <w:rFonts w:hint="eastAsia" w:ascii="宋体" w:hAnsi="宋体" w:cs="宋体"/>
          <w:caps w:val="0"/>
          <w:smallCaps w:val="0"/>
          <w:color w:val="auto"/>
          <w:highlight w:val="none"/>
          <w:lang w:val="en-US" w:eastAsia="zh-CN"/>
        </w:rPr>
        <w:t>2</w:t>
      </w:r>
      <w:r>
        <w:rPr>
          <w:rFonts w:hint="eastAsia" w:ascii="宋体" w:hAnsi="宋体" w:cs="宋体"/>
          <w:caps w:val="0"/>
          <w:smallCaps w:val="0"/>
          <w:color w:val="auto"/>
          <w:highlight w:val="none"/>
          <w:lang w:eastAsia="zh-CN"/>
        </w:rPr>
        <w:t>）</w:t>
      </w:r>
      <w:r>
        <w:rPr>
          <w:rFonts w:hint="eastAsia" w:ascii="宋体" w:hAnsi="宋体" w:eastAsia="宋体" w:cs="宋体"/>
          <w:caps w:val="0"/>
          <w:smallCaps w:val="0"/>
          <w:color w:val="auto"/>
          <w:highlight w:val="none"/>
        </w:rPr>
        <w:t>同一顺序中的文件有不同约定的，以日期在后的文件为准。但甲、乙双方另有约定的除外。</w:t>
      </w:r>
    </w:p>
    <w:p w14:paraId="20D71DEB">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bCs/>
          <w:caps w:val="0"/>
          <w:smallCaps w:val="0"/>
          <w:color w:val="auto"/>
          <w:highlight w:val="none"/>
        </w:rPr>
      </w:pPr>
      <w:r>
        <w:rPr>
          <w:rFonts w:hint="eastAsia" w:ascii="宋体" w:hAnsi="宋体" w:eastAsia="宋体" w:cs="宋体"/>
          <w:b/>
          <w:bCs/>
          <w:caps w:val="0"/>
          <w:smallCaps w:val="0"/>
          <w:color w:val="auto"/>
          <w:highlight w:val="none"/>
        </w:rPr>
        <w:t>协议附录</w:t>
      </w:r>
    </w:p>
    <w:p w14:paraId="055F009D">
      <w:pPr>
        <w:pStyle w:val="19"/>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 w:val="28"/>
          <w:szCs w:val="28"/>
          <w:highlight w:val="none"/>
        </w:rPr>
      </w:pPr>
      <w:r>
        <w:rPr>
          <w:rFonts w:hint="eastAsia" w:ascii="宋体" w:hAnsi="宋体" w:eastAsia="宋体" w:cs="宋体"/>
          <w:caps w:val="0"/>
          <w:smallCaps w:val="0"/>
          <w:color w:val="auto"/>
          <w:sz w:val="28"/>
          <w:szCs w:val="28"/>
          <w:highlight w:val="none"/>
        </w:rPr>
        <w:t>达成本协议过程中形成的以下附录，用于需要对本协议条款释义时参考：</w:t>
      </w:r>
    </w:p>
    <w:p w14:paraId="57AB9CCE">
      <w:pPr>
        <w:keepNext w:val="0"/>
        <w:keepLines w:val="0"/>
        <w:pageBreakBefore w:val="0"/>
        <w:widowControl w:val="0"/>
        <w:numPr>
          <w:ilvl w:val="0"/>
          <w:numId w:val="6"/>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甲方与特许经营者签署的初步协议</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设立项目公司情形</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6DF9542F">
      <w:pPr>
        <w:keepNext w:val="0"/>
        <w:keepLines w:val="0"/>
        <w:pageBreakBefore w:val="0"/>
        <w:widowControl w:val="0"/>
        <w:numPr>
          <w:ilvl w:val="0"/>
          <w:numId w:val="6"/>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特许经营者获得的中标</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或中选</w:t>
      </w:r>
      <w:r>
        <w:rPr>
          <w:rFonts w:hint="eastAsia" w:ascii="宋体" w:hAnsi="宋体" w:eastAsia="宋体" w:cs="宋体"/>
          <w:caps w:val="0"/>
          <w:smallCaps w:val="0"/>
          <w:color w:val="auto"/>
          <w:highlight w:val="none"/>
          <w:lang w:eastAsia="zh-CN"/>
        </w:rPr>
        <w:t>、成交等）</w:t>
      </w:r>
      <w:r>
        <w:rPr>
          <w:rFonts w:hint="eastAsia" w:ascii="宋体" w:hAnsi="宋体" w:eastAsia="宋体" w:cs="宋体"/>
          <w:caps w:val="0"/>
          <w:smallCaps w:val="0"/>
          <w:color w:val="auto"/>
          <w:highlight w:val="none"/>
        </w:rPr>
        <w:t>通知书；</w:t>
      </w:r>
    </w:p>
    <w:p w14:paraId="12BA4314">
      <w:pPr>
        <w:keepNext w:val="0"/>
        <w:keepLines w:val="0"/>
        <w:pageBreakBefore w:val="0"/>
        <w:widowControl w:val="0"/>
        <w:numPr>
          <w:ilvl w:val="0"/>
          <w:numId w:val="6"/>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双方在本协议谈判阶段签署的备忘录或共同确认的会议纪要中未纳入本协议的内容；</w:t>
      </w:r>
    </w:p>
    <w:p w14:paraId="688FA925">
      <w:pPr>
        <w:keepNext w:val="0"/>
        <w:keepLines w:val="0"/>
        <w:pageBreakBefore w:val="0"/>
        <w:widowControl w:val="0"/>
        <w:numPr>
          <w:ilvl w:val="0"/>
          <w:numId w:val="6"/>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特许经营者的投标文件（包括投标人在评标期间递交和确认并经招标人同意的对有关问题的补充资料和澄清文件等，但不包括未被招标人接受的偏差意见）；</w:t>
      </w:r>
    </w:p>
    <w:p w14:paraId="6AD5F087">
      <w:pPr>
        <w:keepNext w:val="0"/>
        <w:keepLines w:val="0"/>
        <w:pageBreakBefore w:val="0"/>
        <w:widowControl w:val="0"/>
        <w:numPr>
          <w:ilvl w:val="0"/>
          <w:numId w:val="6"/>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招标文件（含招标文件补充文件）。</w:t>
      </w:r>
    </w:p>
    <w:p w14:paraId="56151E81">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lang w:val="en-US" w:eastAsia="zh-CN"/>
        </w:rPr>
      </w:pPr>
      <w:r>
        <w:rPr>
          <w:rFonts w:hint="eastAsia" w:ascii="宋体" w:hAnsi="宋体" w:eastAsia="宋体" w:cs="宋体"/>
          <w:caps w:val="0"/>
          <w:smallCaps w:val="0"/>
          <w:color w:val="auto"/>
          <w:sz w:val="28"/>
          <w:highlight w:val="none"/>
        </w:rPr>
        <w:br w:type="page"/>
      </w:r>
      <w:bookmarkStart w:id="517" w:name="_Toc623091333"/>
      <w:r>
        <w:rPr>
          <w:rFonts w:hint="eastAsia" w:ascii="宋体" w:hAnsi="宋体" w:eastAsia="宋体" w:cs="宋体"/>
          <w:caps w:val="0"/>
          <w:smallCaps w:val="0"/>
          <w:color w:val="auto"/>
          <w:sz w:val="28"/>
          <w:highlight w:val="none"/>
          <w:lang w:val="en-US" w:eastAsia="zh-CN"/>
        </w:rPr>
        <w:t>协议主体及主要权利义务</w:t>
      </w:r>
      <w:bookmarkEnd w:id="517"/>
    </w:p>
    <w:p w14:paraId="7789402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【说明：本章重点明确协议各方主体资格，并概括性地约定各主体的主要权利和义务。示例如下：】</w:t>
      </w:r>
    </w:p>
    <w:p w14:paraId="5B4531B5">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18" w:name="_Toc436282778"/>
      <w:r>
        <w:rPr>
          <w:rFonts w:hint="eastAsia" w:ascii="宋体" w:hAnsi="宋体" w:eastAsia="宋体" w:cs="宋体"/>
          <w:bCs/>
          <w:caps w:val="0"/>
          <w:smallCaps w:val="0"/>
          <w:color w:val="auto"/>
          <w:sz w:val="28"/>
          <w:highlight w:val="none"/>
        </w:rPr>
        <w:t>甲方的主体资格和主要权利义务</w:t>
      </w:r>
      <w:bookmarkEnd w:id="518"/>
    </w:p>
    <w:p w14:paraId="3C999FFE">
      <w:pPr>
        <w:pStyle w:val="5"/>
        <w:keepNext w:val="0"/>
        <w:keepLines w:val="0"/>
        <w:pageBreakBefore w:val="0"/>
        <w:widowControl w:val="0"/>
        <w:numPr>
          <w:ilvl w:val="2"/>
          <w:numId w:val="7"/>
        </w:numPr>
        <w:tabs>
          <w:tab w:val="left" w:pos="993"/>
        </w:tabs>
        <w:kinsoku/>
        <w:wordWrap/>
        <w:overflowPunct/>
        <w:topLinePunct w:val="0"/>
        <w:bidi w:val="0"/>
        <w:spacing w:before="0" w:beforeLines="0" w:beforeAutospacing="0" w:after="0" w:afterLines="0" w:afterAutospacing="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甲方的主体资格</w:t>
      </w:r>
    </w:p>
    <w:p w14:paraId="3D48633E">
      <w:pPr>
        <w:keepNext w:val="0"/>
        <w:keepLines w:val="0"/>
        <w:pageBreakBefore w:val="0"/>
        <w:widowControl w:val="0"/>
        <w:numPr>
          <w:ilvl w:val="0"/>
          <w:numId w:val="8"/>
        </w:numPr>
        <w:tabs>
          <w:tab w:val="left" w:pos="993"/>
        </w:tabs>
        <w:kinsoku/>
        <w:wordWrap/>
        <w:overflowPunct/>
        <w:topLinePunct w:val="0"/>
        <w:bidi w:val="0"/>
        <w:spacing w:before="0" w:beforeLines="0" w:beforeAutospacing="0" w:after="0" w:afterLines="0" w:afterAutospacing="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甲方为本项目的</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w:t>
      </w:r>
    </w:p>
    <w:p w14:paraId="3D417B92">
      <w:pPr>
        <w:keepNext w:val="0"/>
        <w:keepLines w:val="0"/>
        <w:pageBreakBefore w:val="0"/>
        <w:widowControl w:val="0"/>
        <w:numPr>
          <w:ilvl w:val="0"/>
          <w:numId w:val="8"/>
        </w:numPr>
        <w:tabs>
          <w:tab w:val="left" w:pos="993"/>
        </w:tabs>
        <w:kinsoku/>
        <w:wordWrap/>
        <w:overflowPunct/>
        <w:topLinePunct w:val="0"/>
        <w:bidi w:val="0"/>
        <w:spacing w:before="0" w:beforeLines="0" w:beforeAutospacing="0" w:after="0" w:afterLines="0" w:afterAutospacing="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因行政区划调整或机构调整，甲方被撤销或被合并的，由承继其相关职能的机构或合并后的政府主体完全承继本协议，并继续履行本协议中甲方义务、行使甲方权利。承继甲方职能的机构或政府主体不明确的，应当由政府继续履行甲方义务、行使甲方权利。本协议在前述承继完成之前的履行情况（包括所产生的甲方责任），对承继方具有约束力、并由承继方全部承担。</w:t>
      </w:r>
    </w:p>
    <w:p w14:paraId="66F1D3BF">
      <w:pPr>
        <w:keepNext w:val="0"/>
        <w:keepLines w:val="0"/>
        <w:pageBreakBefore w:val="0"/>
        <w:widowControl w:val="0"/>
        <w:numPr>
          <w:ilvl w:val="0"/>
          <w:numId w:val="8"/>
        </w:numPr>
        <w:tabs>
          <w:tab w:val="left" w:pos="993"/>
        </w:tabs>
        <w:kinsoku/>
        <w:wordWrap/>
        <w:overflowPunct/>
        <w:topLinePunct w:val="0"/>
        <w:bidi w:val="0"/>
        <w:spacing w:before="0" w:beforeLines="0" w:beforeAutospacing="0" w:after="0" w:afterLines="0" w:afterAutospacing="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甲方基本信息如下：</w:t>
      </w:r>
    </w:p>
    <w:p w14:paraId="2383680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名称：</w:t>
      </w:r>
    </w:p>
    <w:p w14:paraId="169AD14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住所：</w:t>
      </w:r>
    </w:p>
    <w:p w14:paraId="1F13C3F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法定代表人：</w:t>
      </w:r>
    </w:p>
    <w:p w14:paraId="42E1887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其他信息（或有）：</w:t>
      </w:r>
    </w:p>
    <w:p w14:paraId="7F99E816">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甲方的主要权利</w:t>
      </w:r>
    </w:p>
    <w:p w14:paraId="5BE612B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w:t>
      </w:r>
      <w:bookmarkStart w:id="519" w:name="_Hlk152432495"/>
      <w:r>
        <w:rPr>
          <w:rFonts w:hint="eastAsia" w:ascii="宋体" w:hAnsi="宋体" w:eastAsia="宋体" w:cs="宋体"/>
          <w:caps w:val="0"/>
          <w:smallCaps w:val="0"/>
          <w:color w:val="auto"/>
          <w:highlight w:val="none"/>
        </w:rPr>
        <w:t>：本条以本协议相关约定为依据，概要性梳理和明确</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在本协议项下所拥有的主要权利内容。在</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由政府特定行业管理部门担任时，本节内容不包括政府部门依法依规实施相关行政监管的权力。示例如下：</w:t>
      </w:r>
      <w:bookmarkEnd w:id="519"/>
      <w:r>
        <w:rPr>
          <w:rFonts w:hint="eastAsia" w:ascii="宋体" w:hAnsi="宋体" w:eastAsia="宋体" w:cs="宋体"/>
          <w:caps w:val="0"/>
          <w:smallCaps w:val="0"/>
          <w:color w:val="auto"/>
          <w:highlight w:val="none"/>
        </w:rPr>
        <w:t>】</w:t>
      </w:r>
    </w:p>
    <w:p w14:paraId="3D43A14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甲方根据适用法律行使政府监管的权力，根据本协议约定行使各项合同权利。甲方的权利包括：</w:t>
      </w:r>
    </w:p>
    <w:p w14:paraId="431F554E">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对乙方项目投资资金及时足额筹措到位和合理使用政府投资资金（如有）拥有知情、检查、监督等权利。</w:t>
      </w:r>
    </w:p>
    <w:p w14:paraId="2AB3DFB0">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对乙方所承担工程建设标准应用、工程进度控制、质量、安全、环境保护管理等建设情况进行监督管理的权利。</w:t>
      </w:r>
    </w:p>
    <w:p w14:paraId="6C2AD449">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对项目提供公共服务产品或服务质量等运营情况进行监督管理，以及定期开展运营评价的权利。</w:t>
      </w:r>
    </w:p>
    <w:p w14:paraId="1485D92F">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在乙方违约时提取履约保函的权利。</w:t>
      </w:r>
    </w:p>
    <w:p w14:paraId="7CAD78BA">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在特许经营期满接收项目设施及权益的权利。</w:t>
      </w:r>
    </w:p>
    <w:p w14:paraId="59CBDC06">
      <w:pPr>
        <w:keepNext w:val="0"/>
        <w:keepLines w:val="0"/>
        <w:pageBreakBefore w:val="0"/>
        <w:widowControl w:val="0"/>
        <w:numPr>
          <w:ilvl w:val="0"/>
          <w:numId w:val="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在乙方严重违约时按照适用法律规定和本协议约定介入或接管项目的权利以及解除本协议的权利。</w:t>
      </w:r>
    </w:p>
    <w:p w14:paraId="12662FF8">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甲方的主要义务</w:t>
      </w:r>
    </w:p>
    <w:p w14:paraId="554EB77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【说明：本条应以本协议相关约定为依据，概要性梳理和明确</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在本协议执行中应履行的主要义务。在</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由政府特定行业管理部门担任时，</w:t>
      </w:r>
      <w:bookmarkStart w:id="520" w:name="_Hlk152776837"/>
      <w:r>
        <w:rPr>
          <w:rFonts w:hint="eastAsia" w:ascii="宋体" w:hAnsi="宋体" w:eastAsia="宋体" w:cs="宋体"/>
          <w:caps w:val="0"/>
          <w:smallCaps w:val="0"/>
          <w:color w:val="auto"/>
          <w:highlight w:val="none"/>
        </w:rPr>
        <w:t>本节内容不包括政府部门依法依规实施相关行政监管应承担的相关义务。</w:t>
      </w:r>
      <w:bookmarkEnd w:id="520"/>
      <w:r>
        <w:rPr>
          <w:rFonts w:hint="eastAsia" w:ascii="宋体" w:hAnsi="宋体" w:eastAsia="宋体" w:cs="宋体"/>
          <w:caps w:val="0"/>
          <w:smallCaps w:val="0"/>
          <w:color w:val="auto"/>
          <w:highlight w:val="none"/>
        </w:rPr>
        <w:t>示例如下：】</w:t>
      </w:r>
    </w:p>
    <w:p w14:paraId="167CF0B4">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依法保持按照本协议授予乙方的从事本项目特许经营活动的相关权利在特许经营期内合法有效。</w:t>
      </w:r>
    </w:p>
    <w:p w14:paraId="48491955">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在本级人民政府权限和管辖范围内协助乙方依法履行项目投资管理程序（含履行项目</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程序等），协助乙方申请和办理有关项目投融资、勘察、设计、建设、运营及管理等必需的行政许可或其他批文。</w:t>
      </w:r>
    </w:p>
    <w:p w14:paraId="7A945C23">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应乙方申请或请求依适用法律及时组织或协调政府有权部门对项目开展竣工验收和专项验收（如有）。</w:t>
      </w:r>
    </w:p>
    <w:p w14:paraId="1A2425C5">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依照协议约定落实政府承诺为本项目提供的投资支持</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），按照行业统一规定支持</w:t>
      </w:r>
      <w:r>
        <w:rPr>
          <w:rFonts w:hint="eastAsia" w:ascii="宋体" w:hAnsi="宋体" w:eastAsia="宋体" w:cs="宋体"/>
          <w:caps w:val="0"/>
          <w:smallCaps w:val="0"/>
          <w:color w:val="auto"/>
          <w:highlight w:val="none"/>
        </w:rPr>
        <w:t>本项目</w:t>
      </w:r>
      <w:r>
        <w:rPr>
          <w:rFonts w:hint="eastAsia" w:ascii="宋体" w:hAnsi="宋体" w:eastAsia="宋体" w:cs="宋体"/>
          <w:caps w:val="0"/>
          <w:smallCaps w:val="0"/>
          <w:color w:val="auto"/>
          <w:highlight w:val="none"/>
          <w:lang w:eastAsia="zh-CN"/>
        </w:rPr>
        <w:t>申请</w:t>
      </w:r>
      <w:r>
        <w:rPr>
          <w:rFonts w:hint="eastAsia" w:ascii="宋体" w:hAnsi="宋体" w:eastAsia="宋体" w:cs="宋体"/>
          <w:caps w:val="0"/>
          <w:smallCaps w:val="0"/>
          <w:color w:val="auto"/>
          <w:highlight w:val="none"/>
        </w:rPr>
        <w:t>政府运营补贴（如有）。</w:t>
      </w:r>
    </w:p>
    <w:p w14:paraId="31BB5C5F">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在出现行政区划调整、地方政府换届、政府相关部门机构或职能调整、</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法定代表人变更等情形时，确保不影响正常履行本协议。</w:t>
      </w:r>
    </w:p>
    <w:p w14:paraId="47F65D43">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就本项目依法申请国家或省市相关专项或奖励资金、相关税收优惠政策向乙方提供协助。</w:t>
      </w:r>
    </w:p>
    <w:p w14:paraId="43DE21F5">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维护乙方按协议约定对项目开展投资、融资、建设、运营管理自主权。</w:t>
      </w:r>
    </w:p>
    <w:p w14:paraId="7A354CB9">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在保障项目质量和产出（服务）效果的前提下，积极支持和协助乙方通过加强管理、降低成本、提升效率、积极创新等获得额外收益。</w:t>
      </w:r>
    </w:p>
    <w:p w14:paraId="27C8F3F1">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在保障项目质量、产出（服务）效果和必要的融资需求的前提下，在符合条件的情况下，鼓励探索通过基础设施领域不动产投资信托基金（REITs）等方式依法合规盘活存量资产。</w:t>
      </w:r>
    </w:p>
    <w:p w14:paraId="55AE9018">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若甲方征收</w:t>
      </w:r>
      <w:r>
        <w:rPr>
          <w:rFonts w:hint="eastAsia" w:ascii="宋体" w:hAnsi="宋体" w:eastAsia="宋体" w:cs="宋体"/>
          <w:caps w:val="0"/>
          <w:smallCaps w:val="0"/>
          <w:color w:val="auto"/>
          <w:highlight w:val="none"/>
          <w:lang w:eastAsia="zh-CN"/>
        </w:rPr>
        <w:t>、征用</w:t>
      </w:r>
      <w:r>
        <w:rPr>
          <w:rFonts w:hint="eastAsia" w:ascii="宋体" w:hAnsi="宋体" w:eastAsia="宋体" w:cs="宋体"/>
          <w:caps w:val="0"/>
          <w:smallCaps w:val="0"/>
          <w:color w:val="auto"/>
          <w:highlight w:val="none"/>
        </w:rPr>
        <w:t>本项目，依法给予乙方公平合理的补偿。</w:t>
      </w:r>
    </w:p>
    <w:p w14:paraId="0B7BA096">
      <w:pPr>
        <w:keepNext w:val="0"/>
        <w:keepLines w:val="0"/>
        <w:pageBreakBefore w:val="0"/>
        <w:widowControl w:val="0"/>
        <w:numPr>
          <w:ilvl w:val="0"/>
          <w:numId w:val="1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履行适用法律规定和本协议约定应由甲方履行的其他义务和责任。</w:t>
      </w:r>
    </w:p>
    <w:p w14:paraId="395F4F33">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21" w:name="_Toc602512664"/>
      <w:r>
        <w:rPr>
          <w:rFonts w:hint="eastAsia" w:ascii="宋体" w:hAnsi="宋体" w:eastAsia="宋体" w:cs="宋体"/>
          <w:bCs/>
          <w:caps w:val="0"/>
          <w:smallCaps w:val="0"/>
          <w:color w:val="auto"/>
          <w:sz w:val="28"/>
          <w:highlight w:val="none"/>
        </w:rPr>
        <w:t>乙方的主体资格和主要权利义务</w:t>
      </w:r>
      <w:bookmarkEnd w:id="521"/>
    </w:p>
    <w:p w14:paraId="19F1FEC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bookmarkStart w:id="522" w:name="_Hlk152436582"/>
      <w:r>
        <w:rPr>
          <w:rFonts w:hint="eastAsia" w:ascii="宋体" w:hAnsi="宋体" w:eastAsia="宋体" w:cs="宋体"/>
          <w:caps w:val="0"/>
          <w:smallCaps w:val="0"/>
          <w:color w:val="auto"/>
          <w:highlight w:val="none"/>
        </w:rPr>
        <w:t>【说明：本条以下示例内容按项目公司作为乙方提供协议条款编写参考。】</w:t>
      </w:r>
    </w:p>
    <w:p w14:paraId="42C61F25">
      <w:pPr>
        <w:pStyle w:val="5"/>
        <w:keepNext w:val="0"/>
        <w:keepLines w:val="0"/>
        <w:pageBreakBefore w:val="0"/>
        <w:widowControl w:val="0"/>
        <w:numPr>
          <w:ilvl w:val="2"/>
          <w:numId w:val="1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乙方的主体资格</w:t>
      </w:r>
    </w:p>
    <w:p w14:paraId="7077879B">
      <w:pPr>
        <w:keepNext w:val="0"/>
        <w:keepLines w:val="0"/>
        <w:pageBreakBefore w:val="0"/>
        <w:widowControl w:val="0"/>
        <w:numPr>
          <w:ilvl w:val="0"/>
          <w:numId w:val="1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bookmarkStart w:id="523" w:name="_Hlk152465158"/>
      <w:r>
        <w:rPr>
          <w:rFonts w:hint="eastAsia" w:ascii="宋体" w:hAnsi="宋体" w:eastAsia="宋体" w:cs="宋体"/>
          <w:caps w:val="0"/>
          <w:smallCaps w:val="0"/>
          <w:color w:val="auto"/>
          <w:highlight w:val="none"/>
        </w:rPr>
        <w:t>乙方为【】，是由本项目特许经营者</w:t>
      </w:r>
      <w:bookmarkEnd w:id="523"/>
      <w:r>
        <w:rPr>
          <w:rFonts w:hint="eastAsia" w:ascii="宋体" w:hAnsi="宋体" w:eastAsia="宋体" w:cs="宋体"/>
          <w:caps w:val="0"/>
          <w:smallCaps w:val="0"/>
          <w:color w:val="auto"/>
          <w:highlight w:val="none"/>
        </w:rPr>
        <w:t>与政府出资人代表</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组建的特殊目的公司。</w:t>
      </w:r>
    </w:p>
    <w:p w14:paraId="7430C72E">
      <w:pPr>
        <w:keepNext w:val="0"/>
        <w:keepLines w:val="0"/>
        <w:pageBreakBefore w:val="0"/>
        <w:widowControl w:val="0"/>
        <w:numPr>
          <w:ilvl w:val="0"/>
          <w:numId w:val="1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乙方基本信息如下：</w:t>
      </w:r>
    </w:p>
    <w:p w14:paraId="10FE31B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名称：</w:t>
      </w:r>
    </w:p>
    <w:p w14:paraId="7427D75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住所：</w:t>
      </w:r>
    </w:p>
    <w:p w14:paraId="7D1E9AC8">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法定代表人：</w:t>
      </w:r>
    </w:p>
    <w:p w14:paraId="4056BD1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eastAsia="zh-CN"/>
        </w:rPr>
      </w:pPr>
      <w:r>
        <w:rPr>
          <w:rFonts w:hint="eastAsia" w:ascii="宋体" w:hAnsi="宋体" w:eastAsia="宋体" w:cs="宋体"/>
          <w:caps w:val="0"/>
          <w:smallCaps w:val="0"/>
          <w:color w:val="auto"/>
          <w:highlight w:val="none"/>
        </w:rPr>
        <w:t>其他信息（或有）：</w:t>
      </w:r>
    </w:p>
    <w:p w14:paraId="53F14E4E">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乙方的主要权利</w:t>
      </w:r>
    </w:p>
    <w:bookmarkEnd w:id="522"/>
    <w:p w14:paraId="7170EF4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【说明：本节应以本协议相关约定为依据，概要性梳理和明确特许经营者在本协议项下所拥有的主要权利内容。示例如下：】</w:t>
      </w:r>
    </w:p>
    <w:p w14:paraId="2576A418">
      <w:pPr>
        <w:keepNext w:val="0"/>
        <w:keepLines w:val="0"/>
        <w:pageBreakBefore w:val="0"/>
        <w:widowControl w:val="0"/>
        <w:numPr>
          <w:ilvl w:val="0"/>
          <w:numId w:val="13"/>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在特许经营期内享有从事本项目特许经营活动的相关权利，依照本协议的约定对本项目拥有投资、建设、运营和维护维修相关权利。</w:t>
      </w:r>
    </w:p>
    <w:p w14:paraId="772085E2">
      <w:pPr>
        <w:keepNext w:val="0"/>
        <w:keepLines w:val="0"/>
        <w:pageBreakBefore w:val="0"/>
        <w:widowControl w:val="0"/>
        <w:numPr>
          <w:ilvl w:val="0"/>
          <w:numId w:val="13"/>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为实现本协议的目的，利用</w:t>
      </w:r>
      <w:r>
        <w:rPr>
          <w:rFonts w:hint="eastAsia" w:ascii="宋体" w:hAnsi="宋体" w:eastAsia="宋体" w:cs="宋体"/>
          <w:caps w:val="0"/>
          <w:smallCaps w:val="0"/>
          <w:color w:val="auto"/>
          <w:highlight w:val="none"/>
          <w:lang w:eastAsia="zh-CN"/>
        </w:rPr>
        <w:t>乙方享有的</w:t>
      </w:r>
      <w:r>
        <w:rPr>
          <w:rFonts w:hint="eastAsia" w:ascii="宋体" w:hAnsi="宋体" w:eastAsia="宋体" w:cs="宋体"/>
          <w:caps w:val="0"/>
          <w:smallCaps w:val="0"/>
          <w:color w:val="auto"/>
          <w:highlight w:val="none"/>
        </w:rPr>
        <w:t>项目收益和乙方对项目持有的权益进行融资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含再融资，下同</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的权利，但该等权利不得减损乙方负有的依照本协议对项目进行建设和运营的义务。</w:t>
      </w:r>
    </w:p>
    <w:p w14:paraId="6A125945">
      <w:pPr>
        <w:keepNext w:val="0"/>
        <w:keepLines w:val="0"/>
        <w:pageBreakBefore w:val="0"/>
        <w:widowControl w:val="0"/>
        <w:numPr>
          <w:ilvl w:val="0"/>
          <w:numId w:val="13"/>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按照适用法律及本协议约定自主经营项目并获得相应的项目收入的权利。</w:t>
      </w:r>
    </w:p>
    <w:p w14:paraId="35D3790E">
      <w:pPr>
        <w:keepNext w:val="0"/>
        <w:keepLines w:val="0"/>
        <w:pageBreakBefore w:val="0"/>
        <w:widowControl w:val="0"/>
        <w:numPr>
          <w:ilvl w:val="0"/>
          <w:numId w:val="13"/>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在特许经营期内，有权按相关政策申请各级政府或政府部门提供的相关奖励、补贴或优惠政策。</w:t>
      </w:r>
    </w:p>
    <w:p w14:paraId="01049B03">
      <w:pPr>
        <w:keepNext w:val="0"/>
        <w:keepLines w:val="0"/>
        <w:pageBreakBefore w:val="0"/>
        <w:widowControl w:val="0"/>
        <w:numPr>
          <w:ilvl w:val="0"/>
          <w:numId w:val="13"/>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因公共利益或其他非乙方原因，如需按甲方要求提供额外服务或发生中断服务导致乙方增加成本或造成损失的，乙方有权获得甲方或政府相应补偿。</w:t>
      </w:r>
    </w:p>
    <w:p w14:paraId="788C664F">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乙方的主要义务</w:t>
      </w:r>
    </w:p>
    <w:p w14:paraId="333845C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【说明：本条应以本协议相关约定为依据，概要性梳理和明确乙方在本协议项下应承担的主要义务。示例如下】</w:t>
      </w:r>
    </w:p>
    <w:p w14:paraId="6D907958">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按照本协议约定，全面履行项目投资、融资、建设和运营、维护相关义务。</w:t>
      </w:r>
    </w:p>
    <w:p w14:paraId="7CC740E8">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按本协议约定提供质量合格、持续稳定的公共服务或产品，并按适用法律要求和本协议约定承担普遍服务义务。</w:t>
      </w:r>
    </w:p>
    <w:p w14:paraId="7AC474FC">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按本协议约定接受甲方的履约监管，按适用法律要求接受和配合相关政府部门对项目的行政监督管理。</w:t>
      </w:r>
    </w:p>
    <w:p w14:paraId="29D000E5">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确保建设资金及时足额筹措到位，并合规管理和使用项目资金。</w:t>
      </w:r>
    </w:p>
    <w:p w14:paraId="1F1CD2F0">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依法依规开展项目前期工作，依法履行项目投资管理程序，依法取得项目投资、建设、运营涉及的相关行政许可。</w:t>
      </w:r>
    </w:p>
    <w:p w14:paraId="2426762E">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按政府有关部门最终同意的项目建设文件开展项目建设工作，确保项目建设内容和规模、项目产出（服务）方案，以及建设和产出技术标准等符合相关要求。</w:t>
      </w:r>
    </w:p>
    <w:p w14:paraId="7271DE52">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按本协议和适用法律及时公开项目信息，如乙方为外商投资企业，还应依法依规履行外商投资信息报告义务。</w:t>
      </w:r>
    </w:p>
    <w:p w14:paraId="1292861E">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特许经营期届满按本协议约定移交项目资产。</w:t>
      </w:r>
    </w:p>
    <w:p w14:paraId="54CAB280">
      <w:pPr>
        <w:keepNext w:val="0"/>
        <w:keepLines w:val="0"/>
        <w:pageBreakBefore w:val="0"/>
        <w:widowControl w:val="0"/>
        <w:numPr>
          <w:ilvl w:val="0"/>
          <w:numId w:val="14"/>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本协议约定和适用法律确定的其他义务。</w:t>
      </w:r>
    </w:p>
    <w:p w14:paraId="5572CFA4">
      <w:pPr>
        <w:keepNext w:val="0"/>
        <w:keepLines w:val="0"/>
        <w:pageBreakBefore w:val="0"/>
        <w:widowControl w:val="0"/>
        <w:tabs>
          <w:tab w:val="left" w:pos="993"/>
        </w:tabs>
        <w:kinsoku/>
        <w:wordWrap/>
        <w:overflowPunct/>
        <w:topLinePunct w:val="0"/>
        <w:bidi w:val="0"/>
        <w:spacing w:before="0" w:beforeLines="0" w:beforeAutospacing="0" w:after="0" w:afterLines="0" w:afterAutospacing="0" w:line="360" w:lineRule="auto"/>
        <w:ind w:left="568"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br w:type="page"/>
      </w:r>
    </w:p>
    <w:p w14:paraId="4EF57298">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rPr>
      </w:pPr>
      <w:bookmarkStart w:id="524" w:name="_Toc2016267608"/>
      <w:r>
        <w:rPr>
          <w:rFonts w:hint="eastAsia" w:ascii="宋体" w:hAnsi="宋体" w:eastAsia="宋体" w:cs="宋体"/>
          <w:caps w:val="0"/>
          <w:smallCaps w:val="0"/>
          <w:color w:val="auto"/>
          <w:sz w:val="28"/>
          <w:highlight w:val="none"/>
        </w:rPr>
        <w:t>特许经营授权及资产权属</w:t>
      </w:r>
      <w:bookmarkEnd w:id="524"/>
    </w:p>
    <w:p w14:paraId="55511BA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【说明：本章主要约定政府授予特许经营项目的内容、排他性条件、资产权属、履约担保等事项。示例如下：】</w:t>
      </w:r>
    </w:p>
    <w:p w14:paraId="5DA7EA14">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25" w:name="_Toc162795611"/>
      <w:bookmarkStart w:id="526" w:name="_Toc47260053"/>
      <w:r>
        <w:rPr>
          <w:rFonts w:hint="eastAsia" w:ascii="宋体" w:hAnsi="宋体" w:eastAsia="宋体" w:cs="宋体"/>
          <w:bCs/>
          <w:caps w:val="0"/>
          <w:smallCaps w:val="0"/>
          <w:color w:val="auto"/>
          <w:sz w:val="28"/>
          <w:highlight w:val="none"/>
        </w:rPr>
        <w:t>特许经营授予程序及遵守</w:t>
      </w:r>
      <w:bookmarkEnd w:id="525"/>
      <w:bookmarkEnd w:id="526"/>
    </w:p>
    <w:p w14:paraId="0B74C63A">
      <w:pPr>
        <w:keepNext w:val="0"/>
        <w:keepLines w:val="0"/>
        <w:pageBreakBefore w:val="0"/>
        <w:widowControl w:val="0"/>
        <w:numPr>
          <w:ilvl w:val="0"/>
          <w:numId w:val="15"/>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自本协议生效之日起，乙方在特许经营期内获得本项目特许经营授权。</w:t>
      </w:r>
    </w:p>
    <w:p w14:paraId="63EF9848">
      <w:pPr>
        <w:keepNext w:val="0"/>
        <w:keepLines w:val="0"/>
        <w:pageBreakBefore w:val="0"/>
        <w:widowControl w:val="0"/>
        <w:numPr>
          <w:ilvl w:val="0"/>
          <w:numId w:val="1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依照政府的授权，有权依照适用法律及本协议约定的程序变更或终止已经向乙方授予的特许经营相关权利。前述行为如对乙方造成损失的，甲方应依照适用法律或本协议约定的条件和程序给予乙方相应的补偿，或提请政府给予乙方相应的补偿，但本协议另有约定的除外。</w:t>
      </w:r>
    </w:p>
    <w:p w14:paraId="1724F51B">
      <w:pPr>
        <w:keepNext w:val="0"/>
        <w:keepLines w:val="0"/>
        <w:pageBreakBefore w:val="0"/>
        <w:widowControl w:val="0"/>
        <w:numPr>
          <w:ilvl w:val="0"/>
          <w:numId w:val="1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项目公司不得对外投资或从事特许经营授权范围之外的其他违反本协议目的的经营活动，但在项目运营过程中合法创新经营模式获取收益且不对提供本项目公共服务造成不利影响的情形除外。</w:t>
      </w:r>
    </w:p>
    <w:p w14:paraId="5E606143">
      <w:pPr>
        <w:keepNext w:val="0"/>
        <w:keepLines w:val="0"/>
        <w:pageBreakBefore w:val="0"/>
        <w:widowControl w:val="0"/>
        <w:numPr>
          <w:ilvl w:val="0"/>
          <w:numId w:val="1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不得将依据本协议授予的特许经营相关权利进行转让、出租或质押，但依据本协议和适用法律在不减损甲方权利和乙方义务的情况下为项目进行融资或再融资目的并经甲方同意而进行的收益权转让、质押除外。</w:t>
      </w:r>
    </w:p>
    <w:p w14:paraId="17D8E8B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27" w:name="_Toc531939859"/>
      <w:r>
        <w:rPr>
          <w:rFonts w:hint="eastAsia" w:ascii="宋体" w:hAnsi="宋体" w:eastAsia="宋体" w:cs="宋体"/>
          <w:bCs/>
          <w:caps w:val="0"/>
          <w:smallCaps w:val="0"/>
          <w:color w:val="auto"/>
          <w:sz w:val="28"/>
          <w:highlight w:val="none"/>
        </w:rPr>
        <w:t>特许经营授权内容</w:t>
      </w:r>
      <w:bookmarkEnd w:id="527"/>
    </w:p>
    <w:p w14:paraId="1B1370E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甲方授予乙方在本项目特许经营期限内的以下权利：</w:t>
      </w:r>
    </w:p>
    <w:p w14:paraId="686AE71D">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乙方拥有根据本协议约定对本项目进行投资、融资、建设、运营和维护维修的权利。</w:t>
      </w:r>
    </w:p>
    <w:p w14:paraId="681099CE">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bookmarkStart w:id="528" w:name="_Hlk163663111"/>
      <w:r>
        <w:rPr>
          <w:rFonts w:hint="eastAsia" w:ascii="宋体" w:hAnsi="宋体" w:eastAsia="宋体" w:cs="宋体"/>
          <w:caps w:val="0"/>
          <w:smallCaps w:val="0"/>
          <w:color w:val="auto"/>
          <w:highlight w:val="none"/>
        </w:rPr>
        <w:t>乙方拥有特许经营期内依据本协议约定排他运营本项目和合法经营本项目资产的权利，并承担项目运营主体责任。乙方可将项目运营部分工作委托甲方认可的第三方机构实施，但不免除或减损乙方应承担的运营主体责任。</w:t>
      </w:r>
    </w:p>
    <w:p w14:paraId="2F9C24B2">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乙方在特许经营期内有通过合法经营获得相关收入的权利。乙方收入来源包括【注：此处应列明乙方主要收入构成和主要来源】</w:t>
      </w:r>
      <w:bookmarkStart w:id="529" w:name="_Hlk154336831"/>
      <w:r>
        <w:rPr>
          <w:rFonts w:hint="eastAsia" w:ascii="宋体" w:hAnsi="宋体" w:eastAsia="宋体" w:cs="宋体"/>
          <w:caps w:val="0"/>
          <w:smallCaps w:val="0"/>
          <w:color w:val="auto"/>
          <w:highlight w:val="none"/>
        </w:rPr>
        <w:t>。</w:t>
      </w:r>
      <w:bookmarkEnd w:id="529"/>
    </w:p>
    <w:p w14:paraId="165ECF64">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乙方应按照本协议约定的标准提供公共产品或服务。</w:t>
      </w:r>
    </w:p>
    <w:p w14:paraId="35B0B786">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bookmarkStart w:id="530" w:name="_Hlk152773934"/>
      <w:r>
        <w:rPr>
          <w:rFonts w:hint="eastAsia" w:ascii="宋体" w:hAnsi="宋体" w:eastAsia="宋体" w:cs="宋体"/>
          <w:caps w:val="0"/>
          <w:smallCaps w:val="0"/>
          <w:color w:val="auto"/>
          <w:highlight w:val="none"/>
        </w:rPr>
        <w:t>乙方不得擅自变更特许经营授权所明确的范围、项目内容和经营种类。凡是本协议未明确的特许经营相关权利，乙方必须经过甲方或政府的书面许可方可行使。</w:t>
      </w:r>
    </w:p>
    <w:bookmarkEnd w:id="530"/>
    <w:p w14:paraId="14119BBC">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除</w:t>
      </w:r>
      <w:r>
        <w:rPr>
          <w:rFonts w:hint="eastAsia" w:ascii="宋体" w:hAnsi="宋体" w:eastAsia="宋体" w:cs="宋体"/>
          <w:caps w:val="0"/>
          <w:smallCaps w:val="0"/>
          <w:color w:val="auto"/>
          <w:highlight w:val="none"/>
          <w:lang w:eastAsia="zh-CN"/>
        </w:rPr>
        <w:t>本协议和</w:t>
      </w:r>
      <w:r>
        <w:rPr>
          <w:rFonts w:hint="eastAsia" w:ascii="宋体" w:hAnsi="宋体" w:eastAsia="宋体" w:cs="宋体"/>
          <w:caps w:val="0"/>
          <w:smallCaps w:val="0"/>
          <w:color w:val="auto"/>
          <w:highlight w:val="none"/>
        </w:rPr>
        <w:t>法律</w:t>
      </w:r>
      <w:r>
        <w:rPr>
          <w:rFonts w:hint="eastAsia" w:ascii="宋体" w:hAnsi="宋体" w:eastAsia="宋体" w:cs="宋体"/>
          <w:caps w:val="0"/>
          <w:smallCaps w:val="0"/>
          <w:color w:val="auto"/>
          <w:highlight w:val="none"/>
          <w:lang w:eastAsia="zh-CN"/>
        </w:rPr>
        <w:t>法规、国家政策</w:t>
      </w:r>
      <w:r>
        <w:rPr>
          <w:rFonts w:hint="eastAsia" w:ascii="宋体" w:hAnsi="宋体" w:eastAsia="宋体" w:cs="宋体"/>
          <w:caps w:val="0"/>
          <w:smallCaps w:val="0"/>
          <w:color w:val="auto"/>
          <w:highlight w:val="none"/>
        </w:rPr>
        <w:t>另有规定外，乙方无需为取得本项目特许经营相关权利向甲方或政府或任何其他政府部门支付任何费用。</w:t>
      </w:r>
    </w:p>
    <w:p w14:paraId="2A0AB62B">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社会公众有权依据适用法律对乙方履行项目投资、建设、运营、移交全过程的具体行为进行监督，提出意见和建议，乙方应依法主动接受社会公众的监督。</w:t>
      </w:r>
    </w:p>
    <w:p w14:paraId="6312B7D5">
      <w:pPr>
        <w:keepNext w:val="0"/>
        <w:keepLines w:val="0"/>
        <w:pageBreakBefore w:val="0"/>
        <w:widowControl w:val="0"/>
        <w:numPr>
          <w:ilvl w:val="0"/>
          <w:numId w:val="16"/>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除非本协议另有约定或国家另有相关规定，乙方应在特许经营期限届满时向甲方移交本项目，自行承担项目债务，并不得再以本项目运营方名义开展活动</w:t>
      </w:r>
      <w:bookmarkEnd w:id="528"/>
      <w:r>
        <w:rPr>
          <w:rFonts w:hint="eastAsia" w:ascii="宋体" w:hAnsi="宋体" w:eastAsia="宋体" w:cs="宋体"/>
          <w:caps w:val="0"/>
          <w:smallCaps w:val="0"/>
          <w:color w:val="auto"/>
          <w:highlight w:val="none"/>
        </w:rPr>
        <w:t>。</w:t>
      </w:r>
    </w:p>
    <w:p w14:paraId="205404B3">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31" w:name="_Toc126518596"/>
      <w:r>
        <w:rPr>
          <w:rFonts w:hint="eastAsia" w:ascii="宋体" w:hAnsi="宋体" w:eastAsia="宋体" w:cs="宋体"/>
          <w:bCs/>
          <w:caps w:val="0"/>
          <w:smallCaps w:val="0"/>
          <w:color w:val="auto"/>
          <w:sz w:val="28"/>
          <w:highlight w:val="none"/>
        </w:rPr>
        <w:t>特许经营实施方式</w:t>
      </w:r>
      <w:bookmarkEnd w:id="531"/>
    </w:p>
    <w:p w14:paraId="22BAC569">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【说明：根据项目实际情况，特许经营项目可合理采用建设</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移交（BOT）、</w:t>
      </w:r>
      <w:bookmarkStart w:id="532" w:name="_Hlk162222416"/>
      <w:r>
        <w:rPr>
          <w:rFonts w:hint="eastAsia" w:ascii="宋体" w:hAnsi="宋体" w:eastAsia="宋体" w:cs="宋体"/>
          <w:caps w:val="0"/>
          <w:smallCaps w:val="0"/>
          <w:color w:val="auto"/>
          <w:highlight w:val="none"/>
        </w:rPr>
        <w:t>转让</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移交（TOT）</w:t>
      </w:r>
      <w:bookmarkEnd w:id="532"/>
      <w:r>
        <w:rPr>
          <w:rFonts w:hint="eastAsia" w:ascii="宋体" w:hAnsi="宋体" w:eastAsia="宋体" w:cs="宋体"/>
          <w:caps w:val="0"/>
          <w:smallCaps w:val="0"/>
          <w:color w:val="auto"/>
          <w:highlight w:val="none"/>
        </w:rPr>
        <w:t>、改建</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移交（ROT）、建设</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拥有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移交（BOOT）、设计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建设</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融资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移交（DBFOT）等具体实施方式。此条应明确具体方式，并简述项目交易结构安排等。】</w:t>
      </w:r>
    </w:p>
    <w:p w14:paraId="6D12A36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本项目采用【BOT方式】实施。主要安排是：【】。</w:t>
      </w:r>
    </w:p>
    <w:p w14:paraId="221F3E2B">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33" w:name="_Hlk161834680"/>
      <w:bookmarkStart w:id="534" w:name="_Toc1016063618"/>
      <w:bookmarkStart w:id="535" w:name="_Toc162795614"/>
      <w:bookmarkStart w:id="536" w:name="_Hlk162216194"/>
      <w:r>
        <w:rPr>
          <w:rFonts w:hint="eastAsia" w:ascii="宋体" w:hAnsi="宋体" w:eastAsia="宋体" w:cs="宋体"/>
          <w:bCs/>
          <w:caps w:val="0"/>
          <w:smallCaps w:val="0"/>
          <w:color w:val="auto"/>
          <w:sz w:val="28"/>
          <w:highlight w:val="none"/>
        </w:rPr>
        <w:t>投资建设运营维护内容</w:t>
      </w:r>
      <w:bookmarkEnd w:id="533"/>
      <w:r>
        <w:rPr>
          <w:rFonts w:hint="eastAsia" w:ascii="宋体" w:hAnsi="宋体" w:eastAsia="宋体" w:cs="宋体"/>
          <w:bCs/>
          <w:caps w:val="0"/>
          <w:smallCaps w:val="0"/>
          <w:color w:val="auto"/>
          <w:sz w:val="28"/>
          <w:highlight w:val="none"/>
        </w:rPr>
        <w:t>服务区域或范围</w:t>
      </w:r>
      <w:bookmarkEnd w:id="534"/>
      <w:bookmarkEnd w:id="535"/>
    </w:p>
    <w:p w14:paraId="4D039FA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【说明：约定项目投资、建设、运营和维护内容，项目服务区域等事项。示例如下：】</w:t>
      </w:r>
    </w:p>
    <w:p w14:paraId="6B1F34E4">
      <w:pPr>
        <w:keepNext w:val="0"/>
        <w:keepLines w:val="0"/>
        <w:pageBreakBefore w:val="0"/>
        <w:widowControl w:val="0"/>
        <w:numPr>
          <w:ilvl w:val="0"/>
          <w:numId w:val="17"/>
        </w:numPr>
        <w:tabs>
          <w:tab w:val="left" w:pos="993"/>
        </w:tabs>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由乙方承担的本项目投资、建设和运营具体内容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或范围</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是：【具体约定】</w:t>
      </w:r>
    </w:p>
    <w:p w14:paraId="3A3B476F">
      <w:pPr>
        <w:keepNext w:val="0"/>
        <w:keepLines w:val="0"/>
        <w:pageBreakBefore w:val="0"/>
        <w:widowControl w:val="0"/>
        <w:numPr>
          <w:ilvl w:val="0"/>
          <w:numId w:val="17"/>
        </w:numPr>
        <w:tabs>
          <w:tab w:val="left" w:pos="993"/>
        </w:tabs>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本项目提供服务的区域</w:t>
      </w:r>
      <w:bookmarkStart w:id="537" w:name="_Hlk162216321"/>
      <w:r>
        <w:rPr>
          <w:rFonts w:hint="eastAsia" w:ascii="宋体" w:hAnsi="宋体" w:eastAsia="宋体" w:cs="宋体"/>
          <w:caps w:val="0"/>
          <w:smallCaps w:val="0"/>
          <w:color w:val="auto"/>
          <w:highlight w:val="none"/>
        </w:rPr>
        <w:t>和/或服务对象范围</w:t>
      </w:r>
      <w:bookmarkEnd w:id="537"/>
      <w:r>
        <w:rPr>
          <w:rFonts w:hint="eastAsia" w:ascii="宋体" w:hAnsi="宋体" w:eastAsia="宋体" w:cs="宋体"/>
          <w:caps w:val="0"/>
          <w:smallCaps w:val="0"/>
          <w:color w:val="auto"/>
          <w:highlight w:val="none"/>
        </w:rPr>
        <w:t>具体是：【具体约定】</w:t>
      </w:r>
    </w:p>
    <w:bookmarkEnd w:id="536"/>
    <w:p w14:paraId="22864FF9">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38" w:name="_Toc1721062062"/>
      <w:r>
        <w:rPr>
          <w:rFonts w:hint="eastAsia" w:ascii="宋体" w:hAnsi="宋体" w:eastAsia="宋体" w:cs="宋体"/>
          <w:bCs/>
          <w:caps w:val="0"/>
          <w:smallCaps w:val="0"/>
          <w:color w:val="auto"/>
          <w:sz w:val="28"/>
          <w:highlight w:val="none"/>
        </w:rPr>
        <w:t>特许经营期</w:t>
      </w:r>
      <w:bookmarkEnd w:id="538"/>
    </w:p>
    <w:p w14:paraId="7148478A">
      <w:pPr>
        <w:keepNext w:val="0"/>
        <w:keepLines w:val="0"/>
        <w:pageBreakBefore w:val="0"/>
        <w:widowControl w:val="0"/>
        <w:numPr>
          <w:ilvl w:val="2"/>
          <w:numId w:val="18"/>
        </w:numPr>
        <w:tabs>
          <w:tab w:val="left" w:pos="993"/>
        </w:tabs>
        <w:kinsoku/>
        <w:wordWrap/>
        <w:overflowPunct/>
        <w:topLinePunct w:val="0"/>
        <w:bidi w:val="0"/>
        <w:spacing w:before="0" w:beforeLines="0" w:after="0" w:afterLines="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特许经营期基本约定</w:t>
      </w:r>
    </w:p>
    <w:p w14:paraId="0B6FFFBD">
      <w:pPr>
        <w:keepNext w:val="0"/>
        <w:keepLines w:val="0"/>
        <w:pageBreakBefore w:val="0"/>
        <w:widowControl w:val="0"/>
        <w:tabs>
          <w:tab w:val="left" w:pos="993"/>
        </w:tabs>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【说明：特许经营期限原则上不超过40年，投资规模大、回报周期长的特许经营项目可以根据实际情况适当延长，法律法规另有规定的除外。】</w:t>
      </w:r>
    </w:p>
    <w:p w14:paraId="01FA5BBF">
      <w:pPr>
        <w:keepNext w:val="0"/>
        <w:keepLines w:val="0"/>
        <w:pageBreakBefore w:val="0"/>
        <w:widowControl w:val="0"/>
        <w:numPr>
          <w:ilvl w:val="0"/>
          <w:numId w:val="19"/>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本项目特许经营期为【】年【】个月零【】天，自本协议生效日起算。</w:t>
      </w:r>
    </w:p>
    <w:p w14:paraId="02381A6C">
      <w:pPr>
        <w:keepNext w:val="0"/>
        <w:keepLines w:val="0"/>
        <w:pageBreakBefore w:val="0"/>
        <w:widowControl w:val="0"/>
        <w:numPr>
          <w:ilvl w:val="0"/>
          <w:numId w:val="1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双方约定，本项目约定完工日为【年月日】；项目运营期自约定完工日的下一个公历日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起算；特许经营期届满日为【年月日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含本日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4DF6CC31">
      <w:pPr>
        <w:keepNext w:val="0"/>
        <w:keepLines w:val="0"/>
        <w:pageBreakBefore w:val="0"/>
        <w:widowControl w:val="0"/>
        <w:numPr>
          <w:ilvl w:val="2"/>
          <w:numId w:val="18"/>
        </w:numPr>
        <w:tabs>
          <w:tab w:val="left" w:pos="993"/>
        </w:tabs>
        <w:kinsoku/>
        <w:wordWrap/>
        <w:overflowPunct/>
        <w:topLinePunct w:val="0"/>
        <w:bidi w:val="0"/>
        <w:spacing w:before="0" w:beforeLines="0" w:after="0" w:afterLines="0" w:line="360" w:lineRule="auto"/>
        <w:ind w:firstLineChars="0"/>
        <w:jc w:val="left"/>
        <w:outlineLvl w:val="2"/>
        <w:rPr>
          <w:rFonts w:hint="eastAsia" w:ascii="宋体" w:hAnsi="宋体" w:eastAsia="宋体" w:cs="宋体"/>
          <w:b/>
          <w:caps w:val="0"/>
          <w:smallCaps w:val="0"/>
          <w:color w:val="auto"/>
          <w:highlight w:val="none"/>
        </w:rPr>
      </w:pPr>
      <w:bookmarkStart w:id="539" w:name="_Toc162394879"/>
      <w:bookmarkEnd w:id="539"/>
      <w:bookmarkStart w:id="540" w:name="_Toc162394878"/>
      <w:bookmarkEnd w:id="540"/>
      <w:r>
        <w:rPr>
          <w:rFonts w:hint="eastAsia" w:ascii="宋体" w:hAnsi="宋体" w:eastAsia="宋体" w:cs="宋体"/>
          <w:b/>
          <w:caps w:val="0"/>
          <w:smallCaps w:val="0"/>
          <w:color w:val="auto"/>
          <w:highlight w:val="none"/>
        </w:rPr>
        <w:t>特许经营期的期限调整</w:t>
      </w:r>
    </w:p>
    <w:p w14:paraId="56826A62">
      <w:pPr>
        <w:keepNext w:val="0"/>
        <w:keepLines w:val="0"/>
        <w:pageBreakBefore w:val="0"/>
        <w:widowControl w:val="0"/>
        <w:numPr>
          <w:ilvl w:val="0"/>
          <w:numId w:val="20"/>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因项目建设进度提前或滞后，按本协议对进度偏差导致的特许经营期的期限调整的相关约定进行调整。</w:t>
      </w:r>
    </w:p>
    <w:p w14:paraId="038DBB32">
      <w:pPr>
        <w:keepNext w:val="0"/>
        <w:keepLines w:val="0"/>
        <w:pageBreakBefore w:val="0"/>
        <w:widowControl w:val="0"/>
        <w:numPr>
          <w:ilvl w:val="0"/>
          <w:numId w:val="2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因出现本协议约定的其他可以调整特许经营期限的情形，按约定相应调整特许经营期限。【说明：例如甲方以延长特许经营期的方式向乙方提供合理补偿等。】</w:t>
      </w:r>
    </w:p>
    <w:p w14:paraId="62F03E6E">
      <w:pPr>
        <w:keepNext w:val="0"/>
        <w:keepLines w:val="0"/>
        <w:pageBreakBefore w:val="0"/>
        <w:widowControl w:val="0"/>
        <w:numPr>
          <w:ilvl w:val="0"/>
          <w:numId w:val="2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bookmarkStart w:id="541" w:name="_Hlk162309762"/>
      <w:r>
        <w:rPr>
          <w:rFonts w:hint="eastAsia" w:ascii="宋体" w:hAnsi="宋体" w:eastAsia="宋体" w:cs="宋体"/>
          <w:caps w:val="0"/>
          <w:smallCaps w:val="0"/>
          <w:color w:val="auto"/>
          <w:highlight w:val="none"/>
        </w:rPr>
        <w:t>如适用法律对项目收费期有规定的，</w:t>
      </w:r>
      <w:r>
        <w:rPr>
          <w:rFonts w:hint="eastAsia" w:ascii="宋体" w:hAnsi="宋体" w:eastAsia="宋体" w:cs="宋体"/>
          <w:caps w:val="0"/>
          <w:smallCaps w:val="0"/>
          <w:color w:val="auto"/>
          <w:highlight w:val="none"/>
          <w:lang w:eastAsia="zh-CN"/>
        </w:rPr>
        <w:t>调整后的</w:t>
      </w:r>
      <w:r>
        <w:rPr>
          <w:rFonts w:hint="eastAsia" w:ascii="宋体" w:hAnsi="宋体" w:eastAsia="宋体" w:cs="宋体"/>
          <w:caps w:val="0"/>
          <w:smallCaps w:val="0"/>
          <w:color w:val="auto"/>
          <w:highlight w:val="none"/>
        </w:rPr>
        <w:t>特许经营期应符合相关规定</w:t>
      </w:r>
      <w:r>
        <w:rPr>
          <w:rFonts w:hint="eastAsia" w:ascii="宋体" w:hAnsi="宋体" w:eastAsia="宋体" w:cs="宋体"/>
          <w:caps w:val="0"/>
          <w:smallCaps w:val="0"/>
          <w:color w:val="auto"/>
          <w:highlight w:val="none"/>
          <w:lang w:eastAsia="zh-CN"/>
        </w:rPr>
        <w:t>，特许经营期届满日不得晚于项目收费期届满日</w:t>
      </w:r>
      <w:r>
        <w:rPr>
          <w:rFonts w:hint="eastAsia" w:ascii="宋体" w:hAnsi="宋体" w:eastAsia="宋体" w:cs="宋体"/>
          <w:caps w:val="0"/>
          <w:smallCaps w:val="0"/>
          <w:color w:val="auto"/>
          <w:highlight w:val="none"/>
        </w:rPr>
        <w:t>。</w:t>
      </w:r>
    </w:p>
    <w:bookmarkEnd w:id="541"/>
    <w:p w14:paraId="2F82B69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42" w:name="_Toc151719267"/>
      <w:r>
        <w:rPr>
          <w:rFonts w:hint="eastAsia" w:ascii="宋体" w:hAnsi="宋体" w:eastAsia="宋体" w:cs="宋体"/>
          <w:bCs/>
          <w:caps w:val="0"/>
          <w:smallCaps w:val="0"/>
          <w:color w:val="auto"/>
          <w:sz w:val="28"/>
          <w:highlight w:val="none"/>
        </w:rPr>
        <w:t>特许经营期届满终止后的优先权</w:t>
      </w:r>
      <w:bookmarkEnd w:id="542"/>
    </w:p>
    <w:p w14:paraId="1D136F5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【说明：特许经营期届满如政府方决定继续采用特许经营模式运营本项目，甲方将按规定重新选择特许经营者，同等条件下可优先选择原特许经营者承担，并重新订立特许经营协议。】</w:t>
      </w:r>
    </w:p>
    <w:p w14:paraId="4E4BE18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43" w:name="_Toc2080477534"/>
      <w:r>
        <w:rPr>
          <w:rFonts w:hint="eastAsia" w:ascii="宋体" w:hAnsi="宋体" w:eastAsia="宋体" w:cs="宋体"/>
          <w:bCs/>
          <w:caps w:val="0"/>
          <w:smallCaps w:val="0"/>
          <w:color w:val="auto"/>
          <w:sz w:val="28"/>
          <w:highlight w:val="none"/>
        </w:rPr>
        <w:t>特许经营排他性和竞争性项目</w:t>
      </w:r>
      <w:bookmarkEnd w:id="543"/>
    </w:p>
    <w:p w14:paraId="6FFE5821">
      <w:pPr>
        <w:keepNext w:val="0"/>
        <w:keepLines w:val="0"/>
        <w:pageBreakBefore w:val="0"/>
        <w:widowControl w:val="0"/>
        <w:numPr>
          <w:ilvl w:val="0"/>
          <w:numId w:val="21"/>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特许经营期内，甲方和政府部门不以任何方式将已授予乙方的本项目特许经营相关权利的全部或部分重复授予第三方，或者以任何方式减少特许经营授权的内容、妨碍乙方行使特许经营的相关权利。</w:t>
      </w:r>
    </w:p>
    <w:p w14:paraId="1E36A4E7">
      <w:pPr>
        <w:keepNext w:val="0"/>
        <w:keepLines w:val="0"/>
        <w:pageBreakBefore w:val="0"/>
        <w:widowControl w:val="0"/>
        <w:numPr>
          <w:ilvl w:val="0"/>
          <w:numId w:val="21"/>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在乙方的特许经营相关权利受到第三方实质性妨碍时，甲方应予以排除，但由于乙方原因导致的除外。</w:t>
      </w:r>
    </w:p>
    <w:p w14:paraId="422CD782">
      <w:pPr>
        <w:keepNext w:val="0"/>
        <w:keepLines w:val="0"/>
        <w:pageBreakBefore w:val="0"/>
        <w:widowControl w:val="0"/>
        <w:numPr>
          <w:ilvl w:val="0"/>
          <w:numId w:val="21"/>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特许经营期</w:t>
      </w:r>
      <w:r>
        <w:rPr>
          <w:rFonts w:hint="eastAsia" w:ascii="宋体" w:hAnsi="宋体" w:eastAsia="宋体" w:cs="宋体"/>
          <w:caps w:val="0"/>
          <w:smallCaps w:val="0"/>
          <w:color w:val="auto"/>
          <w:highlight w:val="none"/>
          <w:lang w:eastAsia="zh-CN"/>
        </w:rPr>
        <w:t>内</w:t>
      </w:r>
      <w:r>
        <w:rPr>
          <w:rFonts w:hint="eastAsia" w:ascii="宋体" w:hAnsi="宋体" w:eastAsia="宋体" w:cs="宋体"/>
          <w:caps w:val="0"/>
          <w:smallCaps w:val="0"/>
          <w:color w:val="auto"/>
          <w:highlight w:val="none"/>
        </w:rPr>
        <w:t>，如因公共利益原因需要新建竞争性项目，甲、乙双方本着公共利益和乙方权益并重的原则，具体协商竞争性项目对本项目造成影响的</w:t>
      </w:r>
      <w:bookmarkStart w:id="544" w:name="_Hlk163663487"/>
      <w:r>
        <w:rPr>
          <w:rFonts w:hint="eastAsia" w:ascii="宋体" w:hAnsi="宋体" w:eastAsia="宋体" w:cs="宋体"/>
          <w:caps w:val="0"/>
          <w:smallCaps w:val="0"/>
          <w:color w:val="auto"/>
          <w:highlight w:val="none"/>
        </w:rPr>
        <w:t>解决方式</w:t>
      </w:r>
      <w:bookmarkEnd w:id="544"/>
      <w:r>
        <w:rPr>
          <w:rFonts w:hint="eastAsia" w:ascii="宋体" w:hAnsi="宋体" w:eastAsia="宋体" w:cs="宋体"/>
          <w:caps w:val="0"/>
          <w:smallCaps w:val="0"/>
          <w:color w:val="auto"/>
          <w:highlight w:val="none"/>
        </w:rPr>
        <w:t>。【</w:t>
      </w:r>
      <w:bookmarkStart w:id="545" w:name="_Hlk163663591"/>
      <w:r>
        <w:rPr>
          <w:rFonts w:hint="eastAsia" w:ascii="宋体" w:hAnsi="宋体" w:eastAsia="宋体" w:cs="宋体"/>
          <w:caps w:val="0"/>
          <w:smallCaps w:val="0"/>
          <w:color w:val="auto"/>
          <w:highlight w:val="none"/>
        </w:rPr>
        <w:t>说明：竞争性项目是指其投资建设将对本项目收入形成不利影响且该等影响在甲方选择特许经营者时并未要求纳入乙方报价考虑的其他项目</w:t>
      </w:r>
      <w:bookmarkEnd w:id="545"/>
      <w:r>
        <w:rPr>
          <w:rFonts w:hint="eastAsia" w:ascii="宋体" w:hAnsi="宋体" w:eastAsia="宋体" w:cs="宋体"/>
          <w:caps w:val="0"/>
          <w:smallCaps w:val="0"/>
          <w:color w:val="auto"/>
          <w:highlight w:val="none"/>
        </w:rPr>
        <w:t>】。</w:t>
      </w:r>
    </w:p>
    <w:p w14:paraId="2AAD74EE">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46" w:name="_Toc1410319224"/>
      <w:r>
        <w:rPr>
          <w:rFonts w:hint="eastAsia" w:ascii="宋体" w:hAnsi="宋体" w:eastAsia="宋体" w:cs="宋体"/>
          <w:bCs/>
          <w:caps w:val="0"/>
          <w:smallCaps w:val="0"/>
          <w:color w:val="auto"/>
          <w:sz w:val="28"/>
          <w:highlight w:val="none"/>
        </w:rPr>
        <w:t>项目公司的经营范围、注册资本、股东出资方式、出资比例、利益分配方式</w:t>
      </w:r>
      <w:bookmarkEnd w:id="546"/>
    </w:p>
    <w:p w14:paraId="54F73325">
      <w:pPr>
        <w:keepNext w:val="0"/>
        <w:keepLines w:val="0"/>
        <w:pageBreakBefore w:val="0"/>
        <w:widowControl w:val="0"/>
        <w:numPr>
          <w:ilvl w:val="0"/>
          <w:numId w:val="22"/>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经营范围：【说明：应包括与项目公司所承担投资、建设和运营责任相匹配的相关内容。具体以市场监督管理部门核准的经营范围为准】</w:t>
      </w:r>
    </w:p>
    <w:p w14:paraId="6B1350CA">
      <w:pPr>
        <w:keepNext w:val="0"/>
        <w:keepLines w:val="0"/>
        <w:pageBreakBefore w:val="0"/>
        <w:widowControl w:val="0"/>
        <w:numPr>
          <w:ilvl w:val="0"/>
          <w:numId w:val="22"/>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首期注册资本为【】万元，在项目建设期间逐步扩大注册资本，最终注册资本不低于【】。【说明：也可根据项目资本金的要求约定注册资本，在项目建设期间逐步实缴到位，但不得迟于公司法规定的缴足期限。】</w:t>
      </w:r>
    </w:p>
    <w:p w14:paraId="05FDAA80">
      <w:pPr>
        <w:keepNext w:val="0"/>
        <w:keepLines w:val="0"/>
        <w:pageBreakBefore w:val="0"/>
        <w:widowControl w:val="0"/>
        <w:numPr>
          <w:ilvl w:val="0"/>
          <w:numId w:val="22"/>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乙方股东出资方式：【货币出资或其他方式】。</w:t>
      </w:r>
    </w:p>
    <w:p w14:paraId="45262F96">
      <w:pPr>
        <w:keepNext w:val="0"/>
        <w:keepLines w:val="0"/>
        <w:pageBreakBefore w:val="0"/>
        <w:widowControl w:val="0"/>
        <w:numPr>
          <w:ilvl w:val="0"/>
          <w:numId w:val="22"/>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出资比例</w:t>
      </w:r>
      <w:r>
        <w:rPr>
          <w:rFonts w:hint="eastAsia" w:ascii="宋体" w:hAnsi="宋体" w:eastAsia="宋体" w:cs="宋体"/>
          <w:caps w:val="0"/>
          <w:smallCaps w:val="0"/>
          <w:color w:val="auto"/>
          <w:highlight w:val="none"/>
          <w:lang w:val="en-US" w:eastAsia="zh-CN"/>
        </w:rPr>
        <w:t>：</w:t>
      </w:r>
      <w:r>
        <w:rPr>
          <w:rFonts w:hint="eastAsia" w:ascii="宋体" w:hAnsi="宋体" w:eastAsia="宋体" w:cs="宋体"/>
          <w:caps w:val="0"/>
          <w:smallCaps w:val="0"/>
          <w:color w:val="auto"/>
          <w:highlight w:val="none"/>
        </w:rPr>
        <w:t>【列示项目公司全部股东出资比例】。</w:t>
      </w:r>
    </w:p>
    <w:p w14:paraId="7580259C">
      <w:pPr>
        <w:keepNext w:val="0"/>
        <w:keepLines w:val="0"/>
        <w:pageBreakBefore w:val="0"/>
        <w:widowControl w:val="0"/>
        <w:numPr>
          <w:ilvl w:val="0"/>
          <w:numId w:val="22"/>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乙方股东利益分配方式</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【按股东协议列示乙方股东利益分配方式，如分红比例等。】</w:t>
      </w:r>
    </w:p>
    <w:p w14:paraId="4549C53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47" w:name="_Toc2136967723"/>
      <w:r>
        <w:rPr>
          <w:rFonts w:hint="eastAsia" w:ascii="宋体" w:hAnsi="宋体" w:eastAsia="宋体" w:cs="宋体"/>
          <w:bCs/>
          <w:caps w:val="0"/>
          <w:smallCaps w:val="0"/>
          <w:color w:val="auto"/>
          <w:sz w:val="28"/>
          <w:highlight w:val="none"/>
        </w:rPr>
        <w:t>对项目公司股权、经营行为的限制</w:t>
      </w:r>
      <w:bookmarkEnd w:id="547"/>
    </w:p>
    <w:p w14:paraId="36356CE2">
      <w:pPr>
        <w:keepNext w:val="0"/>
        <w:keepLines w:val="0"/>
        <w:pageBreakBefore w:val="0"/>
        <w:widowControl w:val="0"/>
        <w:numPr>
          <w:ilvl w:val="0"/>
          <w:numId w:val="2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val="en-US" w:eastAsia="zh-CN"/>
        </w:rPr>
        <w:t>项目前期及建设期期间以及运营期开始之后满【】年期间内，乙方变更股东，须经甲方书面同意，除非该股权结构变更是适用法律所要求，或本协议另有约定，或具有管辖权的法院、仲裁机构或政府或政府的部门命令的变更；对于有利于特许经营、项目融资或项目实施的股权结构调整，甲方予以支持，且无合理理由不应当拒绝给予同意，但前提是股权变更不应不合理地减损乙方在本协议下的义务或履行本协议的能力且不违背公平竞争原则和适用法律对股权结构的要求。上述期间后项目公司股权结构如需调整，则应知会甲方，甲方有权基于是否不合理地减损乙方在本协议下的义务或履行本协议的能力、是否违背公平竞争原则、是否违背适用法律对股权结构的要求等，对股权结构调整提出异议，项目公司有义务消除异议或终止调整，且在消除异议前乙方不得进行股权结构调整。在任何情况下乙方变更股东时，新股东应当对甲方承诺履行本协议下乙方股东的义务并证明其具有履约能力，且股东变更应符合适用法律及政策性规定的有关要求（如有）。</w:t>
      </w:r>
    </w:p>
    <w:p w14:paraId="3A97770F">
      <w:pPr>
        <w:keepNext w:val="0"/>
        <w:keepLines w:val="0"/>
        <w:pageBreakBefore w:val="0"/>
        <w:widowControl w:val="0"/>
        <w:numPr>
          <w:ilvl w:val="0"/>
          <w:numId w:val="2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在本项目特许经营期内乙方减少注册资本、变更经营范围，应按适用法律执行并需事先报经甲方书面同意。乙方经营范围及股权结构等须符合适用法律及国家产业政策的要求。</w:t>
      </w:r>
    </w:p>
    <w:p w14:paraId="5137A817">
      <w:pPr>
        <w:keepNext w:val="0"/>
        <w:keepLines w:val="0"/>
        <w:pageBreakBefore w:val="0"/>
        <w:widowControl w:val="0"/>
        <w:numPr>
          <w:ilvl w:val="0"/>
          <w:numId w:val="23"/>
        </w:numPr>
        <w:tabs>
          <w:tab w:val="left" w:pos="993"/>
        </w:tabs>
        <w:kinsoku/>
        <w:wordWrap/>
        <w:overflowPunct/>
        <w:topLinePunct w:val="0"/>
        <w:bidi w:val="0"/>
        <w:spacing w:before="0" w:beforeLines="0" w:beforeAutospacing="0" w:after="0" w:afterLines="0" w:afterAutospacing="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本项目特许经营期内未经甲方书面同意，乙方不得从事任何与本项目无关的经营活动或对本项目以外的其他项目进行投资、资金借贷及借贷担保（包括为其股东债务提供任何形式的担保）等行为，不得承担其股东的债务。</w:t>
      </w:r>
    </w:p>
    <w:p w14:paraId="65B6012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48" w:name="_Toc162394884"/>
      <w:bookmarkEnd w:id="548"/>
      <w:bookmarkStart w:id="549" w:name="_Toc2008356854"/>
      <w:r>
        <w:rPr>
          <w:rFonts w:hint="eastAsia" w:ascii="宋体" w:hAnsi="宋体" w:eastAsia="宋体" w:cs="宋体"/>
          <w:bCs/>
          <w:caps w:val="0"/>
          <w:smallCaps w:val="0"/>
          <w:color w:val="auto"/>
          <w:sz w:val="28"/>
          <w:highlight w:val="none"/>
        </w:rPr>
        <w:t>项目资产与权属</w:t>
      </w:r>
      <w:bookmarkEnd w:id="549"/>
    </w:p>
    <w:p w14:paraId="35C28B7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项目资产权属类型包括所有权以及占有权、使用权、收益权及处分权等权能，应按项目资产特点分类明确各类资产的权属及使用限制。可按政府移交资产、乙方新建项目资产、运营期间更新重置和追加投资资产进行分类明确或约定，示例如下：】</w:t>
      </w:r>
    </w:p>
    <w:p w14:paraId="5DD79978">
      <w:pPr>
        <w:pStyle w:val="5"/>
        <w:keepNext w:val="0"/>
        <w:keepLines w:val="0"/>
        <w:pageBreakBefore w:val="0"/>
        <w:widowControl w:val="0"/>
        <w:numPr>
          <w:ilvl w:val="2"/>
          <w:numId w:val="2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政府向乙方移交资产与权属</w:t>
      </w:r>
    </w:p>
    <w:p w14:paraId="01DE853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w:t>
      </w:r>
      <w:r>
        <w:rPr>
          <w:rFonts w:hint="eastAsia" w:ascii="宋体" w:hAnsi="宋体" w:eastAsia="宋体" w:cs="宋体"/>
          <w:caps w:val="0"/>
          <w:smallCaps w:val="0"/>
          <w:color w:val="auto"/>
          <w:highlight w:val="none"/>
          <w:lang w:eastAsia="zh-CN"/>
        </w:rPr>
        <w:t>如涉及政府向乙方移交资产与权属情形，</w:t>
      </w:r>
      <w:r>
        <w:rPr>
          <w:rFonts w:hint="eastAsia" w:ascii="宋体" w:hAnsi="宋体" w:eastAsia="宋体" w:cs="宋体"/>
          <w:caps w:val="0"/>
          <w:smallCaps w:val="0"/>
          <w:color w:val="auto"/>
          <w:highlight w:val="none"/>
        </w:rPr>
        <w:t>具体参见本协议第40条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政府提供的运营条件</w:t>
      </w:r>
      <w:r>
        <w:rPr>
          <w:rFonts w:hint="eastAsia" w:ascii="宋体" w:hAnsi="宋体" w:eastAsia="宋体" w:cs="宋体"/>
          <w:caps w:val="0"/>
          <w:smallCaps w:val="0"/>
          <w:color w:val="auto"/>
          <w:highlight w:val="none"/>
          <w:lang w:eastAsia="zh-CN"/>
        </w:rPr>
        <w:t>”有关内容</w:t>
      </w:r>
      <w:r>
        <w:rPr>
          <w:rFonts w:hint="eastAsia" w:ascii="宋体" w:hAnsi="宋体" w:eastAsia="宋体" w:cs="宋体"/>
          <w:caps w:val="0"/>
          <w:smallCaps w:val="0"/>
          <w:color w:val="auto"/>
          <w:highlight w:val="none"/>
        </w:rPr>
        <w:t>。】</w:t>
      </w:r>
    </w:p>
    <w:p w14:paraId="7DAB65F7">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乙方新增项目资产与权属</w:t>
      </w:r>
    </w:p>
    <w:p w14:paraId="0796FC1A">
      <w:pPr>
        <w:pageBreakBefore w:val="0"/>
        <w:kinsoku/>
        <w:wordWrap/>
        <w:topLinePunct w:val="0"/>
        <w:bidi w:val="0"/>
        <w:spacing w:before="0" w:beforeLines="0" w:beforeAutospacing="0" w:after="0" w:afterLines="0" w:afterAutospacing="0" w:line="360" w:lineRule="auto"/>
        <w:ind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【说明：指乙方在特许经营期内通过其投资行为而新增的资产，具体包括项目更新重置形成的资产、项目追加投资形成的资产。】</w:t>
      </w:r>
    </w:p>
    <w:p w14:paraId="3A5AA206">
      <w:pPr>
        <w:keepNext w:val="0"/>
        <w:keepLines w:val="0"/>
        <w:pageBreakBefore w:val="0"/>
        <w:widowControl w:val="0"/>
        <w:numPr>
          <w:ilvl w:val="2"/>
          <w:numId w:val="5"/>
        </w:numPr>
        <w:tabs>
          <w:tab w:val="left" w:pos="993"/>
        </w:tabs>
        <w:kinsoku/>
        <w:wordWrap/>
        <w:overflowPunct/>
        <w:topLinePunct w:val="0"/>
        <w:bidi w:val="0"/>
        <w:spacing w:before="0" w:beforeLines="0" w:beforeAutospacing="0" w:after="0" w:afterLines="0" w:afterAutospacing="0" w:line="360" w:lineRule="auto"/>
        <w:ind w:firstLineChars="0"/>
        <w:jc w:val="left"/>
        <w:outlineLvl w:val="2"/>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资产使用限制</w:t>
      </w:r>
    </w:p>
    <w:p w14:paraId="4C47A798">
      <w:pPr>
        <w:pageBreakBefore w:val="0"/>
        <w:kinsoku/>
        <w:wordWrap/>
        <w:topLinePunct w:val="0"/>
        <w:bidi w:val="0"/>
        <w:spacing w:before="0" w:beforeLines="0" w:beforeAutospacing="0" w:after="0" w:afterLines="0" w:afterAutospacing="0" w:line="360" w:lineRule="auto"/>
        <w:ind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【说明：根据项目资产具体情况明确对相关资产的使用限制。】</w:t>
      </w:r>
    </w:p>
    <w:p w14:paraId="045E23A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7"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除本协议另有约定外，</w:t>
      </w:r>
      <w:r>
        <w:rPr>
          <w:rFonts w:hint="eastAsia" w:ascii="宋体" w:hAnsi="宋体" w:eastAsia="宋体" w:cs="宋体"/>
          <w:caps w:val="0"/>
          <w:smallCaps w:val="0"/>
          <w:color w:val="auto"/>
          <w:highlight w:val="none"/>
        </w:rPr>
        <w:t>未经甲方书面同意，乙方不得对项目资产进行抵押、质押、出租、出售或以其他方式处置。</w:t>
      </w:r>
    </w:p>
    <w:p w14:paraId="41D63F7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0" w:name="_Toc1747435911"/>
      <w:r>
        <w:rPr>
          <w:rFonts w:hint="eastAsia" w:ascii="宋体" w:hAnsi="宋体" w:eastAsia="宋体" w:cs="宋体"/>
          <w:bCs/>
          <w:caps w:val="0"/>
          <w:smallCaps w:val="0"/>
          <w:color w:val="auto"/>
          <w:sz w:val="28"/>
          <w:highlight w:val="none"/>
        </w:rPr>
        <w:t>用地获取和使用权利</w:t>
      </w:r>
      <w:bookmarkEnd w:id="550"/>
    </w:p>
    <w:p w14:paraId="5712502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对于符合规划及划拨用地目录的建设用地项目，可以划拨方式提供土地使用权。此条需明确本项目所涉及土地的获取方式、甲乙双方就土地申请和手续办理的责任分工、乙方的土地使用权和使用土地的相关权利约定等内容。示例如下：】</w:t>
      </w:r>
    </w:p>
    <w:p w14:paraId="2C90380F">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本项目土地使用权获取方式是：【具体约定】。</w:t>
      </w:r>
    </w:p>
    <w:p w14:paraId="3F6AE0E8">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双方约定取得本项目相关土地</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地块</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使用权的责任分工是：【具体约定】。</w:t>
      </w:r>
    </w:p>
    <w:p w14:paraId="0A1CFDF0">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甲方应当向乙方提供在项目前期阶段已经取得的与本项目相关的土地规划文件，并为乙方确定项目选址提供协助。</w:t>
      </w:r>
    </w:p>
    <w:p w14:paraId="651BB936">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乙方应结合项目前期勘察设计工作根据国土空间规划提出项目用地需求，或在甲方已经获取土地使用权的基础上提出新增用地需求，并按适用法律的规定提出用地申请。</w:t>
      </w:r>
    </w:p>
    <w:p w14:paraId="67EF0BA7">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甲方应当协助乙方办理并确保乙方提出的合理用地申请</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能够获得有权机关批准或利益相关方同意，但因乙方不能缴纳特许经营者选择文件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如招标文件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已明确列出的用地相关费用</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导致无法获得批准和土地的除外。</w:t>
      </w:r>
    </w:p>
    <w:p w14:paraId="3165EA93">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按分工应由甲方取得土地使用权并提供乙方使用的土地，甲方应当及时办理土地供应手续和土地使用权登记手续。</w:t>
      </w:r>
    </w:p>
    <w:p w14:paraId="0D8B837D">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按分工应由乙方取得土地使用权的用地，甲方应配合并督促乙方及时办理土地使用权登记，确保土地权属清晰无争议。</w:t>
      </w:r>
    </w:p>
    <w:p w14:paraId="45E50F95">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项目建设实施期间和运营期间，乙方应按土地管理相关法律法规和政策要求合理利用项目土地。【说明：对于特定类型特许经营项目，在依法依规并经甲方同意和政府有权部门批准的前提下，甲方支持乙方依据国土空间规划采用充分利用地下空间、按照国有建设用地使用权出让合同</w:t>
      </w:r>
      <w:r>
        <w:rPr>
          <w:rFonts w:hint="eastAsia" w:ascii="宋体" w:hAnsi="宋体" w:eastAsia="宋体" w:cs="宋体"/>
          <w:caps w:val="0"/>
          <w:smallCaps w:val="0"/>
          <w:color w:val="auto"/>
          <w:highlight w:val="none"/>
          <w:u w:val="none"/>
        </w:rPr>
        <w:t>分层设立国有建设用地使用权</w:t>
      </w:r>
      <w:r>
        <w:rPr>
          <w:rFonts w:hint="eastAsia" w:ascii="宋体" w:hAnsi="宋体" w:eastAsia="宋体" w:cs="宋体"/>
          <w:caps w:val="0"/>
          <w:smallCaps w:val="0"/>
          <w:color w:val="auto"/>
          <w:highlight w:val="none"/>
        </w:rPr>
        <w:t>等措施提高项目土地利用效率、拓展项目使用者付费收入渠道。】</w:t>
      </w:r>
    </w:p>
    <w:p w14:paraId="40B9B783">
      <w:pPr>
        <w:keepNext w:val="0"/>
        <w:keepLines w:val="0"/>
        <w:pageBreakBefore w:val="0"/>
        <w:widowControl w:val="0"/>
        <w:numPr>
          <w:ilvl w:val="0"/>
          <w:numId w:val="25"/>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【其他约定】</w:t>
      </w:r>
    </w:p>
    <w:p w14:paraId="3538874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1" w:name="_Toc25734307"/>
      <w:bookmarkStart w:id="552" w:name="_Hlk154346024"/>
      <w:r>
        <w:rPr>
          <w:rFonts w:hint="eastAsia" w:ascii="宋体" w:hAnsi="宋体" w:eastAsia="宋体" w:cs="宋体"/>
          <w:bCs/>
          <w:caps w:val="0"/>
          <w:smallCaps w:val="0"/>
          <w:color w:val="auto"/>
          <w:sz w:val="28"/>
          <w:highlight w:val="none"/>
        </w:rPr>
        <w:t>履约担保</w:t>
      </w:r>
      <w:bookmarkEnd w:id="551"/>
    </w:p>
    <w:bookmarkEnd w:id="552"/>
    <w:p w14:paraId="2219AF0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【说明：按招标文件明确的履约担保条件和方式载明相关约定。】</w:t>
      </w:r>
    </w:p>
    <w:p w14:paraId="754B63D3">
      <w:pPr>
        <w:keepNext w:val="0"/>
        <w:keepLines w:val="0"/>
        <w:pageBreakBefore w:val="0"/>
        <w:widowControl w:val="0"/>
        <w:numPr>
          <w:ilvl w:val="0"/>
          <w:numId w:val="26"/>
        </w:numPr>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本项目履约保函金额为【万元人民币】。乙方应在本协议签订后【】天内按约定格式向甲方开具。</w:t>
      </w:r>
    </w:p>
    <w:p w14:paraId="004A1AB6">
      <w:pPr>
        <w:keepNext w:val="0"/>
        <w:keepLines w:val="0"/>
        <w:pageBreakBefore w:val="0"/>
        <w:widowControl w:val="0"/>
        <w:numPr>
          <w:ilvl w:val="0"/>
          <w:numId w:val="26"/>
        </w:numPr>
        <w:kinsoku/>
        <w:wordWrap/>
        <w:overflowPunct/>
        <w:topLinePunct w:val="0"/>
        <w:bidi w:val="0"/>
        <w:spacing w:before="0" w:beforeLines="0" w:beforeAutospacing="0" w:after="0" w:afterLines="0" w:afterAutospacing="0" w:line="360" w:lineRule="auto"/>
        <w:ind w:left="0" w:leftChars="0"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履约保函被提取任意金额后，乙方应在【】天内将履约担保金额恢复至原始金额。</w:t>
      </w:r>
    </w:p>
    <w:p w14:paraId="4F5CD90B">
      <w:pPr>
        <w:keepNext w:val="0"/>
        <w:keepLines w:val="0"/>
        <w:pageBreakBefore w:val="0"/>
        <w:widowControl w:val="0"/>
        <w:numPr>
          <w:ilvl w:val="0"/>
          <w:numId w:val="26"/>
        </w:numPr>
        <w:kinsoku/>
        <w:wordWrap/>
        <w:overflowPunct/>
        <w:topLinePunct w:val="0"/>
        <w:bidi w:val="0"/>
        <w:spacing w:before="0" w:beforeLines="0" w:beforeAutospacing="0" w:after="0" w:afterLines="0" w:afterAutospacing="0" w:line="360" w:lineRule="auto"/>
        <w:ind w:left="0" w:leftChars="0"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若甲方不当提取履约保函中金额，甲方应及时向乙方退还提取款项，并支付利息及相关补偿。</w:t>
      </w:r>
    </w:p>
    <w:p w14:paraId="26335985">
      <w:pPr>
        <w:keepNext w:val="0"/>
        <w:keepLines w:val="0"/>
        <w:pageBreakBefore w:val="0"/>
        <w:widowControl w:val="0"/>
        <w:numPr>
          <w:ilvl w:val="0"/>
          <w:numId w:val="26"/>
        </w:numPr>
        <w:kinsoku/>
        <w:wordWrap/>
        <w:overflowPunct/>
        <w:topLinePunct w:val="0"/>
        <w:bidi w:val="0"/>
        <w:spacing w:before="0" w:beforeLines="0" w:beforeAutospacing="0" w:after="0" w:afterLines="0" w:afterAutospacing="0" w:line="360" w:lineRule="auto"/>
        <w:ind w:left="0" w:leftChars="0"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对于特许经营期届满时的项目移交，乙方须按本协议约定另行向甲方提交移交保函。</w:t>
      </w:r>
    </w:p>
    <w:p w14:paraId="6A5CCBF4">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3" w:name="_Toc1843206686"/>
      <w:r>
        <w:rPr>
          <w:rFonts w:hint="eastAsia" w:ascii="宋体" w:hAnsi="宋体" w:eastAsia="宋体" w:cs="宋体"/>
          <w:bCs/>
          <w:caps w:val="0"/>
          <w:smallCaps w:val="0"/>
          <w:color w:val="auto"/>
          <w:sz w:val="28"/>
          <w:highlight w:val="none"/>
        </w:rPr>
        <w:t>特许经营协议履行情况书面报告</w:t>
      </w:r>
      <w:bookmarkEnd w:id="553"/>
    </w:p>
    <w:p w14:paraId="3927FBF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szCs w:val="32"/>
          <w:highlight w:val="none"/>
        </w:rPr>
      </w:pPr>
      <w:r>
        <w:rPr>
          <w:rFonts w:hint="eastAsia" w:ascii="宋体" w:hAnsi="宋体" w:eastAsia="宋体" w:cs="宋体"/>
          <w:caps w:val="0"/>
          <w:smallCaps w:val="0"/>
          <w:color w:val="auto"/>
          <w:highlight w:val="none"/>
        </w:rPr>
        <w:t>乙方应根据本协议的约定和政府监管要求，向甲方定期提供书面报告，内容应按约定或政府监管要求，反映项目特许经营投资、建设、运营、收费等情况。</w:t>
      </w:r>
      <w:r>
        <w:rPr>
          <w:rFonts w:hint="eastAsia" w:ascii="宋体" w:hAnsi="宋体" w:eastAsia="宋体" w:cs="宋体"/>
          <w:caps w:val="0"/>
          <w:smallCaps w:val="0"/>
          <w:color w:val="auto"/>
          <w:szCs w:val="32"/>
          <w:highlight w:val="none"/>
        </w:rPr>
        <w:br w:type="page"/>
      </w:r>
    </w:p>
    <w:p w14:paraId="145865A0">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rPr>
      </w:pPr>
      <w:bookmarkStart w:id="554" w:name="_Toc265447547"/>
      <w:r>
        <w:rPr>
          <w:rFonts w:hint="eastAsia" w:ascii="宋体" w:hAnsi="宋体" w:eastAsia="宋体" w:cs="宋体"/>
          <w:caps w:val="0"/>
          <w:smallCaps w:val="0"/>
          <w:color w:val="auto"/>
          <w:sz w:val="28"/>
          <w:highlight w:val="none"/>
        </w:rPr>
        <w:t>项目投资计划及资金筹措</w:t>
      </w:r>
      <w:bookmarkEnd w:id="554"/>
    </w:p>
    <w:p w14:paraId="38889A7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caps w:val="0"/>
          <w:smallCaps w:val="0"/>
          <w:color w:val="auto"/>
          <w:highlight w:val="none"/>
        </w:rPr>
        <w:t>【说明：在本章中，甲、乙双方就本项目投资计划和资金筹措相关事项进行约定。】</w:t>
      </w:r>
    </w:p>
    <w:p w14:paraId="72EAAC14">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5" w:name="_Toc1373190086"/>
      <w:r>
        <w:rPr>
          <w:rFonts w:hint="eastAsia" w:ascii="宋体" w:hAnsi="宋体" w:eastAsia="宋体" w:cs="宋体"/>
          <w:bCs/>
          <w:caps w:val="0"/>
          <w:smallCaps w:val="0"/>
          <w:color w:val="auto"/>
          <w:sz w:val="28"/>
          <w:highlight w:val="none"/>
        </w:rPr>
        <w:t>项目总投资和投资计划</w:t>
      </w:r>
      <w:bookmarkEnd w:id="555"/>
    </w:p>
    <w:p w14:paraId="72287768">
      <w:pPr>
        <w:keepNext w:val="0"/>
        <w:keepLines w:val="0"/>
        <w:pageBreakBefore w:val="0"/>
        <w:widowControl w:val="0"/>
        <w:numPr>
          <w:ilvl w:val="0"/>
          <w:numId w:val="2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本协议生效后【时间期间】之内，乙方应向甲方提交项目初步投资计划，重点说明项目公司认缴注册资金、项目前期工作资金安排和到位计划。</w:t>
      </w:r>
    </w:p>
    <w:p w14:paraId="3542EA2E">
      <w:pPr>
        <w:keepNext w:val="0"/>
        <w:keepLines w:val="0"/>
        <w:pageBreakBefore w:val="0"/>
        <w:widowControl w:val="0"/>
        <w:numPr>
          <w:ilvl w:val="0"/>
          <w:numId w:val="2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政府投资</w:t>
      </w:r>
      <w:r>
        <w:rPr>
          <w:rFonts w:hint="eastAsia" w:ascii="宋体" w:hAnsi="宋体" w:eastAsia="宋体" w:cs="宋体"/>
          <w:caps w:val="0"/>
          <w:smallCaps w:val="0"/>
          <w:color w:val="auto"/>
          <w:highlight w:val="none"/>
        </w:rPr>
        <w:t>项目</w:t>
      </w:r>
      <w:r>
        <w:rPr>
          <w:rFonts w:hint="eastAsia" w:ascii="宋体" w:hAnsi="宋体" w:eastAsia="宋体" w:cs="宋体"/>
          <w:caps w:val="0"/>
          <w:smallCaps w:val="0"/>
          <w:color w:val="auto"/>
          <w:highlight w:val="none"/>
          <w:lang w:eastAsia="zh-CN"/>
        </w:rPr>
        <w:t>在</w:t>
      </w:r>
      <w:r>
        <w:rPr>
          <w:rFonts w:hint="eastAsia" w:ascii="宋体" w:hAnsi="宋体" w:eastAsia="宋体" w:cs="宋体"/>
          <w:caps w:val="0"/>
          <w:smallCaps w:val="0"/>
          <w:color w:val="auto"/>
          <w:highlight w:val="none"/>
        </w:rPr>
        <w:t>初步设计概算获得有关部门批准后【时间期间】天之内，乙方应向甲方提交项目详细投资计划；企业投资项目履行核准或备案程序后【时间期间】天之内，乙方应向甲方提交项目详细投资计划。详细投资计划</w:t>
      </w:r>
      <w:r>
        <w:rPr>
          <w:rFonts w:hint="eastAsia" w:ascii="宋体" w:hAnsi="宋体" w:eastAsia="宋体" w:cs="宋体"/>
          <w:caps w:val="0"/>
          <w:smallCaps w:val="0"/>
          <w:color w:val="auto"/>
          <w:highlight w:val="none"/>
          <w:lang w:eastAsia="zh-CN"/>
        </w:rPr>
        <w:t>包括</w:t>
      </w:r>
      <w:r>
        <w:rPr>
          <w:rFonts w:hint="eastAsia" w:ascii="宋体" w:hAnsi="宋体" w:eastAsia="宋体" w:cs="宋体"/>
          <w:caps w:val="0"/>
          <w:smallCaps w:val="0"/>
          <w:color w:val="auto"/>
          <w:highlight w:val="none"/>
        </w:rPr>
        <w:t>本项目总投资</w:t>
      </w:r>
      <w:r>
        <w:rPr>
          <w:rFonts w:hint="eastAsia" w:ascii="宋体" w:hAnsi="宋体" w:eastAsia="宋体" w:cs="宋体"/>
          <w:caps w:val="0"/>
          <w:smallCaps w:val="0"/>
          <w:color w:val="auto"/>
          <w:highlight w:val="none"/>
          <w:lang w:eastAsia="zh-CN"/>
        </w:rPr>
        <w:t>额</w:t>
      </w:r>
      <w:r>
        <w:rPr>
          <w:rFonts w:hint="eastAsia" w:ascii="宋体" w:hAnsi="宋体" w:eastAsia="宋体" w:cs="宋体"/>
          <w:caps w:val="0"/>
          <w:smallCaps w:val="0"/>
          <w:color w:val="auto"/>
          <w:highlight w:val="none"/>
        </w:rPr>
        <w:t>及</w:t>
      </w:r>
      <w:r>
        <w:rPr>
          <w:rFonts w:hint="eastAsia" w:ascii="宋体" w:hAnsi="宋体" w:eastAsia="宋体" w:cs="宋体"/>
          <w:caps w:val="0"/>
          <w:smallCaps w:val="0"/>
          <w:color w:val="auto"/>
          <w:highlight w:val="none"/>
          <w:lang w:eastAsia="zh-CN"/>
        </w:rPr>
        <w:t>其</w:t>
      </w:r>
      <w:r>
        <w:rPr>
          <w:rFonts w:hint="eastAsia" w:ascii="宋体" w:hAnsi="宋体" w:eastAsia="宋体" w:cs="宋体"/>
          <w:caps w:val="0"/>
          <w:smallCaps w:val="0"/>
          <w:color w:val="auto"/>
          <w:highlight w:val="none"/>
        </w:rPr>
        <w:t>构成、分年度投资计划，以及项目建设资金</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包括项目资本金和债务融资资金</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筹措安排和到位计划等信息。</w:t>
      </w:r>
    </w:p>
    <w:p w14:paraId="53E2E6F3">
      <w:pPr>
        <w:keepNext w:val="0"/>
        <w:keepLines w:val="0"/>
        <w:pageBreakBefore w:val="0"/>
        <w:widowControl w:val="0"/>
        <w:numPr>
          <w:ilvl w:val="0"/>
          <w:numId w:val="2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甲方有权</w:t>
      </w:r>
      <w:r>
        <w:rPr>
          <w:rFonts w:hint="eastAsia" w:ascii="宋体" w:hAnsi="宋体" w:eastAsia="宋体" w:cs="宋体"/>
          <w:caps w:val="0"/>
          <w:smallCaps w:val="0"/>
          <w:color w:val="auto"/>
          <w:highlight w:val="none"/>
          <w:lang w:eastAsia="zh-CN"/>
        </w:rPr>
        <w:t>依据相关法律法规、政策规定、项目相关文件（含项目技术文件、批复文件等），以及本协议约定的原则和方法【双方可具体约定】</w:t>
      </w:r>
      <w:r>
        <w:rPr>
          <w:rFonts w:hint="eastAsia" w:ascii="宋体" w:hAnsi="宋体" w:eastAsia="宋体" w:cs="宋体"/>
          <w:caps w:val="0"/>
          <w:smallCaps w:val="0"/>
          <w:color w:val="auto"/>
          <w:highlight w:val="none"/>
        </w:rPr>
        <w:t>对乙方提</w:t>
      </w:r>
      <w:r>
        <w:rPr>
          <w:rFonts w:hint="eastAsia" w:ascii="宋体" w:hAnsi="宋体" w:eastAsia="宋体" w:cs="宋体"/>
          <w:caps w:val="0"/>
          <w:smallCaps w:val="0"/>
          <w:color w:val="auto"/>
          <w:highlight w:val="none"/>
          <w:lang w:eastAsia="zh-CN"/>
        </w:rPr>
        <w:t>交</w:t>
      </w:r>
      <w:r>
        <w:rPr>
          <w:rFonts w:hint="eastAsia" w:ascii="宋体" w:hAnsi="宋体" w:eastAsia="宋体" w:cs="宋体"/>
          <w:caps w:val="0"/>
          <w:smallCaps w:val="0"/>
          <w:color w:val="auto"/>
          <w:highlight w:val="none"/>
        </w:rPr>
        <w:t>的</w:t>
      </w:r>
      <w:r>
        <w:rPr>
          <w:rFonts w:hint="eastAsia" w:ascii="宋体" w:hAnsi="宋体" w:eastAsia="宋体" w:cs="宋体"/>
          <w:caps w:val="0"/>
          <w:smallCaps w:val="0"/>
          <w:color w:val="auto"/>
          <w:highlight w:val="none"/>
          <w:lang w:eastAsia="zh-CN"/>
        </w:rPr>
        <w:t>详细</w:t>
      </w:r>
      <w:r>
        <w:rPr>
          <w:rFonts w:hint="eastAsia" w:ascii="宋体" w:hAnsi="宋体" w:eastAsia="宋体" w:cs="宋体"/>
          <w:caps w:val="0"/>
          <w:smallCaps w:val="0"/>
          <w:color w:val="auto"/>
          <w:highlight w:val="none"/>
        </w:rPr>
        <w:t>投资计划进行审核</w:t>
      </w:r>
      <w:r>
        <w:rPr>
          <w:rFonts w:hint="eastAsia" w:ascii="宋体" w:hAnsi="宋体" w:eastAsia="宋体" w:cs="宋体"/>
          <w:caps w:val="0"/>
          <w:smallCaps w:val="0"/>
          <w:color w:val="auto"/>
          <w:highlight w:val="none"/>
          <w:lang w:eastAsia="zh-CN"/>
        </w:rPr>
        <w:t>并</w:t>
      </w:r>
      <w:r>
        <w:rPr>
          <w:rFonts w:hint="eastAsia" w:ascii="宋体" w:hAnsi="宋体" w:eastAsia="宋体" w:cs="宋体"/>
          <w:caps w:val="0"/>
          <w:smallCaps w:val="0"/>
          <w:color w:val="auto"/>
          <w:highlight w:val="none"/>
        </w:rPr>
        <w:t>提出</w:t>
      </w:r>
      <w:r>
        <w:rPr>
          <w:rFonts w:hint="eastAsia" w:ascii="宋体" w:hAnsi="宋体" w:eastAsia="宋体" w:cs="宋体"/>
          <w:caps w:val="0"/>
          <w:smallCaps w:val="0"/>
          <w:color w:val="auto"/>
          <w:highlight w:val="none"/>
          <w:lang w:eastAsia="zh-CN"/>
        </w:rPr>
        <w:t>合理</w:t>
      </w:r>
      <w:r>
        <w:rPr>
          <w:rFonts w:hint="eastAsia" w:ascii="宋体" w:hAnsi="宋体" w:eastAsia="宋体" w:cs="宋体"/>
          <w:caps w:val="0"/>
          <w:smallCaps w:val="0"/>
          <w:color w:val="auto"/>
          <w:highlight w:val="none"/>
        </w:rPr>
        <w:t>修订要求。甲方</w:t>
      </w:r>
      <w:r>
        <w:rPr>
          <w:rFonts w:hint="eastAsia" w:ascii="宋体" w:hAnsi="宋体" w:eastAsia="宋体" w:cs="宋体"/>
          <w:caps w:val="0"/>
          <w:smallCaps w:val="0"/>
          <w:color w:val="auto"/>
          <w:highlight w:val="none"/>
          <w:lang w:eastAsia="zh-CN"/>
        </w:rPr>
        <w:t>最终接收（或经甲方审核后）</w:t>
      </w:r>
      <w:r>
        <w:rPr>
          <w:rFonts w:hint="eastAsia" w:ascii="宋体" w:hAnsi="宋体" w:eastAsia="宋体" w:cs="宋体"/>
          <w:caps w:val="0"/>
          <w:smallCaps w:val="0"/>
          <w:color w:val="auto"/>
          <w:highlight w:val="none"/>
        </w:rPr>
        <w:t>的</w:t>
      </w:r>
      <w:r>
        <w:rPr>
          <w:rFonts w:hint="eastAsia" w:ascii="宋体" w:hAnsi="宋体" w:eastAsia="宋体" w:cs="宋体"/>
          <w:caps w:val="0"/>
          <w:smallCaps w:val="0"/>
          <w:color w:val="auto"/>
          <w:highlight w:val="none"/>
          <w:lang w:eastAsia="zh-CN"/>
        </w:rPr>
        <w:t>详细</w:t>
      </w:r>
      <w:r>
        <w:rPr>
          <w:rFonts w:hint="eastAsia" w:ascii="宋体" w:hAnsi="宋体" w:eastAsia="宋体" w:cs="宋体"/>
          <w:caps w:val="0"/>
          <w:smallCaps w:val="0"/>
          <w:color w:val="auto"/>
          <w:highlight w:val="none"/>
        </w:rPr>
        <w:t>投资计划</w:t>
      </w:r>
      <w:r>
        <w:rPr>
          <w:rFonts w:hint="eastAsia" w:ascii="宋体" w:hAnsi="宋体" w:eastAsia="宋体" w:cs="宋体"/>
          <w:caps w:val="0"/>
          <w:smallCaps w:val="0"/>
          <w:color w:val="auto"/>
          <w:highlight w:val="none"/>
          <w:lang w:eastAsia="zh-CN"/>
        </w:rPr>
        <w:t>将</w:t>
      </w:r>
      <w:r>
        <w:rPr>
          <w:rFonts w:hint="eastAsia" w:ascii="宋体" w:hAnsi="宋体" w:eastAsia="宋体" w:cs="宋体"/>
          <w:caps w:val="0"/>
          <w:smallCaps w:val="0"/>
          <w:color w:val="auto"/>
          <w:highlight w:val="none"/>
        </w:rPr>
        <w:t>作为</w:t>
      </w:r>
      <w:r>
        <w:rPr>
          <w:rFonts w:hint="eastAsia" w:ascii="宋体" w:hAnsi="宋体" w:eastAsia="宋体" w:cs="宋体"/>
          <w:caps w:val="0"/>
          <w:smallCaps w:val="0"/>
          <w:color w:val="auto"/>
          <w:highlight w:val="none"/>
          <w:lang w:eastAsia="zh-CN"/>
        </w:rPr>
        <w:t>甲方对</w:t>
      </w:r>
      <w:r>
        <w:rPr>
          <w:rFonts w:hint="eastAsia" w:ascii="宋体" w:hAnsi="宋体" w:eastAsia="宋体" w:cs="宋体"/>
          <w:caps w:val="0"/>
          <w:smallCaps w:val="0"/>
          <w:color w:val="auto"/>
          <w:highlight w:val="none"/>
        </w:rPr>
        <w:t>本项目</w:t>
      </w:r>
      <w:r>
        <w:rPr>
          <w:rFonts w:hint="eastAsia" w:ascii="宋体" w:hAnsi="宋体" w:eastAsia="宋体" w:cs="宋体"/>
          <w:caps w:val="0"/>
          <w:smallCaps w:val="0"/>
          <w:color w:val="auto"/>
          <w:highlight w:val="none"/>
          <w:lang w:eastAsia="zh-CN"/>
        </w:rPr>
        <w:t>实施</w:t>
      </w:r>
      <w:r>
        <w:rPr>
          <w:rFonts w:hint="eastAsia" w:ascii="宋体" w:hAnsi="宋体" w:eastAsia="宋体" w:cs="宋体"/>
          <w:caps w:val="0"/>
          <w:smallCaps w:val="0"/>
          <w:color w:val="auto"/>
          <w:highlight w:val="none"/>
        </w:rPr>
        <w:t>投融资监管</w:t>
      </w:r>
      <w:r>
        <w:rPr>
          <w:rFonts w:hint="eastAsia" w:ascii="宋体" w:hAnsi="宋体" w:eastAsia="宋体" w:cs="宋体"/>
          <w:caps w:val="0"/>
          <w:smallCaps w:val="0"/>
          <w:color w:val="auto"/>
          <w:highlight w:val="none"/>
          <w:lang w:eastAsia="zh-CN"/>
        </w:rPr>
        <w:t>的</w:t>
      </w:r>
      <w:r>
        <w:rPr>
          <w:rFonts w:hint="eastAsia" w:ascii="宋体" w:hAnsi="宋体" w:eastAsia="宋体" w:cs="宋体"/>
          <w:caps w:val="0"/>
          <w:smallCaps w:val="0"/>
          <w:color w:val="auto"/>
          <w:highlight w:val="none"/>
        </w:rPr>
        <w:t>依据。需要调整投资计划的，乙方应向甲方说明理由并提交调整后的投资计划</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甲方</w:t>
      </w:r>
      <w:r>
        <w:rPr>
          <w:rFonts w:hint="eastAsia" w:ascii="宋体" w:hAnsi="宋体" w:eastAsia="宋体" w:cs="宋体"/>
          <w:caps w:val="0"/>
          <w:smallCaps w:val="0"/>
          <w:color w:val="auto"/>
          <w:highlight w:val="none"/>
          <w:lang w:eastAsia="zh-CN"/>
        </w:rPr>
        <w:t>有权进行</w:t>
      </w:r>
      <w:r>
        <w:rPr>
          <w:rFonts w:hint="eastAsia" w:ascii="宋体" w:hAnsi="宋体" w:eastAsia="宋体" w:cs="宋体"/>
          <w:caps w:val="0"/>
          <w:smallCaps w:val="0"/>
          <w:color w:val="auto"/>
          <w:highlight w:val="none"/>
        </w:rPr>
        <w:t>审核</w:t>
      </w:r>
      <w:r>
        <w:rPr>
          <w:rFonts w:hint="eastAsia" w:ascii="宋体" w:hAnsi="宋体" w:eastAsia="宋体" w:cs="宋体"/>
          <w:caps w:val="0"/>
          <w:smallCaps w:val="0"/>
          <w:color w:val="auto"/>
          <w:highlight w:val="none"/>
          <w:lang w:eastAsia="zh-CN"/>
        </w:rPr>
        <w:t>并提出合理修订要求</w:t>
      </w:r>
      <w:r>
        <w:rPr>
          <w:rFonts w:hint="eastAsia" w:ascii="宋体" w:hAnsi="宋体" w:eastAsia="宋体" w:cs="宋体"/>
          <w:caps w:val="0"/>
          <w:smallCaps w:val="0"/>
          <w:color w:val="auto"/>
          <w:highlight w:val="none"/>
        </w:rPr>
        <w:t>。</w:t>
      </w:r>
    </w:p>
    <w:p w14:paraId="26F8C2BB">
      <w:pPr>
        <w:keepNext w:val="0"/>
        <w:keepLines w:val="0"/>
        <w:pageBreakBefore w:val="0"/>
        <w:widowControl w:val="0"/>
        <w:numPr>
          <w:ilvl w:val="0"/>
          <w:numId w:val="2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在建设实施期间，当工程投资因各种原因出现较大幅度变化时，乙方应向甲方提交更新的项目投资计划。</w:t>
      </w:r>
    </w:p>
    <w:p w14:paraId="7193D66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6" w:name="_Toc1671057714"/>
      <w:r>
        <w:rPr>
          <w:rFonts w:hint="eastAsia" w:ascii="宋体" w:hAnsi="宋体" w:eastAsia="宋体" w:cs="宋体"/>
          <w:bCs/>
          <w:caps w:val="0"/>
          <w:smallCaps w:val="0"/>
          <w:color w:val="auto"/>
          <w:sz w:val="28"/>
          <w:highlight w:val="none"/>
        </w:rPr>
        <w:t>资金筹措</w:t>
      </w:r>
      <w:bookmarkEnd w:id="556"/>
    </w:p>
    <w:p w14:paraId="19FBD8DA">
      <w:pPr>
        <w:pStyle w:val="5"/>
        <w:keepNext w:val="0"/>
        <w:keepLines w:val="0"/>
        <w:pageBreakBefore w:val="0"/>
        <w:widowControl w:val="0"/>
        <w:numPr>
          <w:ilvl w:val="2"/>
          <w:numId w:val="2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项目资本金</w:t>
      </w:r>
    </w:p>
    <w:p w14:paraId="2277E045">
      <w:pPr>
        <w:keepNext w:val="0"/>
        <w:keepLines w:val="0"/>
        <w:pageBreakBefore w:val="0"/>
        <w:widowControl w:val="0"/>
        <w:numPr>
          <w:ilvl w:val="0"/>
          <w:numId w:val="2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本项目资本金比例按照项目总投资的【%】设置，最终所需项目资本金根据项目总投资执行情况按国家相关政策制度确定，乙方各股东应按最终确定的项目资本金履行资本金出资义务。</w:t>
      </w:r>
    </w:p>
    <w:p w14:paraId="469AA205">
      <w:pPr>
        <w:keepNext w:val="0"/>
        <w:keepLines w:val="0"/>
        <w:pageBreakBefore w:val="0"/>
        <w:widowControl w:val="0"/>
        <w:numPr>
          <w:ilvl w:val="0"/>
          <w:numId w:val="2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乙方各股东对本项目的资本金出资金额、出资方式具体是：【】</w:t>
      </w:r>
      <w:r>
        <w:rPr>
          <w:rFonts w:hint="eastAsia" w:ascii="宋体" w:hAnsi="宋体" w:eastAsia="宋体" w:cs="宋体"/>
          <w:caps w:val="0"/>
          <w:smallCaps w:val="0"/>
          <w:color w:val="auto"/>
          <w:highlight w:val="none"/>
          <w:lang w:eastAsia="zh-CN"/>
        </w:rPr>
        <w:t>。</w:t>
      </w:r>
    </w:p>
    <w:p w14:paraId="2748149A">
      <w:pPr>
        <w:keepNext w:val="0"/>
        <w:keepLines w:val="0"/>
        <w:pageBreakBefore w:val="0"/>
        <w:widowControl w:val="0"/>
        <w:numPr>
          <w:ilvl w:val="0"/>
          <w:numId w:val="2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乙方需确保本项目所使用项目资本金来源和筹措方式合法合规</w:t>
      </w:r>
      <w:r>
        <w:rPr>
          <w:rFonts w:hint="eastAsia" w:ascii="宋体" w:hAnsi="宋体" w:eastAsia="宋体" w:cs="宋体"/>
          <w:caps w:val="0"/>
          <w:smallCaps w:val="0"/>
          <w:color w:val="auto"/>
          <w:highlight w:val="none"/>
          <w:lang w:eastAsia="zh-CN"/>
        </w:rPr>
        <w:t>【</w:t>
      </w:r>
      <w:r>
        <w:rPr>
          <w:rFonts w:hint="eastAsia" w:ascii="宋体" w:hAnsi="宋体" w:eastAsia="宋体" w:cs="宋体"/>
          <w:color w:val="auto"/>
          <w:highlight w:val="none"/>
        </w:rPr>
        <w:t>政府出资人代表不得以其自有资金代替政府的资本金出资</w:t>
      </w:r>
      <w:r>
        <w:rPr>
          <w:rFonts w:hint="eastAsia" w:ascii="宋体" w:hAnsi="宋体" w:eastAsia="宋体" w:cs="宋体"/>
          <w:caps w:val="0"/>
          <w:smallCaps w:val="0"/>
          <w:color w:val="auto"/>
          <w:highlight w:val="none"/>
          <w:lang w:eastAsia="zh-CN"/>
        </w:rPr>
        <w:t>】</w:t>
      </w:r>
      <w:r>
        <w:rPr>
          <w:rFonts w:hint="eastAsia" w:ascii="宋体" w:hAnsi="宋体" w:eastAsia="宋体" w:cs="宋体"/>
          <w:color w:val="auto"/>
          <w:highlight w:val="none"/>
        </w:rPr>
        <w:t>。</w:t>
      </w:r>
    </w:p>
    <w:p w14:paraId="0C3C9D94">
      <w:pPr>
        <w:keepNext w:val="0"/>
        <w:keepLines w:val="0"/>
        <w:pageBreakBefore w:val="0"/>
        <w:widowControl w:val="0"/>
        <w:numPr>
          <w:ilvl w:val="0"/>
          <w:numId w:val="29"/>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乙方和【政府出资人代表】应按协议约定确保资本金到位</w:t>
      </w:r>
      <w:r>
        <w:rPr>
          <w:rFonts w:hint="eastAsia" w:ascii="宋体" w:hAnsi="宋体" w:eastAsia="宋体" w:cs="宋体"/>
          <w:caps w:val="0"/>
          <w:smallCaps w:val="0"/>
          <w:color w:val="auto"/>
          <w:highlight w:val="none"/>
        </w:rPr>
        <w:t>。</w:t>
      </w:r>
    </w:p>
    <w:p w14:paraId="39796BA4">
      <w:pPr>
        <w:pStyle w:val="5"/>
        <w:keepNext w:val="0"/>
        <w:keepLines w:val="0"/>
        <w:pageBreakBefore w:val="0"/>
        <w:widowControl w:val="0"/>
        <w:numPr>
          <w:ilvl w:val="2"/>
          <w:numId w:val="2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其他建设资金筹措</w:t>
      </w:r>
    </w:p>
    <w:p w14:paraId="52DB968B">
      <w:pPr>
        <w:keepNext w:val="0"/>
        <w:keepLines w:val="0"/>
        <w:pageBreakBefore w:val="0"/>
        <w:widowControl w:val="0"/>
        <w:numPr>
          <w:ilvl w:val="0"/>
          <w:numId w:val="30"/>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项目资本金之外的建设资金需求，由乙方负责通过债务融资等方式解决，并由乙方负责项目债务资金偿还。</w:t>
      </w:r>
    </w:p>
    <w:p w14:paraId="44414C1C">
      <w:pPr>
        <w:keepNext w:val="0"/>
        <w:keepLines w:val="0"/>
        <w:pageBreakBefore w:val="0"/>
        <w:widowControl w:val="0"/>
        <w:numPr>
          <w:ilvl w:val="0"/>
          <w:numId w:val="3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如项目融资机构要求乙方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项目公司</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股东提供担保保证等增信措施，乙方各股东按股东协议的约定承担相应的增信责任。【说明：对于有政府资本金注入的特许经营项目，政府出资人代表不得承担融资担保责任。】</w:t>
      </w:r>
    </w:p>
    <w:p w14:paraId="1F29520C">
      <w:pPr>
        <w:keepNext w:val="0"/>
        <w:keepLines w:val="0"/>
        <w:pageBreakBefore w:val="0"/>
        <w:widowControl w:val="0"/>
        <w:numPr>
          <w:ilvl w:val="0"/>
          <w:numId w:val="3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乙方可以采用</w:t>
      </w:r>
      <w:r>
        <w:rPr>
          <w:rFonts w:hint="eastAsia" w:ascii="宋体" w:hAnsi="宋体" w:eastAsia="宋体" w:cs="宋体"/>
          <w:caps w:val="0"/>
          <w:smallCaps w:val="0"/>
          <w:color w:val="auto"/>
          <w:highlight w:val="none"/>
          <w:lang w:eastAsia="zh-CN"/>
        </w:rPr>
        <w:t>其享有的</w:t>
      </w:r>
      <w:r>
        <w:rPr>
          <w:rFonts w:hint="eastAsia" w:ascii="宋体" w:hAnsi="宋体" w:eastAsia="宋体" w:cs="宋体"/>
          <w:caps w:val="0"/>
          <w:smallCaps w:val="0"/>
          <w:color w:val="auto"/>
          <w:highlight w:val="none"/>
        </w:rPr>
        <w:t>项目预期收益质押等方式为项目融资</w:t>
      </w:r>
      <w:r>
        <w:rPr>
          <w:rFonts w:hint="eastAsia" w:ascii="宋体" w:hAnsi="宋体" w:eastAsia="宋体" w:cs="宋体"/>
          <w:caps w:val="0"/>
          <w:smallCaps w:val="0"/>
          <w:color w:val="auto"/>
          <w:highlight w:val="none"/>
          <w:lang w:eastAsia="zh-CN"/>
        </w:rPr>
        <w:t>；除本协议另有约定外，</w:t>
      </w:r>
      <w:r>
        <w:rPr>
          <w:rFonts w:hint="eastAsia" w:ascii="宋体" w:hAnsi="宋体" w:eastAsia="宋体" w:cs="宋体"/>
          <w:caps w:val="0"/>
          <w:smallCaps w:val="0"/>
          <w:color w:val="auto"/>
          <w:highlight w:val="none"/>
        </w:rPr>
        <w:t>乙方使用本项目相关权益为项目融资，须经甲方书面同意后方可实施。</w:t>
      </w:r>
    </w:p>
    <w:p w14:paraId="533865D0">
      <w:pPr>
        <w:keepNext w:val="0"/>
        <w:keepLines w:val="0"/>
        <w:pageBreakBefore w:val="0"/>
        <w:widowControl w:val="0"/>
        <w:numPr>
          <w:ilvl w:val="0"/>
          <w:numId w:val="30"/>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为项目签署融资合同须在正式签约前提交甲方，甲方在【时间期间】内作出审查决定，以确保融资合同不损害公共利益及政府方利益；甲方逾期未作出审查决定的，视为审查通过。甲方的审查不减少或减轻乙方在融资合同项下应承担的责任。</w:t>
      </w:r>
    </w:p>
    <w:p w14:paraId="33C34A15">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7" w:name="_Toc68233469"/>
      <w:r>
        <w:rPr>
          <w:rFonts w:hint="eastAsia" w:ascii="宋体" w:hAnsi="宋体" w:eastAsia="宋体" w:cs="宋体"/>
          <w:bCs/>
          <w:caps w:val="0"/>
          <w:smallCaps w:val="0"/>
          <w:color w:val="auto"/>
          <w:sz w:val="28"/>
          <w:highlight w:val="none"/>
        </w:rPr>
        <w:t>甲方提供的投融资支持</w:t>
      </w:r>
      <w:bookmarkEnd w:id="557"/>
    </w:p>
    <w:p w14:paraId="2F9E475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【说明：根据项目情况具体约定。</w:t>
      </w:r>
      <w:r>
        <w:rPr>
          <w:rFonts w:hint="eastAsia" w:ascii="宋体" w:hAnsi="宋体" w:eastAsia="宋体" w:cs="宋体"/>
          <w:caps w:val="0"/>
          <w:smallCaps w:val="0"/>
          <w:color w:val="auto"/>
          <w:highlight w:val="none"/>
          <w:lang w:eastAsia="zh-CN"/>
        </w:rPr>
        <w:t>政府可在严防新增地方政府隐性债务、符合法律法规和有关政策规定要求的前提下，按照一视同仁的原则，在项目建设期对使用者付费项目给予政府投资支持；政府付费只能按规定补贴运营、不能补贴建设成本。除此之外，不得通过可行性缺口补助、承诺保底收益率、可用性付费等任何方式，使用财政资金弥补项目建设和运营成本。</w:t>
      </w:r>
      <w:r>
        <w:rPr>
          <w:rFonts w:hint="eastAsia" w:ascii="宋体" w:hAnsi="宋体" w:eastAsia="宋体" w:cs="宋体"/>
          <w:caps w:val="0"/>
          <w:smallCaps w:val="0"/>
          <w:color w:val="auto"/>
          <w:highlight w:val="none"/>
        </w:rPr>
        <w:t>】</w:t>
      </w:r>
    </w:p>
    <w:p w14:paraId="4E17F40F">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58" w:name="_Toc969031309"/>
      <w:r>
        <w:rPr>
          <w:rFonts w:hint="eastAsia" w:ascii="宋体" w:hAnsi="宋体" w:eastAsia="宋体" w:cs="宋体"/>
          <w:bCs/>
          <w:caps w:val="0"/>
          <w:smallCaps w:val="0"/>
          <w:color w:val="auto"/>
          <w:sz w:val="28"/>
          <w:highlight w:val="none"/>
        </w:rPr>
        <w:t>投融资违约事项</w:t>
      </w:r>
      <w:bookmarkEnd w:id="558"/>
    </w:p>
    <w:p w14:paraId="04342448">
      <w:pPr>
        <w:keepNext w:val="0"/>
        <w:keepLines w:val="0"/>
        <w:pageBreakBefore w:val="0"/>
        <w:widowControl w:val="0"/>
        <w:kinsoku/>
        <w:wordWrap/>
        <w:overflowPunct/>
        <w:topLinePunct w:val="0"/>
        <w:bidi w:val="0"/>
        <w:spacing w:before="0" w:beforeLines="0" w:beforeAutospacing="0" w:after="0" w:afterLines="0" w:afterAutospacing="0" w:line="360" w:lineRule="auto"/>
        <w:ind w:firstLine="334" w:firstLineChars="15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【双方根据项目情况具体约定。相关事项可包括如：政府投资支持资金不能按承诺到位、乙方资金筹措不到位、挪用项目建设资金等。】</w:t>
      </w:r>
    </w:p>
    <w:p w14:paraId="4CCF972A">
      <w:pPr>
        <w:keepNext w:val="0"/>
        <w:keepLines w:val="0"/>
        <w:pageBreakBefore w:val="0"/>
        <w:widowControl w:val="0"/>
        <w:kinsoku/>
        <w:wordWrap/>
        <w:overflowPunct/>
        <w:topLinePunct w:val="0"/>
        <w:bidi w:val="0"/>
        <w:spacing w:before="0" w:beforeLines="0" w:beforeAutospacing="0" w:after="0" w:afterLines="0" w:afterAutospacing="0" w:line="360" w:lineRule="auto"/>
        <w:ind w:firstLine="334" w:firstLineChars="15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【说明：为便于协议文本阅读使用，可在各章设置专门的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违约事项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条目对该章涉及的特定违约事项或情形进行约定，并可进一步按违约方和违约程度</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例如一般违约和严重违约</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等维度进行分类</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而对违约事项的责任承担处理措施则在《范本》的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违约责任</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章节中予以集中或分类约定。】</w:t>
      </w:r>
    </w:p>
    <w:p w14:paraId="0824AE6D">
      <w:pPr>
        <w:keepNext w:val="0"/>
        <w:keepLines w:val="0"/>
        <w:pageBreakBefore w:val="0"/>
        <w:widowControl w:val="0"/>
        <w:kinsoku/>
        <w:wordWrap/>
        <w:overflowPunct/>
        <w:topLinePunct w:val="0"/>
        <w:bidi w:val="0"/>
        <w:spacing w:before="0" w:beforeLines="0" w:beforeAutospacing="0" w:after="0" w:afterLines="0" w:afterAutospacing="0" w:line="360" w:lineRule="auto"/>
        <w:ind w:firstLine="666" w:firstLineChars="303"/>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br w:type="page"/>
      </w:r>
    </w:p>
    <w:p w14:paraId="5BD5B860">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rPr>
      </w:pPr>
      <w:bookmarkStart w:id="559" w:name="_Toc891790699"/>
      <w:r>
        <w:rPr>
          <w:rFonts w:hint="eastAsia" w:ascii="宋体" w:hAnsi="宋体" w:eastAsia="宋体" w:cs="宋体"/>
          <w:caps w:val="0"/>
          <w:smallCaps w:val="0"/>
          <w:color w:val="auto"/>
          <w:sz w:val="28"/>
          <w:highlight w:val="none"/>
        </w:rPr>
        <w:t>项目前期工作</w:t>
      </w:r>
      <w:bookmarkEnd w:id="559"/>
    </w:p>
    <w:p w14:paraId="4CAAA93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【说明：按新机制明确的特许经营</w:t>
      </w:r>
      <w:r>
        <w:rPr>
          <w:rFonts w:hint="eastAsia" w:ascii="宋体" w:hAnsi="宋体" w:eastAsia="宋体" w:cs="宋体"/>
          <w:caps w:val="0"/>
          <w:smallCaps w:val="0"/>
          <w:color w:val="auto"/>
          <w:highlight w:val="none"/>
          <w:lang w:eastAsia="zh-CN"/>
        </w:rPr>
        <w:t>实施流程</w:t>
      </w:r>
      <w:r>
        <w:rPr>
          <w:rFonts w:hint="eastAsia" w:ascii="宋体" w:hAnsi="宋体" w:eastAsia="宋体" w:cs="宋体"/>
          <w:caps w:val="0"/>
          <w:smallCaps w:val="0"/>
          <w:color w:val="auto"/>
          <w:highlight w:val="none"/>
        </w:rPr>
        <w:t>，需在选</w:t>
      </w:r>
      <w:r>
        <w:rPr>
          <w:rFonts w:hint="eastAsia" w:ascii="宋体" w:hAnsi="宋体" w:eastAsia="宋体" w:cs="宋体"/>
          <w:caps w:val="0"/>
          <w:smallCaps w:val="0"/>
          <w:color w:val="auto"/>
          <w:highlight w:val="none"/>
          <w:lang w:eastAsia="zh-CN"/>
        </w:rPr>
        <w:t>定</w:t>
      </w:r>
      <w:r>
        <w:rPr>
          <w:rFonts w:hint="eastAsia" w:ascii="宋体" w:hAnsi="宋体" w:eastAsia="宋体" w:cs="宋体"/>
          <w:caps w:val="0"/>
          <w:smallCaps w:val="0"/>
          <w:color w:val="auto"/>
          <w:highlight w:val="none"/>
        </w:rPr>
        <w:t>特许经营者后</w:t>
      </w:r>
      <w:r>
        <w:rPr>
          <w:rFonts w:hint="eastAsia" w:ascii="宋体" w:hAnsi="宋体" w:eastAsia="宋体" w:cs="宋体"/>
          <w:caps w:val="0"/>
          <w:smallCaps w:val="0"/>
          <w:color w:val="auto"/>
          <w:highlight w:val="none"/>
          <w:lang w:eastAsia="zh-CN"/>
        </w:rPr>
        <w:t>由特许经营者</w:t>
      </w:r>
      <w:r>
        <w:rPr>
          <w:rFonts w:hint="eastAsia" w:ascii="宋体" w:hAnsi="宋体" w:eastAsia="宋体" w:cs="宋体"/>
          <w:caps w:val="0"/>
          <w:smallCaps w:val="0"/>
          <w:color w:val="auto"/>
          <w:highlight w:val="none"/>
        </w:rPr>
        <w:t>履行项目投资管理</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程序，因此特许经营者</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或项目公司</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需按项目法人责任制要求和协议约定承担项目前期工作相关工作职责，以及相关投资支出。参考如下：】</w:t>
      </w:r>
    </w:p>
    <w:p w14:paraId="484BFB2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0" w:name="_Toc2044937174"/>
      <w:r>
        <w:rPr>
          <w:rFonts w:hint="eastAsia" w:ascii="宋体" w:hAnsi="宋体" w:eastAsia="宋体" w:cs="宋体"/>
          <w:bCs/>
          <w:caps w:val="0"/>
          <w:smallCaps w:val="0"/>
          <w:color w:val="auto"/>
          <w:sz w:val="28"/>
          <w:highlight w:val="none"/>
        </w:rPr>
        <w:t>项目前期工作范围和实施分工</w:t>
      </w:r>
      <w:bookmarkEnd w:id="560"/>
    </w:p>
    <w:p w14:paraId="5D3EA7A4">
      <w:pPr>
        <w:keepNext w:val="0"/>
        <w:keepLines w:val="0"/>
        <w:pageBreakBefore w:val="0"/>
        <w:widowControl w:val="0"/>
        <w:numPr>
          <w:ilvl w:val="0"/>
          <w:numId w:val="31"/>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纳入本项目实施范围</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计入本项目总投资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的项目前期工作包括【具体约定】。</w:t>
      </w:r>
    </w:p>
    <w:p w14:paraId="47B3F299">
      <w:pPr>
        <w:keepNext w:val="0"/>
        <w:keepLines w:val="0"/>
        <w:pageBreakBefore w:val="0"/>
        <w:widowControl w:val="0"/>
        <w:numPr>
          <w:ilvl w:val="0"/>
          <w:numId w:val="31"/>
        </w:numPr>
        <w:tabs>
          <w:tab w:val="left" w:pos="993"/>
          <w:tab w:val="left" w:pos="1134"/>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甲方和政府方与乙方分别承担的本项目前期工作分工安排是：【具体约定】。</w:t>
      </w:r>
    </w:p>
    <w:p w14:paraId="2818A13B">
      <w:pPr>
        <w:keepNext w:val="0"/>
        <w:keepLines w:val="0"/>
        <w:pageBreakBefore w:val="0"/>
        <w:widowControl w:val="0"/>
        <w:tabs>
          <w:tab w:val="left" w:pos="993"/>
          <w:tab w:val="left" w:pos="1134"/>
        </w:tabs>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【说明：纳入特许经营项目投资范围的前期工作均应由乙方组织实施和承担全部投资经费。甲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乙双方可根据项目实际情况约定具体实施分工安排、进度要求、前期工作质量责任机制和前期经费使用控制方法等。在协议生效后，项目前期工作安排的可能方式包括：政府方将已完成的前期工作移交乙方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由乙方承担费用</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、政府方将正在承担的前期工作转交乙方实施或继续由政府方实施、对尚未开展的部分前期工作经乙方同意由政府方组织实施等。】</w:t>
      </w:r>
    </w:p>
    <w:p w14:paraId="762FA9A7">
      <w:pPr>
        <w:keepNext w:val="0"/>
        <w:keepLines w:val="0"/>
        <w:pageBreakBefore w:val="0"/>
        <w:widowControl w:val="0"/>
        <w:numPr>
          <w:ilvl w:val="0"/>
          <w:numId w:val="31"/>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甲方和政府方承担的前期工作支出纳入本项目总投资，应符合项目估</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概</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算编制规定；除另有来源安排或约定外，甲方为本项目编制特许经营方案等而发生的相关费用可纳入项目总投资。</w:t>
      </w:r>
    </w:p>
    <w:p w14:paraId="235F9A0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1" w:name="_Toc1248651008"/>
      <w:r>
        <w:rPr>
          <w:rFonts w:hint="eastAsia" w:ascii="宋体" w:hAnsi="宋体" w:eastAsia="宋体" w:cs="宋体"/>
          <w:bCs/>
          <w:caps w:val="0"/>
          <w:smallCaps w:val="0"/>
          <w:color w:val="auto"/>
          <w:sz w:val="28"/>
          <w:highlight w:val="none"/>
        </w:rPr>
        <w:t>前期工作要求</w:t>
      </w:r>
      <w:bookmarkEnd w:id="561"/>
    </w:p>
    <w:p w14:paraId="67A2AEEE">
      <w:pPr>
        <w:keepNext w:val="0"/>
        <w:keepLines w:val="0"/>
        <w:pageBreakBefore w:val="0"/>
        <w:widowControl w:val="0"/>
        <w:numPr>
          <w:ilvl w:val="0"/>
          <w:numId w:val="3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协议生效后乙方即应及时组织安排和启动项目前期工作，并在协议生效后【天数】日内向甲方提交一份前期工作计划。前期工作计划应明确前期工作内容、各方分工、时间安排和前期工作进度目标等，经甲方审定后作为前期工作进度控制和监管的依据。乙方须定期【具体约定】向甲方报告项目前期工作进展情况。甲方有权对乙方项目前期工作进度情况进行监督检查和提出建议。</w:t>
      </w:r>
    </w:p>
    <w:p w14:paraId="6DA5D04B">
      <w:pPr>
        <w:keepNext w:val="0"/>
        <w:keepLines w:val="0"/>
        <w:pageBreakBefore w:val="0"/>
        <w:widowControl w:val="0"/>
        <w:numPr>
          <w:ilvl w:val="0"/>
          <w:numId w:val="3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甲方和乙方承担的前期工作均应符合有关法律、行政法规、标准规范等要求，项目前期工作内容和深度应达到相应要求；前期工作按规定对承担单位有资质条件要求的相关工作，应由有资质的单位承担。</w:t>
      </w:r>
    </w:p>
    <w:p w14:paraId="20B1C759">
      <w:pPr>
        <w:keepNext w:val="0"/>
        <w:keepLines w:val="0"/>
        <w:pageBreakBefore w:val="0"/>
        <w:widowControl w:val="0"/>
        <w:numPr>
          <w:ilvl w:val="0"/>
          <w:numId w:val="3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乙方应对本项目全部前期工作质量、进度和投资控制负总责，政府方须就其分工组织实施的前期工作质量、进度和相应的经费支出控制负责【双方约定具体的责任承担方式】。</w:t>
      </w:r>
    </w:p>
    <w:p w14:paraId="2A3784E4">
      <w:pPr>
        <w:keepNext w:val="0"/>
        <w:keepLines w:val="0"/>
        <w:pageBreakBefore w:val="0"/>
        <w:widowControl w:val="0"/>
        <w:numPr>
          <w:ilvl w:val="0"/>
          <w:numId w:val="3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在前期工作过程中</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对于外部环境和条件的重大变化</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如国家相关法律法规、行业产业和财税金融政策变化等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，乙方应及时评估对本项目的影响并向甲方报告。</w:t>
      </w:r>
    </w:p>
    <w:p w14:paraId="496F8938">
      <w:pPr>
        <w:keepNext w:val="0"/>
        <w:keepLines w:val="0"/>
        <w:pageBreakBefore w:val="0"/>
        <w:widowControl w:val="0"/>
        <w:numPr>
          <w:ilvl w:val="0"/>
          <w:numId w:val="3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对于项目前期已经取得的相关批复文件，如涉及需要变更批复对象为乙方时，乙方应依法办理变更手续，甲方应给予必要支持和便利。</w:t>
      </w:r>
    </w:p>
    <w:p w14:paraId="63429688">
      <w:pPr>
        <w:keepNext w:val="0"/>
        <w:keepLines w:val="0"/>
        <w:pageBreakBefore w:val="0"/>
        <w:widowControl w:val="0"/>
        <w:numPr>
          <w:ilvl w:val="0"/>
          <w:numId w:val="3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乙方应按审定计划完成项目前期工作，甲方应按审定的计划保障乙方开展前期工作所必</w:t>
      </w:r>
      <w:r>
        <w:rPr>
          <w:rFonts w:hint="eastAsia" w:ascii="宋体" w:hAnsi="宋体" w:eastAsia="宋体" w:cs="宋体"/>
          <w:caps w:val="0"/>
          <w:smallCaps w:val="0"/>
          <w:color w:val="auto"/>
          <w:highlight w:val="none"/>
          <w:lang w:eastAsia="zh-CN"/>
        </w:rPr>
        <w:t>需</w:t>
      </w:r>
      <w:r>
        <w:rPr>
          <w:rFonts w:hint="eastAsia" w:ascii="宋体" w:hAnsi="宋体" w:eastAsia="宋体" w:cs="宋体"/>
          <w:caps w:val="0"/>
          <w:smallCaps w:val="0"/>
          <w:color w:val="auto"/>
          <w:highlight w:val="none"/>
        </w:rPr>
        <w:t>的合理时间，并为乙方开展前期工作提供相关协助、协调等支持帮助。</w:t>
      </w:r>
    </w:p>
    <w:p w14:paraId="4BC37F07">
      <w:pPr>
        <w:keepNext w:val="0"/>
        <w:keepLines w:val="0"/>
        <w:pageBreakBefore w:val="0"/>
        <w:widowControl w:val="0"/>
        <w:numPr>
          <w:ilvl w:val="0"/>
          <w:numId w:val="32"/>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除非以下原因所导致，如项目前期工作出现滞后、返工等情形，以及由此可能进一步导致的项目进度延误、乙方费用增加等风险和损失全部由乙方承担，造成违约则应承担违约责任：</w:t>
      </w:r>
    </w:p>
    <w:p w14:paraId="230352EB">
      <w:pPr>
        <w:keepNext w:val="0"/>
        <w:keepLines w:val="0"/>
        <w:pageBreakBefore w:val="0"/>
        <w:widowControl w:val="0"/>
        <w:numPr>
          <w:ilvl w:val="0"/>
          <w:numId w:val="3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甲方或政府方的过错</w:t>
      </w:r>
      <w:r>
        <w:rPr>
          <w:rFonts w:hint="eastAsia" w:ascii="宋体" w:hAnsi="宋体" w:eastAsia="宋体" w:cs="宋体"/>
          <w:caps w:val="0"/>
          <w:smallCaps w:val="0"/>
          <w:color w:val="auto"/>
          <w:highlight w:val="none"/>
          <w:lang w:eastAsia="zh-CN"/>
        </w:rPr>
        <w:t>；</w:t>
      </w:r>
    </w:p>
    <w:p w14:paraId="1C515DDF">
      <w:pPr>
        <w:keepNext w:val="0"/>
        <w:keepLines w:val="0"/>
        <w:pageBreakBefore w:val="0"/>
        <w:widowControl w:val="0"/>
        <w:numPr>
          <w:ilvl w:val="0"/>
          <w:numId w:val="3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val="en-US" w:eastAsia="zh-CN"/>
        </w:rPr>
        <w:t>政府方调整本项目建设地点、主要建设内容、建设规模或建</w:t>
      </w:r>
      <w:r>
        <w:rPr>
          <w:rFonts w:hint="eastAsia" w:ascii="宋体" w:hAnsi="宋体" w:eastAsia="宋体" w:cs="宋体"/>
          <w:caps w:val="0"/>
          <w:smallCaps w:val="0"/>
          <w:color w:val="auto"/>
          <w:highlight w:val="none"/>
        </w:rPr>
        <w:t>设标准；</w:t>
      </w:r>
    </w:p>
    <w:p w14:paraId="758E02DC">
      <w:pPr>
        <w:keepNext w:val="0"/>
        <w:keepLines w:val="0"/>
        <w:pageBreakBefore w:val="0"/>
        <w:widowControl w:val="0"/>
        <w:numPr>
          <w:ilvl w:val="0"/>
          <w:numId w:val="3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政府方权限范围内涉及的地方政策变化、本项目规划或其他相关规划调整。</w:t>
      </w:r>
    </w:p>
    <w:p w14:paraId="587F019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2" w:name="_Toc678251878"/>
      <w:r>
        <w:rPr>
          <w:rFonts w:hint="eastAsia" w:ascii="宋体" w:hAnsi="宋体" w:eastAsia="宋体" w:cs="宋体"/>
          <w:bCs/>
          <w:caps w:val="0"/>
          <w:smallCaps w:val="0"/>
          <w:color w:val="auto"/>
          <w:sz w:val="28"/>
          <w:highlight w:val="none"/>
        </w:rPr>
        <w:t>甲方提供的前期资料</w:t>
      </w:r>
      <w:bookmarkEnd w:id="562"/>
    </w:p>
    <w:p w14:paraId="6D7CEE4A">
      <w:pPr>
        <w:keepNext w:val="0"/>
        <w:keepLines w:val="0"/>
        <w:pageBreakBefore w:val="0"/>
        <w:widowControl w:val="0"/>
        <w:numPr>
          <w:ilvl w:val="0"/>
          <w:numId w:val="34"/>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本协议生效后【时间期间】之内，甲方应向乙方移交项目前期资料。</w:t>
      </w:r>
    </w:p>
    <w:p w14:paraId="12D031B5">
      <w:pPr>
        <w:keepNext w:val="0"/>
        <w:keepLines w:val="0"/>
        <w:pageBreakBefore w:val="0"/>
        <w:widowControl w:val="0"/>
        <w:numPr>
          <w:ilvl w:val="0"/>
          <w:numId w:val="34"/>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甲方向乙方移交的前期资料，以及前期由甲方协助乙方从相关方面获得的其他资料，甲方不承担因乙方直接使用或间接利用此类资料而导致失误或损失的责任，但甲方存在故意或重大过失导致的隐瞒或欺骗、重大失实或误导、重大不实披露情形的除外。</w:t>
      </w:r>
    </w:p>
    <w:p w14:paraId="3D1616C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3" w:name="_Toc33524077"/>
      <w:r>
        <w:rPr>
          <w:rFonts w:hint="eastAsia" w:ascii="宋体" w:hAnsi="宋体" w:eastAsia="宋体" w:cs="宋体"/>
          <w:bCs/>
          <w:caps w:val="0"/>
          <w:smallCaps w:val="0"/>
          <w:color w:val="auto"/>
          <w:sz w:val="28"/>
          <w:highlight w:val="none"/>
        </w:rPr>
        <w:t>履行</w:t>
      </w:r>
      <w:r>
        <w:rPr>
          <w:rFonts w:hint="eastAsia" w:ascii="宋体" w:hAnsi="宋体" w:eastAsia="宋体" w:cs="宋体"/>
          <w:bCs/>
          <w:caps w:val="0"/>
          <w:smallCaps w:val="0"/>
          <w:color w:val="auto"/>
          <w:sz w:val="28"/>
          <w:highlight w:val="none"/>
          <w:lang w:eastAsia="zh-CN"/>
        </w:rPr>
        <w:t>审核</w:t>
      </w:r>
      <w:r>
        <w:rPr>
          <w:rFonts w:hint="eastAsia" w:ascii="宋体" w:hAnsi="宋体" w:eastAsia="宋体" w:cs="宋体"/>
          <w:bCs/>
          <w:caps w:val="0"/>
          <w:smallCaps w:val="0"/>
          <w:color w:val="auto"/>
          <w:sz w:val="28"/>
          <w:highlight w:val="none"/>
        </w:rPr>
        <w:t>程序</w:t>
      </w:r>
      <w:bookmarkEnd w:id="563"/>
    </w:p>
    <w:p w14:paraId="11115358">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乙方应按规定履行项目</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程序，获得政府有权部门审批、核准通过的批复，或按规定完成项目备案。</w:t>
      </w:r>
    </w:p>
    <w:p w14:paraId="66D99078">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乙方实质性开始履行审核程序的时间不应晚于【年月日】；该时间按有关部门正式受理本项目审批、核准或备案请求的时间确定。</w:t>
      </w:r>
    </w:p>
    <w:p w14:paraId="20FE1A7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【说明：甲、乙双方也可增加约定前期工作过程中其他重要时间节点作为甲方对项目前期工作实施进度监管的依据。】</w:t>
      </w:r>
    </w:p>
    <w:p w14:paraId="558674D9">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乙方在前期工作中所确定的项目建设内容和规模、项目产出</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服务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方案应符合特许经营者</w:t>
      </w:r>
      <w:r>
        <w:rPr>
          <w:rFonts w:hint="eastAsia" w:ascii="宋体" w:hAnsi="宋体" w:eastAsia="宋体" w:cs="宋体"/>
          <w:caps w:val="0"/>
          <w:smallCaps w:val="0"/>
          <w:color w:val="auto"/>
          <w:highlight w:val="none"/>
          <w:lang w:eastAsia="zh-CN"/>
        </w:rPr>
        <w:t>公开竞争</w:t>
      </w:r>
      <w:r>
        <w:rPr>
          <w:rFonts w:hint="eastAsia" w:ascii="宋体" w:hAnsi="宋体" w:eastAsia="宋体" w:cs="宋体"/>
          <w:caps w:val="0"/>
          <w:smallCaps w:val="0"/>
          <w:color w:val="auto"/>
          <w:highlight w:val="none"/>
        </w:rPr>
        <w:t>文件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如招标文件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的要求或本协议约定。</w:t>
      </w:r>
    </w:p>
    <w:p w14:paraId="537AB1A3">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项目履行</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程序向有关部门正式上报、提交相关报告、申请之前，乙方应提前通知甲方并征得甲方同意后方可上报。</w:t>
      </w:r>
    </w:p>
    <w:p w14:paraId="015B0F98">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如项目履行</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程序未获通过，甲、乙双方应解除本协议。在此情形下，甲、乙双方自行承担各自损失。如属于甲方或政府方原因导致项目未获通过，政府方应按约定【双方具体约定】给予乙方合理补偿；如属于乙方原因导致</w:t>
      </w:r>
      <w:r>
        <w:rPr>
          <w:rFonts w:hint="eastAsia" w:ascii="宋体" w:hAnsi="宋体" w:eastAsia="宋体" w:cs="宋体"/>
          <w:caps w:val="0"/>
          <w:smallCaps w:val="0"/>
          <w:color w:val="auto"/>
          <w:kern w:val="0"/>
          <w:highlight w:val="none"/>
        </w:rPr>
        <w:t>未获通过</w:t>
      </w:r>
      <w:r>
        <w:rPr>
          <w:rFonts w:hint="eastAsia" w:ascii="宋体" w:hAnsi="宋体" w:eastAsia="宋体" w:cs="宋体"/>
          <w:caps w:val="0"/>
          <w:smallCaps w:val="0"/>
          <w:color w:val="auto"/>
          <w:highlight w:val="none"/>
        </w:rPr>
        <w:t>，则乙方尚需承担相应的违约责任【具体约定】。</w:t>
      </w:r>
    </w:p>
    <w:p w14:paraId="75E90DEF">
      <w:pPr>
        <w:keepNext w:val="0"/>
        <w:keepLines w:val="0"/>
        <w:pageBreakBefore w:val="0"/>
        <w:widowControl w:val="0"/>
        <w:numPr>
          <w:ilvl w:val="0"/>
          <w:numId w:val="35"/>
        </w:numPr>
        <w:tabs>
          <w:tab w:val="left" w:pos="993"/>
          <w:tab w:val="left" w:pos="1276"/>
        </w:tabs>
        <w:kinsoku/>
        <w:wordWrap/>
        <w:overflowPunct/>
        <w:topLinePunct w:val="0"/>
        <w:bidi w:val="0"/>
        <w:spacing w:before="0" w:beforeLines="0" w:after="0" w:afterLines="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项目完成审批、核准或备案手续后，如发生变更建设地点、调整主要建设内容和建设标准等重大情形，需经甲、乙双方同意</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之后乙方应报请原审批、核准机关重新履行项目审核程序；必要时乙方应配合甲方重新开展特许经营模式可行性论证和特许经营方案报审工作。</w:t>
      </w:r>
    </w:p>
    <w:p w14:paraId="4F71B68F">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4" w:name="_Toc358182274"/>
      <w:r>
        <w:rPr>
          <w:rFonts w:hint="eastAsia" w:ascii="宋体" w:hAnsi="宋体" w:eastAsia="宋体" w:cs="宋体"/>
          <w:bCs/>
          <w:caps w:val="0"/>
          <w:smallCaps w:val="0"/>
          <w:color w:val="auto"/>
          <w:sz w:val="28"/>
          <w:highlight w:val="none"/>
        </w:rPr>
        <w:t>前期工作违约事项</w:t>
      </w:r>
      <w:bookmarkEnd w:id="564"/>
    </w:p>
    <w:p w14:paraId="074D408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【双方具体约定违约事项，如对前期工作质量、进度、履行投资管理程序等设置违约事项。】</w:t>
      </w:r>
    </w:p>
    <w:p w14:paraId="0011C2EF">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rPr>
      </w:pPr>
      <w:bookmarkStart w:id="565" w:name="_Toc884421318"/>
      <w:r>
        <w:rPr>
          <w:rFonts w:hint="eastAsia" w:ascii="宋体" w:hAnsi="宋体" w:eastAsia="宋体" w:cs="宋体"/>
          <w:caps w:val="0"/>
          <w:smallCaps w:val="0"/>
          <w:color w:val="auto"/>
          <w:sz w:val="28"/>
          <w:highlight w:val="none"/>
        </w:rPr>
        <w:t>项目工程建设</w:t>
      </w:r>
      <w:bookmarkEnd w:id="565"/>
    </w:p>
    <w:p w14:paraId="2B00F67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bookmarkStart w:id="566" w:name="_Toc152946797"/>
      <w:bookmarkStart w:id="567" w:name="_Toc149418790"/>
      <w:r>
        <w:rPr>
          <w:rFonts w:hint="eastAsia" w:ascii="宋体" w:hAnsi="宋体" w:eastAsia="宋体" w:cs="宋体"/>
          <w:caps w:val="0"/>
          <w:smallCaps w:val="0"/>
          <w:color w:val="auto"/>
          <w:highlight w:val="none"/>
        </w:rPr>
        <w:t>【说明：本章对项目建设实施相关事项进行约定，项目建设包括项目建设准备、建设实施和建设完成三个有机衔接的环节，乙方应按相关技术标准和规范要求，实现项目建设的质量、工期、安全和投资控制目标，并履行相关项目验收程序。参考条款如下：】</w:t>
      </w:r>
      <w:bookmarkEnd w:id="566"/>
    </w:p>
    <w:p w14:paraId="545C4390">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8" w:name="_Toc118536639"/>
      <w:r>
        <w:rPr>
          <w:rFonts w:hint="eastAsia" w:ascii="宋体" w:hAnsi="宋体" w:eastAsia="宋体" w:cs="宋体"/>
          <w:bCs/>
          <w:caps w:val="0"/>
          <w:smallCaps w:val="0"/>
          <w:color w:val="auto"/>
          <w:sz w:val="28"/>
          <w:highlight w:val="none"/>
        </w:rPr>
        <w:t>政府方提供的建设条件</w:t>
      </w:r>
      <w:bookmarkEnd w:id="567"/>
      <w:bookmarkEnd w:id="568"/>
    </w:p>
    <w:p w14:paraId="547976DC">
      <w:pPr>
        <w:pStyle w:val="232"/>
        <w:keepNext w:val="0"/>
        <w:keepLines w:val="0"/>
        <w:pageBreakBefore w:val="0"/>
        <w:widowControl w:val="0"/>
        <w:numPr>
          <w:ilvl w:val="0"/>
          <w:numId w:val="3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政府方承诺为本项目建设提供的条件包括：【】。</w:t>
      </w:r>
    </w:p>
    <w:p w14:paraId="5DA6273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【说明：在此条列明政府方为本项目提供的建设条件；明确政府方所提供各种条件的提供地点、技术规格、提供或移交方式、提供进度计划、是否收取费用和费用标准等事项。】</w:t>
      </w:r>
    </w:p>
    <w:p w14:paraId="6F0579A2">
      <w:pPr>
        <w:pStyle w:val="232"/>
        <w:keepNext w:val="0"/>
        <w:keepLines w:val="0"/>
        <w:pageBreakBefore w:val="0"/>
        <w:widowControl w:val="0"/>
        <w:numPr>
          <w:ilvl w:val="0"/>
          <w:numId w:val="3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如政府方未能按上述约定提供所承诺的建设条件并导致项目建设受到不利影响，甲方应给予乙方合理补偿。</w:t>
      </w:r>
    </w:p>
    <w:p w14:paraId="00363D16">
      <w:pPr>
        <w:pStyle w:val="232"/>
        <w:keepNext w:val="0"/>
        <w:keepLines w:val="0"/>
        <w:pageBreakBefore w:val="0"/>
        <w:widowControl w:val="0"/>
        <w:numPr>
          <w:ilvl w:val="0"/>
          <w:numId w:val="3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对于不属于政府方承诺提供的建设条件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甲方可为乙方落实此类建设条件提供帮助，但不应视为甲方或政府方需承担提供责任。</w:t>
      </w:r>
    </w:p>
    <w:p w14:paraId="1869620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69" w:name="_Toc1850742617"/>
      <w:r>
        <w:rPr>
          <w:rFonts w:hint="eastAsia" w:ascii="宋体" w:hAnsi="宋体" w:eastAsia="宋体" w:cs="宋体"/>
          <w:bCs/>
          <w:caps w:val="0"/>
          <w:smallCaps w:val="0"/>
          <w:color w:val="auto"/>
          <w:sz w:val="28"/>
          <w:highlight w:val="none"/>
        </w:rPr>
        <w:t>项目建设总要求</w:t>
      </w:r>
      <w:bookmarkEnd w:id="569"/>
    </w:p>
    <w:p w14:paraId="143398CD">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乙方应遵守有关法律、行政法规和标准规范的规定，按照有关部门审查、审定、审批的项目技术文件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包括初步设计报告等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和批准的建设规模、建设标准和本协议约定进度计划完成项目建设。</w:t>
      </w:r>
    </w:p>
    <w:p w14:paraId="6D04D133">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乙方应规范开展和管理本阶段涉及的勘察设计工作（如初步设计、施工图设计等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按规定履行相关设计文件的审查审批程序；对于政府投资项目应按规定完成初步设计批复。确保勘察设计质量符合国家和地方技术规范和技术标准，落实相关强制性标准要求。如项目存在地质条件复杂、施工风险较大、维修养护困难等特点，应加强勘察深度，结合施工、运维需求细化设计方案，强化建设风险过程管控。</w:t>
      </w:r>
    </w:p>
    <w:p w14:paraId="46C76FAA">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是本项目质量、生态环境和安全生产责任主体，须履行好建设全过程质量、生态环境和安全责任，依法为本项目建立健全质量保证体系、生态环境保护和安全保证体系，并应建立规范的工程档案管理制度；督促参建各方落实工程质量、生态环境和安全的相关主体责任，确保项目工程质量、生态环境和安全工作。项目建设期间乙方应按相关要求做好安全文明施工管理工作。</w:t>
      </w:r>
    </w:p>
    <w:p w14:paraId="599ADEE5">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除本协议另有约定外，乙方应按规定办理和监督本项目相关参建单位按规定办理工程建设相关手续。未按规定取得必备的前置要件前，项目不得开工建设。甲方依法向乙方提供相关协助和配合。</w:t>
      </w:r>
    </w:p>
    <w:p w14:paraId="509582A5">
      <w:pPr>
        <w:keepNext w:val="0"/>
        <w:keepLines w:val="0"/>
        <w:pageBreakBefore w:val="0"/>
        <w:widowControl w:val="0"/>
        <w:numPr>
          <w:ilvl w:val="0"/>
          <w:numId w:val="37"/>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甲方鼓励和支持乙方根据项目特点和管理需要在工程建设管理中积极推广应用数字化技术。如甲方应用数字化技术开展项目相关监督管理工作，乙方应予以必要配合【具体约定乙方配合事宜】。</w:t>
      </w:r>
    </w:p>
    <w:p w14:paraId="5A8FD4DF">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定期【】向甲方报送项目建设情况工作报告，接受甲方和政府相关部门的监督管理。甲方有权就本项目工程建设管理情况按本协议约定安排现场检查或定期巡查活动【双方具体约定，包括检查巡查的内容范围、时间或周期安排、组织方式等】，乙方应予以配合。</w:t>
      </w:r>
    </w:p>
    <w:p w14:paraId="1213755E">
      <w:pPr>
        <w:keepNext w:val="0"/>
        <w:keepLines w:val="0"/>
        <w:pageBreakBefore w:val="0"/>
        <w:widowControl w:val="0"/>
        <w:numPr>
          <w:ilvl w:val="0"/>
          <w:numId w:val="37"/>
        </w:numPr>
        <w:tabs>
          <w:tab w:val="left" w:pos="993"/>
          <w:tab w:val="left" w:pos="1276"/>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乙方应按规定及时</w:t>
      </w:r>
      <w:r>
        <w:rPr>
          <w:rFonts w:hint="eastAsia" w:ascii="宋体" w:hAnsi="宋体" w:eastAsia="宋体" w:cs="宋体"/>
          <w:caps w:val="0"/>
          <w:smallCaps w:val="0"/>
          <w:color w:val="auto"/>
          <w:highlight w:val="none"/>
          <w:lang w:eastAsia="zh-CN"/>
        </w:rPr>
        <w:t>办理</w:t>
      </w:r>
      <w:r>
        <w:rPr>
          <w:rFonts w:hint="eastAsia" w:ascii="宋体" w:hAnsi="宋体" w:eastAsia="宋体" w:cs="宋体"/>
          <w:caps w:val="0"/>
          <w:smallCaps w:val="0"/>
          <w:color w:val="auto"/>
          <w:highlight w:val="none"/>
        </w:rPr>
        <w:t>本项目建设各种</w:t>
      </w:r>
      <w:r>
        <w:rPr>
          <w:rFonts w:hint="eastAsia" w:ascii="宋体" w:hAnsi="宋体" w:eastAsia="宋体" w:cs="宋体"/>
          <w:caps w:val="0"/>
          <w:smallCaps w:val="0"/>
          <w:color w:val="auto"/>
          <w:highlight w:val="none"/>
          <w:lang w:eastAsia="zh-CN"/>
        </w:rPr>
        <w:t>竣工</w:t>
      </w:r>
      <w:r>
        <w:rPr>
          <w:rFonts w:hint="eastAsia" w:ascii="宋体" w:hAnsi="宋体" w:eastAsia="宋体" w:cs="宋体"/>
          <w:caps w:val="0"/>
          <w:smallCaps w:val="0"/>
          <w:color w:val="auto"/>
          <w:highlight w:val="none"/>
        </w:rPr>
        <w:t>验收程序，甲方应主动予以项目竣工验收支持。</w:t>
      </w:r>
    </w:p>
    <w:p w14:paraId="7489C1C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70" w:name="_Toc1507512652"/>
      <w:r>
        <w:rPr>
          <w:rFonts w:hint="eastAsia" w:ascii="宋体" w:hAnsi="宋体" w:eastAsia="宋体" w:cs="宋体"/>
          <w:bCs/>
          <w:caps w:val="0"/>
          <w:smallCaps w:val="0"/>
          <w:color w:val="auto"/>
          <w:sz w:val="28"/>
          <w:highlight w:val="none"/>
        </w:rPr>
        <w:t>土地征收和补偿安置</w:t>
      </w:r>
      <w:bookmarkEnd w:id="570"/>
    </w:p>
    <w:p w14:paraId="172369CF">
      <w:pPr>
        <w:keepNext w:val="0"/>
        <w:keepLines w:val="0"/>
        <w:pageBreakBefore w:val="0"/>
        <w:widowControl w:val="0"/>
        <w:tabs>
          <w:tab w:val="left" w:pos="567"/>
        </w:tabs>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【说明：特许经营协议对项目土地征收和补偿安置相关事宜进行约定，应符合适用法律的要求。】</w:t>
      </w:r>
    </w:p>
    <w:p w14:paraId="1D4A9055">
      <w:pPr>
        <w:keepNext w:val="0"/>
        <w:keepLines w:val="0"/>
        <w:pageBreakBefore w:val="0"/>
        <w:widowControl w:val="0"/>
        <w:numPr>
          <w:ilvl w:val="0"/>
          <w:numId w:val="38"/>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土地征收和补偿安置投资应按相关规定</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纳入本项目投资概算并按规定由乙方承担。</w:t>
      </w:r>
    </w:p>
    <w:p w14:paraId="363E8F0C">
      <w:pPr>
        <w:keepNext w:val="0"/>
        <w:keepLines w:val="0"/>
        <w:pageBreakBefore w:val="0"/>
        <w:widowControl w:val="0"/>
        <w:numPr>
          <w:ilvl w:val="0"/>
          <w:numId w:val="38"/>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w:t>
      </w:r>
      <w:bookmarkStart w:id="571" w:name="_Hlk154034136"/>
      <w:r>
        <w:rPr>
          <w:rFonts w:hint="eastAsia" w:ascii="宋体" w:hAnsi="宋体" w:eastAsia="宋体" w:cs="宋体"/>
          <w:caps w:val="0"/>
          <w:smallCaps w:val="0"/>
          <w:color w:val="auto"/>
          <w:highlight w:val="none"/>
        </w:rPr>
        <w:t>建设用地征收所涉及补偿安置等工作</w:t>
      </w:r>
      <w:bookmarkEnd w:id="571"/>
      <w:r>
        <w:rPr>
          <w:rFonts w:hint="eastAsia" w:ascii="宋体" w:hAnsi="宋体" w:eastAsia="宋体" w:cs="宋体"/>
          <w:caps w:val="0"/>
          <w:smallCaps w:val="0"/>
          <w:color w:val="auto"/>
          <w:highlight w:val="none"/>
        </w:rPr>
        <w:t>由政府方负责组织实施。【乙方应按规定</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与</w:t>
      </w:r>
      <w:bookmarkStart w:id="572" w:name="_Hlk152752194"/>
      <w:r>
        <w:rPr>
          <w:rFonts w:hint="eastAsia" w:ascii="宋体" w:hAnsi="宋体" w:eastAsia="宋体" w:cs="宋体"/>
          <w:caps w:val="0"/>
          <w:smallCaps w:val="0"/>
          <w:color w:val="auto"/>
          <w:highlight w:val="none"/>
        </w:rPr>
        <w:t>政府</w:t>
      </w:r>
      <w:bookmarkEnd w:id="572"/>
      <w:r>
        <w:rPr>
          <w:rFonts w:hint="eastAsia" w:ascii="宋体" w:hAnsi="宋体" w:eastAsia="宋体" w:cs="宋体"/>
          <w:caps w:val="0"/>
          <w:smallCaps w:val="0"/>
          <w:color w:val="auto"/>
          <w:highlight w:val="none"/>
        </w:rPr>
        <w:t>方相关部门就项目用地征收和补偿安置进度控制、投资费用支出和控制、乙方应负责或承担的配合工作、相关责权利安排、工作协调机制等事宜签订协议。】</w:t>
      </w:r>
    </w:p>
    <w:p w14:paraId="3DADCA08">
      <w:pPr>
        <w:keepNext w:val="0"/>
        <w:keepLines w:val="0"/>
        <w:pageBreakBefore w:val="0"/>
        <w:widowControl w:val="0"/>
        <w:numPr>
          <w:ilvl w:val="0"/>
          <w:numId w:val="38"/>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【其他约定】</w:t>
      </w:r>
    </w:p>
    <w:p w14:paraId="30A6371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73" w:name="_Toc554819417"/>
      <w:r>
        <w:rPr>
          <w:rFonts w:hint="eastAsia" w:ascii="宋体" w:hAnsi="宋体" w:eastAsia="宋体" w:cs="宋体"/>
          <w:bCs/>
          <w:caps w:val="0"/>
          <w:smallCaps w:val="0"/>
          <w:color w:val="auto"/>
          <w:sz w:val="28"/>
          <w:highlight w:val="none"/>
        </w:rPr>
        <w:t>进度控制和特许经营期调整</w:t>
      </w:r>
      <w:bookmarkEnd w:id="573"/>
    </w:p>
    <w:p w14:paraId="2646AAB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【说明：本条提供了</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对特许经营项目进度监管的参考方法和相应的参考条款，目标是通过协议约定对甲、乙双方承担的工期变化责任、是否和如何调整乙方特许经营期限</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包括运营期限</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形成共识。具体项目也可约定采用其他方法实施进度监管。】</w:t>
      </w:r>
    </w:p>
    <w:p w14:paraId="42B62439">
      <w:pPr>
        <w:pStyle w:val="5"/>
        <w:keepNext w:val="0"/>
        <w:keepLines w:val="0"/>
        <w:pageBreakBefore w:val="0"/>
        <w:widowControl w:val="0"/>
        <w:numPr>
          <w:ilvl w:val="2"/>
          <w:numId w:val="3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约定完工日</w:t>
      </w:r>
    </w:p>
    <w:p w14:paraId="1FAA0C1A">
      <w:pPr>
        <w:keepNext w:val="0"/>
        <w:keepLines w:val="0"/>
        <w:pageBreakBefore w:val="0"/>
        <w:widowControl w:val="0"/>
        <w:numPr>
          <w:ilvl w:val="0"/>
          <w:numId w:val="4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乙方应在约定完工日或之前完成项目建设，达到项目在约定完工日应当实现的建设进度要求。</w:t>
      </w:r>
    </w:p>
    <w:p w14:paraId="4E90E086">
      <w:pPr>
        <w:keepNext w:val="0"/>
        <w:keepLines w:val="0"/>
        <w:pageBreakBefore w:val="0"/>
        <w:widowControl w:val="0"/>
        <w:numPr>
          <w:ilvl w:val="0"/>
          <w:numId w:val="4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
          <w:caps w:val="0"/>
          <w:smallCaps w:val="0"/>
          <w:color w:val="auto"/>
          <w:highlight w:val="none"/>
        </w:rPr>
      </w:pPr>
      <w:r>
        <w:rPr>
          <w:rFonts w:hint="eastAsia" w:ascii="宋体" w:hAnsi="宋体" w:eastAsia="宋体" w:cs="宋体"/>
          <w:caps w:val="0"/>
          <w:smallCaps w:val="0"/>
          <w:color w:val="auto"/>
          <w:highlight w:val="none"/>
        </w:rPr>
        <w:t>如出现本协议甲方同意的延期情形，则约定完工日日期应结合甲方同意的延期、甲方对乙方采取的工期补偿措施</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等因素</w:t>
      </w:r>
      <w:r>
        <w:rPr>
          <w:rFonts w:hint="eastAsia" w:ascii="宋体" w:hAnsi="宋体" w:eastAsia="宋体" w:cs="宋体"/>
          <w:caps w:val="0"/>
          <w:smallCaps w:val="0"/>
          <w:color w:val="auto"/>
          <w:highlight w:val="none"/>
          <w:lang w:eastAsia="zh-CN"/>
        </w:rPr>
        <w:t>做</w:t>
      </w:r>
      <w:r>
        <w:rPr>
          <w:rFonts w:hint="eastAsia" w:ascii="宋体" w:hAnsi="宋体" w:eastAsia="宋体" w:cs="宋体"/>
          <w:caps w:val="0"/>
          <w:smallCaps w:val="0"/>
          <w:color w:val="auto"/>
          <w:highlight w:val="none"/>
        </w:rPr>
        <w:t>相应调整。</w:t>
      </w:r>
      <w:bookmarkStart w:id="574" w:name="_Hlk153964287"/>
      <w:r>
        <w:rPr>
          <w:rFonts w:hint="eastAsia" w:ascii="宋体" w:hAnsi="宋体" w:eastAsia="宋体" w:cs="宋体"/>
          <w:caps w:val="0"/>
          <w:smallCaps w:val="0"/>
          <w:color w:val="auto"/>
          <w:highlight w:val="none"/>
        </w:rPr>
        <w:t>【说明：约定完工日日期不作前移调整，除非出现项目建设内容减少等特殊情形。】</w:t>
      </w:r>
    </w:p>
    <w:p w14:paraId="3D84BCE4">
      <w:pPr>
        <w:pStyle w:val="5"/>
        <w:keepNext w:val="0"/>
        <w:keepLines w:val="0"/>
        <w:pageBreakBefore w:val="0"/>
        <w:widowControl w:val="0"/>
        <w:numPr>
          <w:ilvl w:val="2"/>
          <w:numId w:val="3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进度计划</w:t>
      </w:r>
      <w:bookmarkEnd w:id="574"/>
    </w:p>
    <w:p w14:paraId="14699C24">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1</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【项目开工前】乙方应向甲方提交一份项目进度计划</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简称《进度计划》</w:t>
      </w:r>
      <w:bookmarkStart w:id="575" w:name="_Hlk152660369"/>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，在该计划中列明项目工期安排关键线路、各里程碑节点计划日期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含约定完工日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等。</w:t>
      </w:r>
      <w:bookmarkEnd w:id="575"/>
      <w:r>
        <w:rPr>
          <w:rFonts w:hint="eastAsia" w:ascii="宋体" w:hAnsi="宋体" w:eastAsia="宋体" w:cs="宋体"/>
          <w:caps w:val="0"/>
          <w:smallCaps w:val="0"/>
          <w:color w:val="auto"/>
          <w:highlight w:val="none"/>
        </w:rPr>
        <w:t>【说明：该《进度计划》作为甲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乙双方根据工期执行情况，调整约定完工日、特许经营期和判定项目工期违约的基本依据。】</w:t>
      </w:r>
    </w:p>
    <w:p w14:paraId="56BF0DA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2</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甲方有权对《进度计划》是否符合本协议对项目建设进度的要求</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包括对约定完工日的目标要求</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进行审核并提出修改要求，乙方应予修订。在项目建设过程中，甲方对《进度计划》的审核、同意或要求乙方修订，旨在监督和推进项目建设，并不减轻或免除乙方的任何义务和责任。</w:t>
      </w:r>
    </w:p>
    <w:p w14:paraId="095CD0DD">
      <w:pPr>
        <w:pStyle w:val="5"/>
        <w:keepNext w:val="0"/>
        <w:keepLines w:val="0"/>
        <w:pageBreakBefore w:val="0"/>
        <w:widowControl w:val="0"/>
        <w:numPr>
          <w:ilvl w:val="2"/>
          <w:numId w:val="3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预期的延误</w:t>
      </w:r>
    </w:p>
    <w:p w14:paraId="329C2F9F">
      <w:pPr>
        <w:keepNext w:val="0"/>
        <w:keepLines w:val="0"/>
        <w:pageBreakBefore w:val="0"/>
        <w:widowControl w:val="0"/>
        <w:numPr>
          <w:ilvl w:val="0"/>
          <w:numId w:val="41"/>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果乙方认为工程建设将不能按照《进度计划》确定的阶段性目标控制点完成，或者工程没有达到预期进度，乙方应立即书面通知甲方。【通知应包括不能或预计不能达到的阶段性目标控制点、延误或预期延误的原因、达到预期目标控制点的预计天数，以及对本项目产生的任何其他能合理预见的影响、乙方采取的或将采取的补救措施等】</w:t>
      </w:r>
    </w:p>
    <w:p w14:paraId="0588A0FA">
      <w:pPr>
        <w:keepNext w:val="0"/>
        <w:keepLines w:val="0"/>
        <w:pageBreakBefore w:val="0"/>
        <w:widowControl w:val="0"/>
        <w:numPr>
          <w:ilvl w:val="0"/>
          <w:numId w:val="41"/>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上述通知的送达并不能解除乙方本协议项下的任何义务。甲方有权要求乙方采取合理的、进一步的措施来减轻延误造成的影响。</w:t>
      </w:r>
    </w:p>
    <w:p w14:paraId="26859F2F">
      <w:pPr>
        <w:keepNext w:val="0"/>
        <w:keepLines w:val="0"/>
        <w:pageBreakBefore w:val="0"/>
        <w:widowControl w:val="0"/>
        <w:numPr>
          <w:ilvl w:val="0"/>
          <w:numId w:val="41"/>
        </w:numPr>
        <w:tabs>
          <w:tab w:val="left" w:pos="993"/>
        </w:tabs>
        <w:kinsoku/>
        <w:wordWrap/>
        <w:overflowPunct/>
        <w:topLinePunct w:val="0"/>
        <w:bidi w:val="0"/>
        <w:spacing w:before="0" w:beforeLines="0" w:after="0" w:afterLines="0" w:line="360" w:lineRule="auto"/>
        <w:ind w:left="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乙方应根据甲方同意的延误请求，及时修订《进度计划》</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说明对工期和约定完工日的影响，并报甲方审核确认。</w:t>
      </w:r>
    </w:p>
    <w:p w14:paraId="169ED885">
      <w:pPr>
        <w:pStyle w:val="5"/>
        <w:keepNext w:val="0"/>
        <w:keepLines w:val="0"/>
        <w:pageBreakBefore w:val="0"/>
        <w:widowControl w:val="0"/>
        <w:numPr>
          <w:ilvl w:val="2"/>
          <w:numId w:val="3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延期事由与获准</w:t>
      </w:r>
    </w:p>
    <w:p w14:paraId="2AADEEEF">
      <w:pPr>
        <w:keepNext w:val="0"/>
        <w:keepLines w:val="0"/>
        <w:pageBreakBefore w:val="0"/>
        <w:widowControl w:val="0"/>
        <w:numPr>
          <w:ilvl w:val="0"/>
          <w:numId w:val="4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若由于下列任何一个事件导致项目进度计划里程碑节点延误，乙方有权要求向后调整约定完工日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建设期相应延长</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6B4B635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【相关事件情形可能包括：</w:t>
      </w:r>
    </w:p>
    <w:p w14:paraId="11A1F247">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因甲方、政府方承担的相关工作</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如拆迁</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延期而导致的项目延误；</w:t>
      </w:r>
    </w:p>
    <w:p w14:paraId="0686599E">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甲方提出的设计变更引起的延误；</w:t>
      </w:r>
    </w:p>
    <w:p w14:paraId="3B0C453A">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由乙方提出并经有权部门审定批准的变更引起的延误，但乙方在该变更已经导致工期延误之后才提出的延期请求除外；</w:t>
      </w:r>
    </w:p>
    <w:p w14:paraId="1F44D830">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政府方要求或同意暂停施工或延缓施工（因乙方违法、违约原因的除外）；</w:t>
      </w:r>
    </w:p>
    <w:p w14:paraId="5CC5A39B">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为保护在建设用地范围内发现的文物或其他有保护价值的埋藏物；</w:t>
      </w:r>
    </w:p>
    <w:p w14:paraId="684C371F">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因不可预见的地质问题导致重大设计变更；</w:t>
      </w:r>
    </w:p>
    <w:p w14:paraId="3137C9A7">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发生不可抗力；</w:t>
      </w:r>
    </w:p>
    <w:p w14:paraId="66AA1541">
      <w:pPr>
        <w:keepNext w:val="0"/>
        <w:keepLines w:val="0"/>
        <w:pageBreakBefore w:val="0"/>
        <w:widowControl w:val="0"/>
        <w:numPr>
          <w:ilvl w:val="2"/>
          <w:numId w:val="43"/>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因法律变更引起的延误。】</w:t>
      </w:r>
    </w:p>
    <w:p w14:paraId="4FAA7F42">
      <w:pPr>
        <w:keepNext w:val="0"/>
        <w:keepLines w:val="0"/>
        <w:pageBreakBefore w:val="0"/>
        <w:widowControl w:val="0"/>
        <w:numPr>
          <w:ilvl w:val="0"/>
          <w:numId w:val="4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上述延期申请只有在下列情况下方可获得批准：</w:t>
      </w:r>
    </w:p>
    <w:p w14:paraId="4A17BFFA">
      <w:pPr>
        <w:keepNext w:val="0"/>
        <w:keepLines w:val="0"/>
        <w:pageBreakBefore w:val="0"/>
        <w:widowControl w:val="0"/>
        <w:numPr>
          <w:ilvl w:val="0"/>
          <w:numId w:val="44"/>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乙方在延误事件发生后【在约定时间内】向甲方送达一份书面通知，声明要求延期，而且应说明造成项目延误的原因、已经或拟采取的措施、对约定完工日的影响，以及申请约定完工日后移的延期时间等；</w:t>
      </w:r>
    </w:p>
    <w:p w14:paraId="25A88839">
      <w:pPr>
        <w:keepNext w:val="0"/>
        <w:keepLines w:val="0"/>
        <w:pageBreakBefore w:val="0"/>
        <w:widowControl w:val="0"/>
        <w:numPr>
          <w:ilvl w:val="0"/>
          <w:numId w:val="44"/>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乙方应向甲方合理证明预计的项目进度计划关键线路节点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包括约定完工日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日期已被或将被延误；并且乙方已经采取合理的措施将延期减少至最低。</w:t>
      </w:r>
    </w:p>
    <w:p w14:paraId="05F2CF0E">
      <w:pPr>
        <w:keepNext w:val="0"/>
        <w:keepLines w:val="0"/>
        <w:pageBreakBefore w:val="0"/>
        <w:widowControl w:val="0"/>
        <w:numPr>
          <w:ilvl w:val="0"/>
          <w:numId w:val="44"/>
        </w:numPr>
        <w:tabs>
          <w:tab w:val="left" w:pos="993"/>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在任何情况下，乙方都不得因自身违反本协议项下的义务而要求延期。</w:t>
      </w:r>
    </w:p>
    <w:p w14:paraId="1C4EB966">
      <w:pPr>
        <w:keepNext w:val="0"/>
        <w:keepLines w:val="0"/>
        <w:pageBreakBefore w:val="0"/>
        <w:widowControl w:val="0"/>
        <w:numPr>
          <w:ilvl w:val="0"/>
          <w:numId w:val="4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在收到乙方延期申请后【】日内根据情况决定对相关节点日期是否进行延期并及时通知乙方。对于乙方基于甲方原因而提出的延期申请，甲方应予同意，但对乙方所申请的延期幅度或向甲方的补偿诉求由双方具体协商。</w:t>
      </w:r>
    </w:p>
    <w:p w14:paraId="2BE9F54E">
      <w:pPr>
        <w:keepNext w:val="0"/>
        <w:keepLines w:val="0"/>
        <w:pageBreakBefore w:val="0"/>
        <w:widowControl w:val="0"/>
        <w:numPr>
          <w:ilvl w:val="0"/>
          <w:numId w:val="42"/>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同意延期申请的，乙方相应修订《进度计划》并报甲方审核；如涉及甲方同意的延期导致约定完工日调整的情形，《进度计划》应予体现。甲方不同意延期申请的，应向乙方说明理由；对于甲方未在约定期限内书面回复的，视为甲方同意延期；乙方对甲方意见和理由有异议的，双方协商解决。双方协商或进一步采取其他措施处理分歧、纠纷期间，乙方均应正常开展项目建设。</w:t>
      </w:r>
    </w:p>
    <w:p w14:paraId="7D3FE58E">
      <w:pPr>
        <w:pStyle w:val="5"/>
        <w:keepNext w:val="0"/>
        <w:keepLines w:val="0"/>
        <w:pageBreakBefore w:val="0"/>
        <w:widowControl w:val="0"/>
        <w:numPr>
          <w:ilvl w:val="2"/>
          <w:numId w:val="3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进度偏差导致的特许经营期限调整</w:t>
      </w:r>
    </w:p>
    <w:p w14:paraId="51CCC152">
      <w:pPr>
        <w:keepNext w:val="0"/>
        <w:keepLines w:val="0"/>
        <w:pageBreakBefore w:val="0"/>
        <w:widowControl w:val="0"/>
        <w:numPr>
          <w:ilvl w:val="0"/>
          <w:numId w:val="4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经甲方同意的延期导致约定完工日作推迟调整，则以调整后的约定完工日的下一日为项目运营期的起点，并相应顺延特许经营期届满日期；调整特许经营期届满日期的具体顺延时间长度结合约定完工日调整情况、甲方可能向乙方承担的其他相关补偿事项等因素由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乙双方另行协商确定。</w:t>
      </w:r>
    </w:p>
    <w:p w14:paraId="3472A306">
      <w:pPr>
        <w:keepNext w:val="0"/>
        <w:keepLines w:val="0"/>
        <w:pageBreakBefore w:val="0"/>
        <w:widowControl w:val="0"/>
        <w:numPr>
          <w:ilvl w:val="0"/>
          <w:numId w:val="4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如项目实际完工日相较约定完工日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同口径比较</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提前，一旦具备运营条件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包括获得有关方面必要的运营批准</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，乙方即可提前开始项目运营，</w:t>
      </w:r>
      <w:bookmarkStart w:id="576" w:name="_Hlk162311579"/>
      <w:r>
        <w:rPr>
          <w:rFonts w:hint="eastAsia" w:ascii="宋体" w:hAnsi="宋体" w:eastAsia="宋体" w:cs="宋体"/>
          <w:caps w:val="0"/>
          <w:smallCaps w:val="0"/>
          <w:color w:val="auto"/>
          <w:highlight w:val="none"/>
        </w:rPr>
        <w:t>本协议约定的或双方在此前已经调整的特许经营期届满日期维持不变</w:t>
      </w:r>
      <w:bookmarkEnd w:id="576"/>
      <w:bookmarkStart w:id="577" w:name="_Hlk161831092"/>
      <w:r>
        <w:rPr>
          <w:rFonts w:hint="eastAsia" w:ascii="宋体" w:hAnsi="宋体" w:eastAsia="宋体" w:cs="宋体"/>
          <w:caps w:val="0"/>
          <w:smallCaps w:val="0"/>
          <w:color w:val="auto"/>
          <w:highlight w:val="none"/>
          <w:lang w:eastAsia="zh-CN"/>
        </w:rPr>
        <w:t>，法律法规另有规定除外</w:t>
      </w:r>
      <w:r>
        <w:rPr>
          <w:rFonts w:hint="eastAsia" w:ascii="宋体" w:hAnsi="宋体" w:eastAsia="宋体" w:cs="宋体"/>
          <w:caps w:val="0"/>
          <w:smallCaps w:val="0"/>
          <w:color w:val="auto"/>
          <w:highlight w:val="none"/>
        </w:rPr>
        <w:t>。【说明：</w:t>
      </w:r>
      <w:bookmarkStart w:id="578" w:name="_Hlk162311684"/>
      <w:r>
        <w:rPr>
          <w:rFonts w:hint="eastAsia" w:ascii="宋体" w:hAnsi="宋体" w:eastAsia="宋体" w:cs="宋体"/>
          <w:caps w:val="0"/>
          <w:smallCaps w:val="0"/>
          <w:color w:val="auto"/>
          <w:highlight w:val="none"/>
        </w:rPr>
        <w:t>本示例条款</w:t>
      </w:r>
      <w:bookmarkEnd w:id="578"/>
      <w:r>
        <w:rPr>
          <w:rFonts w:hint="eastAsia" w:ascii="宋体" w:hAnsi="宋体" w:eastAsia="宋体" w:cs="宋体"/>
          <w:caps w:val="0"/>
          <w:smallCaps w:val="0"/>
          <w:color w:val="auto"/>
          <w:highlight w:val="none"/>
        </w:rPr>
        <w:t>意在鼓励项目尽早实现提前完工和运营；对于具体项目，也可按保持运营期长度不变或研究采用折中方案另行约定特许经营期届满日期的调整方法。】</w:t>
      </w:r>
    </w:p>
    <w:bookmarkEnd w:id="577"/>
    <w:p w14:paraId="3F603B1E">
      <w:pPr>
        <w:keepNext w:val="0"/>
        <w:keepLines w:val="0"/>
        <w:pageBreakBefore w:val="0"/>
        <w:widowControl w:val="0"/>
        <w:numPr>
          <w:ilvl w:val="0"/>
          <w:numId w:val="4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如项目实际完工日相较约定完工日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同口径比较</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滞后，本协议约定的或双方在此前已经调整的特许经营期届满日期维持不变。【说明：本示例条款下项目实际拥有的运营期将短于协议约定的运营期；对于具体项目，尚应结合对乙方进度违约设置的处理措施等因素另行研究约定特许经营期届满日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运营期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的调整方法。】</w:t>
      </w:r>
    </w:p>
    <w:p w14:paraId="3FFDAB23">
      <w:pPr>
        <w:keepNext w:val="0"/>
        <w:keepLines w:val="0"/>
        <w:pageBreakBefore w:val="0"/>
        <w:widowControl w:val="0"/>
        <w:numPr>
          <w:ilvl w:val="0"/>
          <w:numId w:val="4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因上述原因对特许经营期限的调整，须在项目完成竣工验收后由甲、乙双方进行复核确认并签署补充协议。</w:t>
      </w:r>
    </w:p>
    <w:p w14:paraId="7570B7AB">
      <w:pPr>
        <w:keepNext w:val="0"/>
        <w:keepLines w:val="0"/>
        <w:pageBreakBefore w:val="0"/>
        <w:widowControl w:val="0"/>
        <w:numPr>
          <w:ilvl w:val="0"/>
          <w:numId w:val="45"/>
        </w:numPr>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如适用法律对项目收费期限另有规定的，依据本款对特许经营期的上述调整，以及依据本协议其他约定对特许经营期的调整，对项目特许经营期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或运营期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的调整结果应符合相关规定的要求。</w:t>
      </w:r>
    </w:p>
    <w:p w14:paraId="33295DD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79" w:name="_Toc305771633"/>
      <w:r>
        <w:rPr>
          <w:rFonts w:hint="eastAsia" w:ascii="宋体" w:hAnsi="宋体" w:eastAsia="宋体" w:cs="宋体"/>
          <w:bCs/>
          <w:caps w:val="0"/>
          <w:smallCaps w:val="0"/>
          <w:color w:val="auto"/>
          <w:sz w:val="28"/>
          <w:highlight w:val="none"/>
        </w:rPr>
        <w:t>投资控制</w:t>
      </w:r>
      <w:bookmarkEnd w:id="579"/>
    </w:p>
    <w:p w14:paraId="4D9AB7C0">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乙方应保证工程建设资金足额投入到位</w:t>
      </w:r>
      <w:r>
        <w:rPr>
          <w:rFonts w:hint="eastAsia" w:ascii="宋体" w:hAnsi="宋体" w:eastAsia="宋体" w:cs="宋体"/>
          <w:caps w:val="0"/>
          <w:smallCaps w:val="0"/>
          <w:color w:val="auto"/>
          <w:highlight w:val="none"/>
          <w:lang w:eastAsia="zh-CN"/>
        </w:rPr>
        <w:t>，确保工程投资控制在经甲方确认的投资计划中列明的项目总投资范围内。</w:t>
      </w:r>
    </w:p>
    <w:p w14:paraId="15461808">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乙方应根据项目实际情况和行业管理相关规范规程编制项目概算</w:t>
      </w:r>
      <w:r>
        <w:rPr>
          <w:rFonts w:hint="eastAsia" w:ascii="宋体" w:hAnsi="宋体" w:eastAsia="宋体" w:cs="宋体"/>
          <w:caps w:val="0"/>
          <w:smallCaps w:val="0"/>
          <w:color w:val="auto"/>
          <w:highlight w:val="none"/>
          <w:lang w:eastAsia="zh-CN"/>
        </w:rPr>
        <w:t>等</w:t>
      </w:r>
      <w:r>
        <w:rPr>
          <w:rFonts w:hint="eastAsia" w:ascii="宋体" w:hAnsi="宋体" w:eastAsia="宋体" w:cs="宋体"/>
          <w:caps w:val="0"/>
          <w:smallCaps w:val="0"/>
          <w:color w:val="auto"/>
          <w:highlight w:val="none"/>
        </w:rPr>
        <w:t>文件，从工程勘察设计源头做深做实投资控制工作。</w:t>
      </w:r>
    </w:p>
    <w:p w14:paraId="3B4C751D">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在本项目范围内，如工程投资发生超支</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超出</w:t>
      </w:r>
      <w:r>
        <w:rPr>
          <w:rFonts w:hint="eastAsia" w:ascii="宋体" w:hAnsi="宋体" w:eastAsia="宋体" w:cs="宋体"/>
          <w:caps w:val="0"/>
          <w:smallCaps w:val="0"/>
          <w:color w:val="auto"/>
          <w:highlight w:val="none"/>
          <w:lang w:eastAsia="zh-CN"/>
        </w:rPr>
        <w:t>详细投资计划列明的总投资）</w:t>
      </w:r>
      <w:r>
        <w:rPr>
          <w:rFonts w:hint="eastAsia" w:ascii="宋体" w:hAnsi="宋体" w:eastAsia="宋体" w:cs="宋体"/>
          <w:caps w:val="0"/>
          <w:smallCaps w:val="0"/>
          <w:color w:val="auto"/>
          <w:highlight w:val="none"/>
        </w:rPr>
        <w:t>，乙方应负责及时筹措项目新增资金；</w:t>
      </w:r>
      <w:bookmarkStart w:id="580" w:name="_Hlk163645036"/>
      <w:r>
        <w:rPr>
          <w:rFonts w:hint="eastAsia" w:ascii="宋体" w:hAnsi="宋体" w:eastAsia="宋体" w:cs="宋体"/>
          <w:caps w:val="0"/>
          <w:smallCaps w:val="0"/>
          <w:color w:val="auto"/>
          <w:highlight w:val="none"/>
        </w:rPr>
        <w:t>除非本协议另有约定，</w:t>
      </w:r>
      <w:bookmarkEnd w:id="580"/>
      <w:r>
        <w:rPr>
          <w:rFonts w:hint="eastAsia" w:ascii="宋体" w:hAnsi="宋体" w:eastAsia="宋体" w:cs="宋体"/>
          <w:caps w:val="0"/>
          <w:smallCaps w:val="0"/>
          <w:color w:val="auto"/>
          <w:highlight w:val="none"/>
        </w:rPr>
        <w:t>超支资金由乙方承担。如实现投资节约，在符合各类专项资金</w:t>
      </w:r>
      <w:r>
        <w:rPr>
          <w:rFonts w:hint="eastAsia" w:ascii="宋体" w:hAnsi="宋体" w:eastAsia="宋体" w:cs="宋体"/>
          <w:caps w:val="0"/>
          <w:smallCaps w:val="0"/>
          <w:color w:val="auto"/>
          <w:highlight w:val="none"/>
          <w:lang w:eastAsia="zh-CN"/>
        </w:rPr>
        <w:t>（如有）</w:t>
      </w:r>
      <w:r>
        <w:rPr>
          <w:rFonts w:hint="eastAsia" w:ascii="宋体" w:hAnsi="宋体" w:eastAsia="宋体" w:cs="宋体"/>
          <w:caps w:val="0"/>
          <w:smallCaps w:val="0"/>
          <w:color w:val="auto"/>
          <w:highlight w:val="none"/>
        </w:rPr>
        <w:t>使用政策的前提下，除非另有约定，项目因投资节约实现的相关效益由乙方享有。</w:t>
      </w:r>
    </w:p>
    <w:p w14:paraId="68553DBB">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乙方应按有关规定做好项目投资管理工作，包括但不限于依法依规开展工程招标、按规定及时履行工程重大变更审批和概算调整程序</w:t>
      </w:r>
      <w:r>
        <w:rPr>
          <w:rFonts w:hint="eastAsia" w:ascii="宋体" w:hAnsi="宋体" w:eastAsia="宋体" w:cs="宋体"/>
          <w:caps w:val="0"/>
          <w:smallCaps w:val="0"/>
          <w:color w:val="auto"/>
          <w:highlight w:val="none"/>
          <w:lang w:eastAsia="zh-CN"/>
        </w:rPr>
        <w:t>（如有）</w:t>
      </w:r>
      <w:r>
        <w:rPr>
          <w:rFonts w:hint="eastAsia" w:ascii="宋体" w:hAnsi="宋体" w:eastAsia="宋体" w:cs="宋体"/>
          <w:caps w:val="0"/>
          <w:smallCaps w:val="0"/>
          <w:color w:val="auto"/>
          <w:highlight w:val="none"/>
        </w:rPr>
        <w:t>、及时开展投资合规性检查和整改等工作，以符合国家、地方和行业管理部门对投资项目管理的相关要求，并为项目建成后申报</w:t>
      </w:r>
      <w:r>
        <w:rPr>
          <w:rFonts w:hint="eastAsia" w:ascii="宋体" w:hAnsi="宋体" w:eastAsia="宋体" w:cs="宋体"/>
          <w:caps w:val="0"/>
          <w:smallCaps w:val="0"/>
          <w:color w:val="auto"/>
          <w:highlight w:val="none"/>
          <w:lang w:eastAsia="zh-CN"/>
        </w:rPr>
        <w:t>项目产品或服务</w:t>
      </w:r>
      <w:r>
        <w:rPr>
          <w:rFonts w:hint="eastAsia" w:ascii="宋体" w:hAnsi="宋体" w:eastAsia="宋体" w:cs="宋体"/>
          <w:caps w:val="0"/>
          <w:smallCaps w:val="0"/>
          <w:color w:val="auto"/>
          <w:highlight w:val="none"/>
        </w:rPr>
        <w:t>政府定价</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、配合政府</w:t>
      </w:r>
      <w:r>
        <w:rPr>
          <w:rFonts w:hint="eastAsia" w:ascii="宋体" w:hAnsi="宋体" w:eastAsia="宋体" w:cs="宋体"/>
          <w:caps w:val="0"/>
          <w:smallCaps w:val="0"/>
          <w:color w:val="auto"/>
          <w:highlight w:val="none"/>
          <w:lang w:eastAsia="zh-CN"/>
        </w:rPr>
        <w:t>相关部门开展</w:t>
      </w:r>
      <w:r>
        <w:rPr>
          <w:rFonts w:hint="eastAsia" w:ascii="宋体" w:hAnsi="宋体" w:eastAsia="宋体" w:cs="宋体"/>
          <w:caps w:val="0"/>
          <w:smallCaps w:val="0"/>
          <w:color w:val="auto"/>
          <w:highlight w:val="none"/>
        </w:rPr>
        <w:t>投资统计等工作提供规范的资料和数据依据。</w:t>
      </w:r>
    </w:p>
    <w:p w14:paraId="5C90FCA0">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left="0" w:firstLine="444" w:firstLineChars="202"/>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如项目使用政府资本金注入，乙方应按相关规定做好项目中政府资本金管理工作，包括配合相关方面的监督检查、开展政府投资绩效评价等。</w:t>
      </w:r>
    </w:p>
    <w:p w14:paraId="797974D8">
      <w:pPr>
        <w:keepNext w:val="0"/>
        <w:keepLines w:val="0"/>
        <w:pageBreakBefore w:val="0"/>
        <w:widowControl w:val="0"/>
        <w:numPr>
          <w:ilvl w:val="0"/>
          <w:numId w:val="4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【其他约定】</w:t>
      </w:r>
    </w:p>
    <w:p w14:paraId="5EFC335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81" w:name="_Toc1376296612"/>
      <w:r>
        <w:rPr>
          <w:rFonts w:hint="eastAsia" w:ascii="宋体" w:hAnsi="宋体" w:eastAsia="宋体" w:cs="宋体"/>
          <w:bCs/>
          <w:caps w:val="0"/>
          <w:smallCaps w:val="0"/>
          <w:color w:val="auto"/>
          <w:sz w:val="28"/>
          <w:highlight w:val="none"/>
        </w:rPr>
        <w:t>工程招标</w:t>
      </w:r>
      <w:bookmarkEnd w:id="581"/>
    </w:p>
    <w:p w14:paraId="31E98307">
      <w:pPr>
        <w:keepNext w:val="0"/>
        <w:keepLines w:val="0"/>
        <w:pageBreakBefore w:val="0"/>
        <w:widowControl w:val="0"/>
        <w:numPr>
          <w:ilvl w:val="0"/>
          <w:numId w:val="4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乙方应当依法和依据项目批复文件要求开展相关的工程、货物和服务的招标工作。</w:t>
      </w:r>
    </w:p>
    <w:p w14:paraId="0E466FB7">
      <w:pPr>
        <w:keepNext w:val="0"/>
        <w:keepLines w:val="0"/>
        <w:pageBreakBefore w:val="0"/>
        <w:widowControl w:val="0"/>
        <w:numPr>
          <w:ilvl w:val="0"/>
          <w:numId w:val="4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对于通过招标方式选定的本项目特许经营者依法能够自行建设、生产或者提供的项目，乙方可以不进行招标，依法与符合条件的特许经营者</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或其中符合条件的联合体成员单位</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直接签订发包合同，但须符合本协议相关约定以及其他相关法律法规和政策的规定。</w:t>
      </w:r>
    </w:p>
    <w:p w14:paraId="5C08B170">
      <w:pPr>
        <w:keepNext w:val="0"/>
        <w:keepLines w:val="0"/>
        <w:pageBreakBefore w:val="0"/>
        <w:widowControl w:val="0"/>
        <w:numPr>
          <w:ilvl w:val="0"/>
          <w:numId w:val="4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本项目勘察设计单位、工程监理单位，以及承担重要检验、监测和试验任务的机构应具备相应资质条件和经验。</w:t>
      </w:r>
    </w:p>
    <w:p w14:paraId="1761E5BD">
      <w:pPr>
        <w:keepNext w:val="0"/>
        <w:keepLines w:val="0"/>
        <w:pageBreakBefore w:val="0"/>
        <w:widowControl w:val="0"/>
        <w:numPr>
          <w:ilvl w:val="0"/>
          <w:numId w:val="47"/>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乙方应定期向甲方报告项目招标、签约及履行情况，涉及分包的，应同时报告分包的签约和履行情况。</w:t>
      </w:r>
    </w:p>
    <w:p w14:paraId="2AB247E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82" w:name="_Toc602079470"/>
      <w:r>
        <w:rPr>
          <w:rFonts w:hint="eastAsia" w:ascii="宋体" w:hAnsi="宋体" w:eastAsia="宋体" w:cs="宋体"/>
          <w:bCs/>
          <w:caps w:val="0"/>
          <w:smallCaps w:val="0"/>
          <w:color w:val="auto"/>
          <w:sz w:val="28"/>
          <w:highlight w:val="none"/>
        </w:rPr>
        <w:t>工程变更管理</w:t>
      </w:r>
      <w:bookmarkEnd w:id="582"/>
    </w:p>
    <w:p w14:paraId="1917797D">
      <w:pPr>
        <w:keepNext w:val="0"/>
        <w:keepLines w:val="0"/>
        <w:pageBreakBefore w:val="0"/>
        <w:widowControl w:val="0"/>
        <w:numPr>
          <w:ilvl w:val="0"/>
          <w:numId w:val="48"/>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本协议所称工程变更指项目施工图设计及工程实际采用的工程技术方案</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包括建设内容和规模、项目产出</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服务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方案、主要施工方法、关键设备选型和指标等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相对于经批复</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对于政府投资项目</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或乙方</w:t>
      </w:r>
      <w:r>
        <w:rPr>
          <w:rFonts w:hint="eastAsia" w:ascii="宋体" w:hAnsi="宋体" w:eastAsia="宋体" w:cs="宋体"/>
          <w:caps w:val="0"/>
          <w:smallCaps w:val="0"/>
          <w:color w:val="auto"/>
          <w:highlight w:val="none"/>
          <w:lang w:eastAsia="zh-CN"/>
        </w:rPr>
        <w:t>按规定完成相应审查程序</w:t>
      </w:r>
      <w:r>
        <w:rPr>
          <w:rFonts w:hint="eastAsia" w:ascii="宋体" w:hAnsi="宋体" w:eastAsia="宋体" w:cs="宋体"/>
          <w:caps w:val="0"/>
          <w:smallCaps w:val="0"/>
          <w:color w:val="auto"/>
          <w:highlight w:val="none"/>
        </w:rPr>
        <w:t>并向甲方</w:t>
      </w:r>
      <w:r>
        <w:rPr>
          <w:rFonts w:hint="eastAsia" w:ascii="宋体" w:hAnsi="宋体" w:eastAsia="宋体" w:cs="宋体"/>
          <w:caps w:val="0"/>
          <w:smallCaps w:val="0"/>
          <w:color w:val="auto"/>
          <w:highlight w:val="none"/>
          <w:lang w:eastAsia="zh-CN"/>
        </w:rPr>
        <w:t>报</w:t>
      </w:r>
      <w:r>
        <w:rPr>
          <w:rFonts w:hint="eastAsia" w:ascii="宋体" w:hAnsi="宋体" w:eastAsia="宋体" w:cs="宋体"/>
          <w:caps w:val="0"/>
          <w:smallCaps w:val="0"/>
          <w:color w:val="auto"/>
          <w:highlight w:val="none"/>
        </w:rPr>
        <w:t>备</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对于企业投资项目</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的初步设计文件所发生的变更。【说明：具体行业有相关规定的从其规定。】</w:t>
      </w:r>
    </w:p>
    <w:p w14:paraId="74FF2145">
      <w:pPr>
        <w:keepNext w:val="0"/>
        <w:keepLines w:val="0"/>
        <w:pageBreakBefore w:val="0"/>
        <w:widowControl w:val="0"/>
        <w:numPr>
          <w:ilvl w:val="0"/>
          <w:numId w:val="48"/>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本项目履行通过</w:t>
      </w:r>
      <w:r>
        <w:rPr>
          <w:rFonts w:hint="eastAsia" w:ascii="宋体" w:hAnsi="宋体" w:eastAsia="宋体" w:cs="宋体"/>
          <w:caps w:val="0"/>
          <w:smallCaps w:val="0"/>
          <w:color w:val="auto"/>
          <w:highlight w:val="none"/>
          <w:lang w:eastAsia="zh-CN"/>
        </w:rPr>
        <w:t>审核</w:t>
      </w:r>
      <w:r>
        <w:rPr>
          <w:rFonts w:hint="eastAsia" w:ascii="宋体" w:hAnsi="宋体" w:eastAsia="宋体" w:cs="宋体"/>
          <w:caps w:val="0"/>
          <w:smallCaps w:val="0"/>
          <w:color w:val="auto"/>
          <w:highlight w:val="none"/>
        </w:rPr>
        <w:t>程序后【】日内，乙方应当编制本项目《工程变更管理办法》报甲方审核。</w:t>
      </w:r>
    </w:p>
    <w:p w14:paraId="2C426747">
      <w:pPr>
        <w:keepNext w:val="0"/>
        <w:keepLines w:val="0"/>
        <w:pageBreakBefore w:val="0"/>
        <w:widowControl w:val="0"/>
        <w:numPr>
          <w:ilvl w:val="0"/>
          <w:numId w:val="48"/>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在项目建设过程中甲、乙方双方均有权提出工程变更请</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要</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求或建议</w:t>
      </w:r>
      <w:bookmarkStart w:id="583" w:name="_Hlk152686171"/>
      <w:r>
        <w:rPr>
          <w:rFonts w:hint="eastAsia" w:ascii="宋体" w:hAnsi="宋体" w:eastAsia="宋体" w:cs="宋体"/>
          <w:caps w:val="0"/>
          <w:smallCaps w:val="0"/>
          <w:color w:val="auto"/>
          <w:highlight w:val="none"/>
        </w:rPr>
        <w:t>；乙方应</w:t>
      </w:r>
      <w:bookmarkStart w:id="584" w:name="_Hlk152686053"/>
      <w:r>
        <w:rPr>
          <w:rFonts w:hint="eastAsia" w:ascii="宋体" w:hAnsi="宋体" w:eastAsia="宋体" w:cs="宋体"/>
          <w:caps w:val="0"/>
          <w:smallCaps w:val="0"/>
          <w:color w:val="auto"/>
          <w:highlight w:val="none"/>
        </w:rPr>
        <w:t>及时【或双方协商具体时间安排】和充分论证</w:t>
      </w:r>
      <w:bookmarkEnd w:id="584"/>
      <w:r>
        <w:rPr>
          <w:rFonts w:hint="eastAsia" w:ascii="宋体" w:hAnsi="宋体" w:eastAsia="宋体" w:cs="宋体"/>
          <w:caps w:val="0"/>
          <w:smallCaps w:val="0"/>
          <w:color w:val="auto"/>
          <w:highlight w:val="none"/>
        </w:rPr>
        <w:t>变更的必要性、可行性和对项目的影响</w:t>
      </w:r>
      <w:bookmarkEnd w:id="583"/>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除非甲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认为因紧急情况需立即采取变更措施的情形外，双方需就变更方案及其相关的责权利处理方案等达成一致意见后方可实施。对于甲方提出的变更导致乙方利益减损的，甲方应予以合理补偿；对于乙方提出的变更导致乙方利益减损的，甲方可视变更情形给予乙方必要和合理补偿；无论甲方或乙方提出的变更形成项目利益增益的，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乙双方具体协商项目利益增益分配方式【具体约定】。</w:t>
      </w:r>
    </w:p>
    <w:p w14:paraId="31D51679">
      <w:pPr>
        <w:keepNext w:val="0"/>
        <w:keepLines w:val="0"/>
        <w:pageBreakBefore w:val="0"/>
        <w:widowControl w:val="0"/>
        <w:numPr>
          <w:ilvl w:val="0"/>
          <w:numId w:val="48"/>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对于源自不可抗力因素事件、法律变更而必须实施的工程变更，乙方应及时实施并向甲方报告；政府方可视情况对乙方提供必要和恰当的救济。</w:t>
      </w:r>
    </w:p>
    <w:p w14:paraId="2896C82B">
      <w:pPr>
        <w:keepNext w:val="0"/>
        <w:keepLines w:val="0"/>
        <w:pageBreakBefore w:val="0"/>
        <w:widowControl w:val="0"/>
        <w:numPr>
          <w:ilvl w:val="0"/>
          <w:numId w:val="48"/>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乙方应按相关规定履行工程变更的审批程序。</w:t>
      </w:r>
    </w:p>
    <w:p w14:paraId="1A6ED9AB">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85" w:name="_Toc837711492"/>
      <w:r>
        <w:rPr>
          <w:rFonts w:hint="eastAsia" w:ascii="宋体" w:hAnsi="宋体" w:eastAsia="宋体" w:cs="宋体"/>
          <w:bCs/>
          <w:caps w:val="0"/>
          <w:smallCaps w:val="0"/>
          <w:color w:val="auto"/>
          <w:sz w:val="28"/>
          <w:highlight w:val="none"/>
        </w:rPr>
        <w:t>工程验收</w:t>
      </w:r>
      <w:bookmarkEnd w:id="585"/>
    </w:p>
    <w:p w14:paraId="6CE0E86F">
      <w:pPr>
        <w:keepNext w:val="0"/>
        <w:keepLines w:val="0"/>
        <w:pageBreakBefore w:val="0"/>
        <w:widowControl w:val="0"/>
        <w:numPr>
          <w:ilvl w:val="0"/>
          <w:numId w:val="4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乙方在条件具备时应依法依规及时履行项目专项验收和竣工验收程序，取得相关验收批复文件。对特定验收事项，乙方应就验收组织安排和时间计划等信息提前【】天通知甲方。</w:t>
      </w:r>
    </w:p>
    <w:p w14:paraId="37404103">
      <w:pPr>
        <w:keepNext w:val="0"/>
        <w:keepLines w:val="0"/>
        <w:pageBreakBefore w:val="0"/>
        <w:widowControl w:val="0"/>
        <w:numPr>
          <w:ilvl w:val="0"/>
          <w:numId w:val="4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在符合相关规定的前提下，甲方有权按验收组织方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含乙方作为组织方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安排或邀请派出合适人选担任该特定验收事项的领导小组成员或专家组成员，或派出单位代表参加验收会议。对于按规定并非必须安排甲方参加的情形，甲方是否派出代表出席验收会议不影响验收组织方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含乙方作为组织方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按规定及时履行项目相关验收程序。</w:t>
      </w:r>
    </w:p>
    <w:p w14:paraId="14BC25C3">
      <w:pPr>
        <w:keepNext w:val="0"/>
        <w:keepLines w:val="0"/>
        <w:pageBreakBefore w:val="0"/>
        <w:widowControl w:val="0"/>
        <w:numPr>
          <w:ilvl w:val="0"/>
          <w:numId w:val="4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由于乙方未能及时组织或提请相关验收、验收单位未能及时安排验收，或相关验收未能一次通过等而导致的全部项目风险和损失均由乙方承担。</w:t>
      </w:r>
    </w:p>
    <w:p w14:paraId="022ED272">
      <w:pPr>
        <w:keepNext w:val="0"/>
        <w:keepLines w:val="0"/>
        <w:pageBreakBefore w:val="0"/>
        <w:widowControl w:val="0"/>
        <w:numPr>
          <w:ilvl w:val="0"/>
          <w:numId w:val="4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对属于政府方权限范围内的验收事项，甲方可为乙方开展此类验收工作提供协助，但甲方并不因此对验收结果承担任何责任。</w:t>
      </w:r>
    </w:p>
    <w:p w14:paraId="050B31B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86" w:name="_Toc1502815208"/>
      <w:bookmarkStart w:id="587" w:name="_Toc149418802"/>
      <w:r>
        <w:rPr>
          <w:rFonts w:hint="eastAsia" w:ascii="宋体" w:hAnsi="宋体" w:eastAsia="宋体" w:cs="宋体"/>
          <w:bCs/>
          <w:caps w:val="0"/>
          <w:smallCaps w:val="0"/>
          <w:color w:val="auto"/>
          <w:sz w:val="28"/>
          <w:highlight w:val="none"/>
        </w:rPr>
        <w:t>工程保险</w:t>
      </w:r>
      <w:bookmarkEnd w:id="586"/>
      <w:bookmarkEnd w:id="587"/>
    </w:p>
    <w:p w14:paraId="19D6D03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乙方应及时为本项目足额投保建筑工程一切险、安装工程一切险，以及其他通常的、合理的或者中国法律、法规要求所必需的保险</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如第三者责任保险</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。【投保内容具体约定】</w:t>
      </w:r>
    </w:p>
    <w:p w14:paraId="2254AD5D">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88" w:name="_Toc149418805"/>
      <w:bookmarkStart w:id="589" w:name="_Toc1618143088"/>
      <w:r>
        <w:rPr>
          <w:rFonts w:hint="eastAsia" w:ascii="宋体" w:hAnsi="宋体" w:eastAsia="宋体" w:cs="宋体"/>
          <w:bCs/>
          <w:caps w:val="0"/>
          <w:smallCaps w:val="0"/>
          <w:color w:val="auto"/>
          <w:sz w:val="28"/>
          <w:highlight w:val="none"/>
        </w:rPr>
        <w:t>工程建设违约</w:t>
      </w:r>
      <w:bookmarkEnd w:id="588"/>
      <w:r>
        <w:rPr>
          <w:rFonts w:hint="eastAsia" w:ascii="宋体" w:hAnsi="宋体" w:eastAsia="宋体" w:cs="宋体"/>
          <w:bCs/>
          <w:caps w:val="0"/>
          <w:smallCaps w:val="0"/>
          <w:color w:val="auto"/>
          <w:sz w:val="28"/>
          <w:highlight w:val="none"/>
        </w:rPr>
        <w:t>事项</w:t>
      </w:r>
      <w:bookmarkEnd w:id="589"/>
    </w:p>
    <w:p w14:paraId="54A9AE5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2"/>
        <w:rPr>
          <w:rFonts w:hint="eastAsia" w:ascii="宋体" w:hAnsi="宋体" w:eastAsia="宋体" w:cs="宋体"/>
          <w:caps w:val="0"/>
          <w:smallCaps w:val="0"/>
          <w:color w:val="auto"/>
          <w:highlight w:val="none"/>
        </w:rPr>
      </w:pPr>
      <w:r>
        <w:rPr>
          <w:rFonts w:hint="eastAsia" w:ascii="宋体" w:hAnsi="宋体" w:eastAsia="宋体" w:cs="宋体"/>
          <w:b/>
          <w:caps w:val="0"/>
          <w:smallCaps w:val="0"/>
          <w:color w:val="auto"/>
          <w:highlight w:val="none"/>
        </w:rPr>
        <w:t>【</w:t>
      </w:r>
      <w:r>
        <w:rPr>
          <w:rFonts w:hint="eastAsia" w:ascii="宋体" w:hAnsi="宋体" w:eastAsia="宋体" w:cs="宋体"/>
          <w:b w:val="0"/>
          <w:bCs/>
          <w:caps w:val="0"/>
          <w:smallCaps w:val="0"/>
          <w:color w:val="auto"/>
          <w:highlight w:val="none"/>
        </w:rPr>
        <w:t>说明：</w:t>
      </w:r>
      <w:r>
        <w:rPr>
          <w:rFonts w:hint="eastAsia" w:ascii="宋体" w:hAnsi="宋体" w:eastAsia="宋体" w:cs="宋体"/>
          <w:bCs/>
          <w:caps w:val="0"/>
          <w:smallCaps w:val="0"/>
          <w:color w:val="auto"/>
          <w:highlight w:val="none"/>
        </w:rPr>
        <w:t>甲</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乙双方具体约定。乙方建设期违约事项应包括工程质量、安全或环境管理违约，工期违约，不依法履行工程变更和概算调整程序，工程招标违约等；甲方和政府方建设期违约事项包括不按协议约定提供相关建设条件、政府方承担的拆迁安置工作进度滞后、甲方不按约定及时审批审核乙方提交的报告等。</w:t>
      </w:r>
      <w:r>
        <w:rPr>
          <w:rFonts w:hint="eastAsia" w:ascii="宋体" w:hAnsi="宋体" w:eastAsia="宋体" w:cs="宋体"/>
          <w:b/>
          <w:caps w:val="0"/>
          <w:smallCaps w:val="0"/>
          <w:color w:val="auto"/>
          <w:highlight w:val="none"/>
        </w:rPr>
        <w:t>】</w:t>
      </w:r>
    </w:p>
    <w:p w14:paraId="5A3B24B9">
      <w:pPr>
        <w:pStyle w:val="2"/>
        <w:keepNext w:val="0"/>
        <w:keepLines w:val="0"/>
        <w:pageBreakBefore w:val="0"/>
        <w:widowControl w:val="0"/>
        <w:kinsoku/>
        <w:wordWrap/>
        <w:overflowPunct/>
        <w:topLinePunct w:val="0"/>
        <w:bidi w:val="0"/>
        <w:spacing w:before="0" w:beforeAutospacing="0" w:after="0" w:afterAutospacing="0" w:line="360" w:lineRule="auto"/>
        <w:rPr>
          <w:rFonts w:hint="eastAsia" w:ascii="宋体" w:hAnsi="宋体" w:eastAsia="宋体" w:cs="宋体"/>
          <w:caps w:val="0"/>
          <w:smallCaps w:val="0"/>
          <w:color w:val="auto"/>
          <w:sz w:val="28"/>
          <w:highlight w:val="none"/>
          <w:lang w:val="en-US" w:eastAsia="zh-CN"/>
        </w:rPr>
      </w:pPr>
      <w:r>
        <w:rPr>
          <w:rFonts w:hint="eastAsia" w:ascii="宋体" w:hAnsi="宋体" w:eastAsia="宋体" w:cs="宋体"/>
          <w:caps w:val="0"/>
          <w:smallCaps w:val="0"/>
          <w:color w:val="auto"/>
          <w:sz w:val="28"/>
          <w:highlight w:val="none"/>
        </w:rPr>
        <w:br w:type="page"/>
      </w:r>
      <w:bookmarkStart w:id="590" w:name="_Toc411289906"/>
      <w:bookmarkStart w:id="591" w:name="_Toc405146853"/>
      <w:bookmarkStart w:id="592" w:name="_Toc402355498"/>
      <w:bookmarkStart w:id="593" w:name="_Toc402347754"/>
      <w:bookmarkStart w:id="594" w:name="_Toc402428931"/>
      <w:r>
        <w:rPr>
          <w:rFonts w:hint="eastAsia" w:ascii="宋体" w:hAnsi="宋体" w:eastAsia="宋体" w:cs="宋体"/>
          <w:caps w:val="0"/>
          <w:smallCaps w:val="0"/>
          <w:color w:val="auto"/>
          <w:sz w:val="28"/>
          <w:highlight w:val="none"/>
          <w:lang w:val="en-US" w:eastAsia="zh-CN"/>
        </w:rPr>
        <w:t>运营和服务</w:t>
      </w:r>
      <w:bookmarkEnd w:id="590"/>
      <w:bookmarkEnd w:id="591"/>
      <w:bookmarkEnd w:id="592"/>
      <w:bookmarkEnd w:id="593"/>
      <w:bookmarkEnd w:id="594"/>
    </w:p>
    <w:p w14:paraId="60C6886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【说明：本章重点约定特许经营项目</w:t>
      </w:r>
      <w:r>
        <w:rPr>
          <w:rFonts w:hint="eastAsia" w:ascii="宋体" w:hAnsi="宋体" w:eastAsia="宋体" w:cs="宋体"/>
          <w:caps w:val="0"/>
          <w:smallCaps w:val="0"/>
          <w:color w:val="auto"/>
          <w:kern w:val="0"/>
          <w:szCs w:val="32"/>
          <w:highlight w:val="none"/>
          <w:lang w:eastAsia="zh-CN"/>
        </w:rPr>
        <w:t>政府提供的</w:t>
      </w:r>
      <w:r>
        <w:rPr>
          <w:rFonts w:hint="eastAsia" w:ascii="宋体" w:hAnsi="宋体" w:eastAsia="宋体" w:cs="宋体"/>
          <w:caps w:val="0"/>
          <w:smallCaps w:val="0"/>
          <w:color w:val="auto"/>
          <w:kern w:val="0"/>
          <w:szCs w:val="32"/>
          <w:highlight w:val="none"/>
        </w:rPr>
        <w:t>运营条件、运营服务标准和要求、更新重置及追加投资、服务计量、运营期保险、政府监管及违约责任等事项。】</w:t>
      </w:r>
    </w:p>
    <w:p w14:paraId="46F4323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95" w:name="_Toc1654534475"/>
      <w:bookmarkStart w:id="596" w:name="_Toc402428932"/>
      <w:bookmarkStart w:id="597" w:name="_Toc405146854"/>
      <w:r>
        <w:rPr>
          <w:rFonts w:hint="eastAsia" w:ascii="宋体" w:hAnsi="宋体" w:eastAsia="宋体" w:cs="宋体"/>
          <w:bCs/>
          <w:caps w:val="0"/>
          <w:smallCaps w:val="0"/>
          <w:color w:val="auto"/>
          <w:sz w:val="28"/>
          <w:highlight w:val="none"/>
        </w:rPr>
        <w:t>政府提供的</w:t>
      </w:r>
      <w:r>
        <w:rPr>
          <w:rFonts w:hint="eastAsia" w:ascii="宋体" w:hAnsi="宋体" w:eastAsia="宋体" w:cs="宋体"/>
          <w:bCs/>
          <w:caps w:val="0"/>
          <w:smallCaps w:val="0"/>
          <w:color w:val="auto"/>
          <w:sz w:val="28"/>
          <w:highlight w:val="none"/>
          <w:lang w:eastAsia="zh-CN"/>
        </w:rPr>
        <w:t>运营</w:t>
      </w:r>
      <w:r>
        <w:rPr>
          <w:rFonts w:hint="eastAsia" w:ascii="宋体" w:hAnsi="宋体" w:eastAsia="宋体" w:cs="宋体"/>
          <w:bCs/>
          <w:caps w:val="0"/>
          <w:smallCaps w:val="0"/>
          <w:color w:val="auto"/>
          <w:sz w:val="28"/>
          <w:highlight w:val="none"/>
        </w:rPr>
        <w:t>条件</w:t>
      </w:r>
      <w:bookmarkEnd w:id="595"/>
      <w:bookmarkEnd w:id="596"/>
      <w:bookmarkEnd w:id="597"/>
    </w:p>
    <w:p w14:paraId="26F6D87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【说明：基于甲、乙双方对项目运营条件所达成的共识，特许经营协议应约定政府有义务和责任为保障项目正常运营提供的</w:t>
      </w:r>
      <w:r>
        <w:rPr>
          <w:rFonts w:hint="eastAsia" w:ascii="宋体" w:hAnsi="宋体" w:eastAsia="宋体" w:cs="宋体"/>
          <w:caps w:val="0"/>
          <w:smallCaps w:val="0"/>
          <w:color w:val="auto"/>
          <w:kern w:val="0"/>
          <w:szCs w:val="32"/>
          <w:highlight w:val="none"/>
          <w:lang w:eastAsia="zh-CN"/>
        </w:rPr>
        <w:t>相关运营</w:t>
      </w:r>
      <w:r>
        <w:rPr>
          <w:rFonts w:hint="eastAsia" w:ascii="宋体" w:hAnsi="宋体" w:eastAsia="宋体" w:cs="宋体"/>
          <w:caps w:val="0"/>
          <w:smallCaps w:val="0"/>
          <w:color w:val="auto"/>
          <w:kern w:val="0"/>
          <w:szCs w:val="32"/>
          <w:highlight w:val="none"/>
        </w:rPr>
        <w:t>条件，但对于应由或可由乙方以市场化方式取得的</w:t>
      </w:r>
      <w:r>
        <w:rPr>
          <w:rFonts w:hint="eastAsia" w:ascii="宋体" w:hAnsi="宋体" w:eastAsia="宋体" w:cs="宋体"/>
          <w:caps w:val="0"/>
          <w:smallCaps w:val="0"/>
          <w:color w:val="auto"/>
          <w:kern w:val="0"/>
          <w:szCs w:val="32"/>
          <w:highlight w:val="none"/>
          <w:lang w:eastAsia="zh-CN"/>
        </w:rPr>
        <w:t>相关</w:t>
      </w:r>
      <w:r>
        <w:rPr>
          <w:rFonts w:hint="eastAsia" w:ascii="宋体" w:hAnsi="宋体" w:eastAsia="宋体" w:cs="宋体"/>
          <w:caps w:val="0"/>
          <w:smallCaps w:val="0"/>
          <w:color w:val="auto"/>
          <w:kern w:val="0"/>
          <w:szCs w:val="32"/>
          <w:highlight w:val="none"/>
        </w:rPr>
        <w:t>条件不宜作为政府方提供的</w:t>
      </w:r>
      <w:r>
        <w:rPr>
          <w:rFonts w:hint="eastAsia" w:ascii="宋体" w:hAnsi="宋体" w:eastAsia="宋体" w:cs="宋体"/>
          <w:caps w:val="0"/>
          <w:smallCaps w:val="0"/>
          <w:color w:val="auto"/>
          <w:kern w:val="0"/>
          <w:szCs w:val="32"/>
          <w:highlight w:val="none"/>
          <w:lang w:eastAsia="zh-CN"/>
        </w:rPr>
        <w:t>运营</w:t>
      </w:r>
      <w:r>
        <w:rPr>
          <w:rFonts w:hint="eastAsia" w:ascii="宋体" w:hAnsi="宋体" w:eastAsia="宋体" w:cs="宋体"/>
          <w:caps w:val="0"/>
          <w:smallCaps w:val="0"/>
          <w:color w:val="auto"/>
          <w:kern w:val="0"/>
          <w:szCs w:val="32"/>
          <w:highlight w:val="none"/>
        </w:rPr>
        <w:t>条件。政府提供的</w:t>
      </w:r>
      <w:r>
        <w:rPr>
          <w:rFonts w:hint="eastAsia" w:ascii="宋体" w:hAnsi="宋体" w:eastAsia="宋体" w:cs="宋体"/>
          <w:caps w:val="0"/>
          <w:smallCaps w:val="0"/>
          <w:color w:val="auto"/>
          <w:kern w:val="0"/>
          <w:szCs w:val="32"/>
          <w:highlight w:val="none"/>
          <w:lang w:eastAsia="zh-CN"/>
        </w:rPr>
        <w:t>运营</w:t>
      </w:r>
      <w:r>
        <w:rPr>
          <w:rFonts w:hint="eastAsia" w:ascii="宋体" w:hAnsi="宋体" w:eastAsia="宋体" w:cs="宋体"/>
          <w:caps w:val="0"/>
          <w:smallCaps w:val="0"/>
          <w:color w:val="auto"/>
          <w:kern w:val="0"/>
          <w:szCs w:val="32"/>
          <w:highlight w:val="none"/>
        </w:rPr>
        <w:t>条件</w:t>
      </w:r>
      <w:r>
        <w:rPr>
          <w:rFonts w:hint="eastAsia" w:ascii="宋体" w:hAnsi="宋体" w:eastAsia="宋体" w:cs="宋体"/>
          <w:caps w:val="0"/>
          <w:smallCaps w:val="0"/>
          <w:color w:val="auto"/>
          <w:kern w:val="0"/>
          <w:szCs w:val="32"/>
          <w:highlight w:val="none"/>
          <w:lang w:eastAsia="zh-CN"/>
        </w:rPr>
        <w:t>包括</w:t>
      </w:r>
      <w:r>
        <w:rPr>
          <w:rFonts w:hint="eastAsia" w:ascii="宋体" w:hAnsi="宋体" w:eastAsia="宋体" w:cs="宋体"/>
          <w:caps w:val="0"/>
          <w:smallCaps w:val="0"/>
          <w:color w:val="auto"/>
          <w:kern w:val="0"/>
          <w:szCs w:val="32"/>
          <w:highlight w:val="none"/>
        </w:rPr>
        <w:t>：</w:t>
      </w:r>
    </w:p>
    <w:p w14:paraId="25566F9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lang w:eastAsia="zh-CN"/>
        </w:rPr>
      </w:pPr>
      <w:r>
        <w:rPr>
          <w:rFonts w:hint="eastAsia" w:ascii="宋体" w:hAnsi="宋体" w:eastAsia="宋体" w:cs="宋体"/>
          <w:caps w:val="0"/>
          <w:smallCaps w:val="0"/>
          <w:color w:val="auto"/>
          <w:kern w:val="0"/>
          <w:szCs w:val="32"/>
          <w:highlight w:val="none"/>
        </w:rPr>
        <w:t>（1）项目运营所需的外部配套设施、设备和服务及其具体内容、规格、提供方式（无偿提供、租赁等）和费用标准等。</w:t>
      </w:r>
      <w:r>
        <w:rPr>
          <w:rFonts w:hint="eastAsia" w:ascii="宋体" w:hAnsi="宋体" w:eastAsia="宋体" w:cs="宋体"/>
          <w:caps w:val="0"/>
          <w:smallCaps w:val="0"/>
          <w:color w:val="auto"/>
          <w:kern w:val="0"/>
          <w:szCs w:val="32"/>
          <w:highlight w:val="none"/>
          <w:lang w:eastAsia="zh-CN"/>
        </w:rPr>
        <w:t>对于涉及政府向项目公司转让相关资产或资产经营权、出租资产等的资产移交情形（例如在项目公司投资范围仅包括项目局部功能模块的情形下，政府方可能将其自行投资建设形成的项目其他资产交由项目公司统一组织运营管理），则需对政府移交相关资产的移交准备工作、移交范围和标准、移交程序、可能的价款支付安排、违规处理等事项进行约定。</w:t>
      </w:r>
    </w:p>
    <w:p w14:paraId="3E17BE3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（2）项目生产运营所需应当由政府方予以提供或保障的特定资源及其来源、质量、提供方式和费用标准等，如自来水厂的原水水源、水质及水价；污水处理厂的进水来源、进水水质等。</w:t>
      </w:r>
    </w:p>
    <w:p w14:paraId="42C0376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（3）对不属于本项目责任范围内的项目特定产出物的处置方式及配套条件，可能如污水处理厂的出水、污泥的处置，垃圾焚烧厂的飞灰、灰渣的处置等。</w:t>
      </w:r>
    </w:p>
    <w:p w14:paraId="1F934CF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（4）道路、供水、供电、供气、供热、排水等其他保障条件】</w:t>
      </w:r>
    </w:p>
    <w:p w14:paraId="50BE036E">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598" w:name="_Toc157067931"/>
      <w:bookmarkEnd w:id="598"/>
      <w:bookmarkStart w:id="599" w:name="_Toc157067936"/>
      <w:bookmarkEnd w:id="599"/>
      <w:bookmarkStart w:id="600" w:name="_Toc157067933"/>
      <w:bookmarkEnd w:id="600"/>
      <w:bookmarkStart w:id="601" w:name="_Toc157067932"/>
      <w:bookmarkEnd w:id="601"/>
      <w:bookmarkStart w:id="602" w:name="_Toc157067935"/>
      <w:bookmarkEnd w:id="602"/>
      <w:bookmarkStart w:id="603" w:name="_Toc157067934"/>
      <w:bookmarkEnd w:id="603"/>
      <w:bookmarkStart w:id="604" w:name="_Toc1551136975"/>
      <w:bookmarkStart w:id="605" w:name="_Toc405146855"/>
      <w:bookmarkStart w:id="606" w:name="_Toc402428933"/>
      <w:r>
        <w:rPr>
          <w:rFonts w:hint="eastAsia" w:ascii="宋体" w:hAnsi="宋体" w:eastAsia="宋体" w:cs="宋体"/>
          <w:bCs/>
          <w:caps w:val="0"/>
          <w:smallCaps w:val="0"/>
          <w:color w:val="auto"/>
          <w:sz w:val="28"/>
          <w:highlight w:val="none"/>
        </w:rPr>
        <w:t>试运营和正式运营</w:t>
      </w:r>
      <w:bookmarkEnd w:id="604"/>
      <w:bookmarkEnd w:id="605"/>
      <w:bookmarkEnd w:id="606"/>
    </w:p>
    <w:p w14:paraId="3DEC35C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【说明：特许经营协议需根据项目实际情况约定试运行或试运营的安排，应明确开始正式运营的前提条件、时间和确认方式等。本《范本》暂统一使用</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试运营</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一词以作示例，具体项目根据行业规范或惯例可分别采用</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试运行</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试运营</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或其他类似用词。具体说明如下：</w:t>
      </w:r>
    </w:p>
    <w:p w14:paraId="47703B8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（1）试运营。如需进行试运营的，协议需约定申请试运营的前提条件和技术标准，申请程序安排及取得许可，试运营的期限，地方和行业规范要求等。</w:t>
      </w:r>
    </w:p>
    <w:p w14:paraId="1085923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（2）正式运营。特许经营协议应约定正式运营的前提条件，申请进行正式运营的程序，正式运营开始时间和确认方式等。</w:t>
      </w:r>
    </w:p>
    <w:p w14:paraId="50AF60C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（3）采用由政府或其依法授权机构代为向用户收费，执行财政</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收支两条线</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的项目，协议应约定自试运营或正式运营之日起按约定向特许经营者支付服务费用。】</w:t>
      </w:r>
    </w:p>
    <w:p w14:paraId="79743B6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6DD68F3D">
      <w:pPr>
        <w:pStyle w:val="5"/>
        <w:keepNext w:val="0"/>
        <w:keepLines w:val="0"/>
        <w:pageBreakBefore w:val="0"/>
        <w:widowControl w:val="0"/>
        <w:numPr>
          <w:ilvl w:val="2"/>
          <w:numId w:val="5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试运营</w:t>
      </w:r>
    </w:p>
    <w:p w14:paraId="62C98023">
      <w:pPr>
        <w:pStyle w:val="232"/>
        <w:keepNext w:val="0"/>
        <w:keepLines w:val="0"/>
        <w:pageBreakBefore w:val="0"/>
        <w:widowControl w:val="0"/>
        <w:numPr>
          <w:ilvl w:val="0"/>
          <w:numId w:val="0"/>
        </w:numPr>
        <w:tabs>
          <w:tab w:val="left" w:pos="142"/>
          <w:tab w:val="left" w:pos="993"/>
        </w:tabs>
        <w:kinsoku/>
        <w:wordWrap/>
        <w:overflowPunct/>
        <w:topLinePunct w:val="0"/>
        <w:autoSpaceDE w:val="0"/>
        <w:autoSpaceDN w:val="0"/>
        <w:bidi w:val="0"/>
        <w:spacing w:before="0" w:beforeLines="0" w:after="0" w:afterLines="0" w:line="360" w:lineRule="auto"/>
        <w:ind w:left="560" w:firstLine="0"/>
        <w:textAlignment w:val="baseline"/>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1</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试运营前提条件</w:t>
      </w:r>
    </w:p>
    <w:p w14:paraId="49E8B14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乙方在试运营之前，应按试运营相关规定和要求组织完成本项目相关验收等必</w:t>
      </w:r>
      <w:r>
        <w:rPr>
          <w:rFonts w:hint="eastAsia" w:ascii="宋体" w:hAnsi="宋体" w:eastAsia="宋体" w:cs="宋体"/>
          <w:caps w:val="0"/>
          <w:smallCaps w:val="0"/>
          <w:color w:val="auto"/>
          <w:highlight w:val="none"/>
          <w:lang w:eastAsia="zh-CN"/>
        </w:rPr>
        <w:t>需</w:t>
      </w:r>
      <w:r>
        <w:rPr>
          <w:rFonts w:hint="eastAsia" w:ascii="宋体" w:hAnsi="宋体" w:eastAsia="宋体" w:cs="宋体"/>
          <w:caps w:val="0"/>
          <w:smallCaps w:val="0"/>
          <w:color w:val="auto"/>
          <w:highlight w:val="none"/>
        </w:rPr>
        <w:t>的前置工作，达到开展试运营的技术条件、组织条件和相关审批条件。</w:t>
      </w:r>
    </w:p>
    <w:p w14:paraId="48A4A7B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（2）项目启动试运营的程序</w:t>
      </w:r>
    </w:p>
    <w:p w14:paraId="69BFF9F1">
      <w:pPr>
        <w:pStyle w:val="232"/>
        <w:keepNext w:val="0"/>
        <w:keepLines w:val="0"/>
        <w:pageBreakBefore w:val="0"/>
        <w:widowControl w:val="0"/>
        <w:numPr>
          <w:ilvl w:val="1"/>
          <w:numId w:val="5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具备试运营条件后乙方应至少提前【】个工作日向甲方发出开始试运营的书面通知，告知预计的开始试运营的日期，并提交能够说明项目已具备开始试运营条件的书面材料。试运营应在甲方代表到场的情况下进行。</w:t>
      </w:r>
    </w:p>
    <w:p w14:paraId="799CCBEB">
      <w:pPr>
        <w:pStyle w:val="232"/>
        <w:keepNext w:val="0"/>
        <w:keepLines w:val="0"/>
        <w:pageBreakBefore w:val="0"/>
        <w:widowControl w:val="0"/>
        <w:numPr>
          <w:ilvl w:val="1"/>
          <w:numId w:val="5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甲方应自接到开始试运营申请之日后【】个工作日内书面通知乙方是否同意开始试运营，如果不同意须同时书面陈述理由。逾期未通知亦未书面陈述不同意理由的，视为甲方同意乙方开始试运营。</w:t>
      </w:r>
    </w:p>
    <w:p w14:paraId="4FC3D8B1">
      <w:pPr>
        <w:pStyle w:val="232"/>
        <w:keepNext w:val="0"/>
        <w:keepLines w:val="0"/>
        <w:pageBreakBefore w:val="0"/>
        <w:widowControl w:val="0"/>
        <w:numPr>
          <w:ilvl w:val="1"/>
          <w:numId w:val="5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甲方有义务按照本协议约定落实或协助落实向乙方提供符合约定要求的试运营条件。</w:t>
      </w:r>
    </w:p>
    <w:p w14:paraId="6E3EE5EC">
      <w:pPr>
        <w:pStyle w:val="232"/>
        <w:keepNext w:val="0"/>
        <w:keepLines w:val="0"/>
        <w:pageBreakBefore w:val="0"/>
        <w:widowControl w:val="0"/>
        <w:numPr>
          <w:ilvl w:val="1"/>
          <w:numId w:val="5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试运营完成后，乙方应向甲方提交一份试运营已完毕的书面报告，阐明试运营的详细程序及结果。</w:t>
      </w:r>
    </w:p>
    <w:p w14:paraId="2B2A130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（3）试运营的一般规定</w:t>
      </w:r>
    </w:p>
    <w:p w14:paraId="5803F488">
      <w:pPr>
        <w:pStyle w:val="232"/>
        <w:keepNext w:val="0"/>
        <w:keepLines w:val="0"/>
        <w:pageBreakBefore w:val="0"/>
        <w:widowControl w:val="0"/>
        <w:numPr>
          <w:ilvl w:val="1"/>
          <w:numId w:val="52"/>
        </w:numPr>
        <w:tabs>
          <w:tab w:val="left" w:pos="142"/>
          <w:tab w:val="left" w:pos="993"/>
        </w:tabs>
        <w:kinsoku/>
        <w:wordWrap/>
        <w:overflowPunct/>
        <w:topLinePunct w:val="0"/>
        <w:autoSpaceDE w:val="0"/>
        <w:autoSpaceDN w:val="0"/>
        <w:bidi w:val="0"/>
        <w:spacing w:before="0" w:beforeLines="0" w:after="0" w:afterLines="0" w:line="360" w:lineRule="auto"/>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试运营应不少于</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天，且不应超过</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天；</w:t>
      </w:r>
    </w:p>
    <w:p w14:paraId="11993B66">
      <w:pPr>
        <w:pStyle w:val="232"/>
        <w:keepNext w:val="0"/>
        <w:keepLines w:val="0"/>
        <w:pageBreakBefore w:val="0"/>
        <w:widowControl w:val="0"/>
        <w:numPr>
          <w:ilvl w:val="1"/>
          <w:numId w:val="52"/>
        </w:numPr>
        <w:tabs>
          <w:tab w:val="left" w:pos="142"/>
          <w:tab w:val="left" w:pos="993"/>
        </w:tabs>
        <w:kinsoku/>
        <w:wordWrap/>
        <w:overflowPunct/>
        <w:topLinePunct w:val="0"/>
        <w:autoSpaceDE w:val="0"/>
        <w:autoSpaceDN w:val="0"/>
        <w:bidi w:val="0"/>
        <w:spacing w:before="0" w:beforeLines="0" w:after="0" w:afterLines="0" w:line="360" w:lineRule="auto"/>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进行试运营时，所有测量数据及测试结果均不得进行误差调整；所有的系统的功能测试应同时进行。</w:t>
      </w:r>
    </w:p>
    <w:p w14:paraId="6FA8FB4E">
      <w:pPr>
        <w:pStyle w:val="232"/>
        <w:keepNext w:val="0"/>
        <w:keepLines w:val="0"/>
        <w:pageBreakBefore w:val="0"/>
        <w:widowControl w:val="0"/>
        <w:numPr>
          <w:ilvl w:val="1"/>
          <w:numId w:val="52"/>
        </w:numPr>
        <w:tabs>
          <w:tab w:val="left" w:pos="142"/>
          <w:tab w:val="left" w:pos="993"/>
        </w:tabs>
        <w:kinsoku/>
        <w:wordWrap/>
        <w:overflowPunct/>
        <w:topLinePunct w:val="0"/>
        <w:autoSpaceDE w:val="0"/>
        <w:autoSpaceDN w:val="0"/>
        <w:bidi w:val="0"/>
        <w:spacing w:before="0" w:beforeLines="0" w:after="0" w:afterLines="0" w:line="360" w:lineRule="auto"/>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试运营应符合国家相关法律法规、技术标准和规范规程的规定。</w:t>
      </w:r>
    </w:p>
    <w:p w14:paraId="467026E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4</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试运营期间的项目成本和收入处理</w:t>
      </w:r>
    </w:p>
    <w:p w14:paraId="061AA33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【双方具体约定。】</w:t>
      </w:r>
    </w:p>
    <w:p w14:paraId="33B37E18">
      <w:pPr>
        <w:pStyle w:val="5"/>
        <w:keepNext w:val="0"/>
        <w:keepLines w:val="0"/>
        <w:pageBreakBefore w:val="0"/>
        <w:widowControl w:val="0"/>
        <w:numPr>
          <w:ilvl w:val="2"/>
          <w:numId w:val="5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正式运营</w:t>
      </w:r>
    </w:p>
    <w:p w14:paraId="6610F880">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1</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乙方应在完成试运营并具备正式运营条件后书面向甲方提出开始正式运营的申请。</w:t>
      </w:r>
    </w:p>
    <w:p w14:paraId="7A28AABE">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2</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甲方自收到书面申请之日后【】个工作日内书面通知乙方是否同意乙方申请的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正式运营日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，如果不同意须同时书面陈述理由，</w:t>
      </w:r>
      <w:bookmarkStart w:id="607" w:name="_Hlk161734367"/>
      <w:r>
        <w:rPr>
          <w:rFonts w:hint="eastAsia" w:ascii="宋体" w:hAnsi="宋体" w:eastAsia="宋体" w:cs="宋体"/>
          <w:caps w:val="0"/>
          <w:smallCaps w:val="0"/>
          <w:color w:val="auto"/>
          <w:highlight w:val="none"/>
        </w:rPr>
        <w:t>逾期未通知亦未书面陈述不同意理由的，</w:t>
      </w:r>
      <w:bookmarkEnd w:id="607"/>
      <w:r>
        <w:rPr>
          <w:rFonts w:hint="eastAsia" w:ascii="宋体" w:hAnsi="宋体" w:eastAsia="宋体" w:cs="宋体"/>
          <w:caps w:val="0"/>
          <w:smallCaps w:val="0"/>
          <w:color w:val="auto"/>
          <w:highlight w:val="none"/>
        </w:rPr>
        <w:t>视为乙方申请的正式运营之日为</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正式运营日</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19681D23">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3</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自正式运营日起，甲方应按本协议约定为项目运营提供必要条件【如有或具体约定】。</w:t>
      </w:r>
    </w:p>
    <w:p w14:paraId="6315E26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08" w:name="_Toc162394919"/>
      <w:bookmarkEnd w:id="608"/>
      <w:bookmarkStart w:id="609" w:name="_Toc405146856"/>
      <w:bookmarkStart w:id="610" w:name="_Toc1821609131"/>
      <w:bookmarkStart w:id="611" w:name="_Toc402428934"/>
      <w:r>
        <w:rPr>
          <w:rFonts w:hint="eastAsia" w:ascii="宋体" w:hAnsi="宋体" w:eastAsia="宋体" w:cs="宋体"/>
          <w:bCs/>
          <w:caps w:val="0"/>
          <w:smallCaps w:val="0"/>
          <w:color w:val="auto"/>
          <w:sz w:val="28"/>
          <w:highlight w:val="none"/>
        </w:rPr>
        <w:t>质量和服务标准</w:t>
      </w:r>
      <w:bookmarkEnd w:id="609"/>
      <w:bookmarkEnd w:id="610"/>
      <w:bookmarkEnd w:id="611"/>
    </w:p>
    <w:p w14:paraId="1456DE5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【说明：协议应从维护环境、公共安全、公共利益、员工及用户健康、符合安全法规、提高运营效率、创新服务等角度，约定项目运营安全、质量和服务标准。详细内容可在协议附件中约定。</w:t>
      </w:r>
    </w:p>
    <w:p w14:paraId="15C8A39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（1）生产规模或服务能力。</w:t>
      </w:r>
    </w:p>
    <w:p w14:paraId="1836873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（2）生产和服务安全。特许经营协议中应根据项目实际情况，约定生产和服务的安全要求、安全制度、安全预防，明确安全责任等。如供气安全、供热安全等。</w:t>
      </w:r>
    </w:p>
    <w:p w14:paraId="63438E8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（3）服务标准。项目应根据地区和行业技术规程等在协议中明确技术标准和服务标准，如</w:t>
      </w:r>
      <w:r>
        <w:rPr>
          <w:rFonts w:hint="eastAsia" w:ascii="宋体" w:hAnsi="宋体" w:eastAsia="宋体" w:cs="宋体"/>
          <w:caps w:val="0"/>
          <w:smallCaps w:val="0"/>
          <w:color w:val="auto"/>
          <w:kern w:val="0"/>
          <w:szCs w:val="32"/>
          <w:highlight w:val="none"/>
          <w:lang w:eastAsia="zh-CN"/>
        </w:rPr>
        <w:t>污水处理厂</w:t>
      </w:r>
      <w:r>
        <w:rPr>
          <w:rFonts w:hint="eastAsia" w:ascii="宋体" w:hAnsi="宋体" w:eastAsia="宋体" w:cs="宋体"/>
          <w:caps w:val="0"/>
          <w:smallCaps w:val="0"/>
          <w:color w:val="auto"/>
          <w:kern w:val="0"/>
          <w:szCs w:val="32"/>
          <w:highlight w:val="none"/>
        </w:rPr>
        <w:t>的进水和出水标准、污泥处理处置等排放处置标准，自来水厂的</w:t>
      </w:r>
      <w:r>
        <w:rPr>
          <w:rFonts w:hint="eastAsia" w:ascii="宋体" w:hAnsi="宋体" w:eastAsia="宋体" w:cs="宋体"/>
          <w:caps w:val="0"/>
          <w:smallCaps w:val="0"/>
          <w:color w:val="auto"/>
          <w:kern w:val="0"/>
          <w:szCs w:val="32"/>
          <w:highlight w:val="none"/>
          <w:lang w:eastAsia="zh-CN"/>
        </w:rPr>
        <w:t>供水</w:t>
      </w:r>
      <w:r>
        <w:rPr>
          <w:rFonts w:hint="eastAsia" w:ascii="宋体" w:hAnsi="宋体" w:eastAsia="宋体" w:cs="宋体"/>
          <w:caps w:val="0"/>
          <w:smallCaps w:val="0"/>
          <w:color w:val="auto"/>
          <w:kern w:val="0"/>
          <w:szCs w:val="32"/>
          <w:highlight w:val="none"/>
        </w:rPr>
        <w:t>水压、水质标准，供气单位的管输和灶前压力、燃烧热值等。向社会公开各项服务指标，接受社会的监督。</w:t>
      </w:r>
    </w:p>
    <w:p w14:paraId="2E217DC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（4）质量和服务。应按照适用法律在特许经营区域范围内明确服务内容、质量要求，建立质量检测制度。】</w:t>
      </w:r>
    </w:p>
    <w:p w14:paraId="249EAA9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r>
        <w:rPr>
          <w:rFonts w:hint="eastAsia" w:ascii="宋体" w:hAnsi="宋体" w:eastAsia="宋体" w:cs="宋体"/>
          <w:caps w:val="0"/>
          <w:smallCaps w:val="0"/>
          <w:color w:val="auto"/>
          <w:kern w:val="0"/>
          <w:szCs w:val="32"/>
          <w:highlight w:val="none"/>
          <w:lang w:eastAsia="zh-CN"/>
        </w:rPr>
        <w:t>适用</w:t>
      </w:r>
      <w:r>
        <w:rPr>
          <w:rFonts w:hint="eastAsia" w:ascii="宋体" w:hAnsi="宋体" w:eastAsia="宋体" w:cs="宋体"/>
          <w:caps w:val="0"/>
          <w:smallCaps w:val="0"/>
          <w:color w:val="auto"/>
          <w:kern w:val="0"/>
          <w:szCs w:val="32"/>
          <w:highlight w:val="none"/>
        </w:rPr>
        <w:t>垃圾焚烧项目】</w:t>
      </w:r>
    </w:p>
    <w:p w14:paraId="446EA315">
      <w:pPr>
        <w:keepNext w:val="0"/>
        <w:keepLines w:val="0"/>
        <w:pageBreakBefore w:val="0"/>
        <w:widowControl w:val="0"/>
        <w:numPr>
          <w:ilvl w:val="0"/>
          <w:numId w:val="53"/>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建立安全生产制度，建立环境风险防控体系、明确环境风险防范、减缓措施，保障生产和服务的稳定和安全，防止事故发生。如出现重大意外事故，应立即通报甲方，并尽最大人力、物力进行抢救，尽快恢复生产和服务；在事故影响期间，乙方应采取各种应急措施进行补救，尽量减少事故对公众的影响。</w:t>
      </w:r>
    </w:p>
    <w:p w14:paraId="72F10A49">
      <w:pPr>
        <w:keepNext w:val="0"/>
        <w:keepLines w:val="0"/>
        <w:pageBreakBefore w:val="0"/>
        <w:widowControl w:val="0"/>
        <w:numPr>
          <w:ilvl w:val="0"/>
          <w:numId w:val="53"/>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建立健全检测和检验制度，按照国家或行业规定和本协议约定的检测项目、检测频率和有关标准、方法定期检测垃圾焚烧发电厂的烟气排放、炉渣排放和渗沥液处理等项目，做好各项检测分析资料的汇总、归档工作。</w:t>
      </w:r>
    </w:p>
    <w:p w14:paraId="1EE5F9F3">
      <w:pPr>
        <w:keepNext w:val="0"/>
        <w:keepLines w:val="0"/>
        <w:pageBreakBefore w:val="0"/>
        <w:widowControl w:val="0"/>
        <w:numPr>
          <w:ilvl w:val="0"/>
          <w:numId w:val="53"/>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乙方应为员工提供必要的劳动保护，保障员工健康安全。</w:t>
      </w:r>
    </w:p>
    <w:p w14:paraId="3B22D047">
      <w:pPr>
        <w:keepNext w:val="0"/>
        <w:keepLines w:val="0"/>
        <w:pageBreakBefore w:val="0"/>
        <w:widowControl w:val="0"/>
        <w:numPr>
          <w:ilvl w:val="0"/>
          <w:numId w:val="53"/>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垃圾处理质量要求</w:t>
      </w:r>
    </w:p>
    <w:p w14:paraId="3368ED2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垃圾焚烧处理质量、总体技术要求、外排烟气处理、残渣处理、废水处理、环境质量检测要求等应满足法律法规和本协议《技术规范和要求》的规定。</w:t>
      </w:r>
    </w:p>
    <w:p w14:paraId="17E00BFD">
      <w:pPr>
        <w:keepNext w:val="0"/>
        <w:keepLines w:val="0"/>
        <w:pageBreakBefore w:val="0"/>
        <w:widowControl w:val="0"/>
        <w:numPr>
          <w:ilvl w:val="0"/>
          <w:numId w:val="53"/>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服务标准</w:t>
      </w:r>
    </w:p>
    <w:p w14:paraId="4234660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（1）外排烟气标准及处理【根据项目具体约定，在线监控系统必须与环保部门联网】</w:t>
      </w:r>
    </w:p>
    <w:p w14:paraId="24749EC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（2）炉渣、飞灰处理</w:t>
      </w:r>
      <w:bookmarkStart w:id="612" w:name="_Hlk153893481"/>
      <w:r>
        <w:rPr>
          <w:rFonts w:hint="eastAsia" w:ascii="宋体" w:hAnsi="宋体" w:eastAsia="宋体" w:cs="宋体"/>
          <w:caps w:val="0"/>
          <w:smallCaps w:val="0"/>
          <w:color w:val="auto"/>
          <w:kern w:val="0"/>
          <w:szCs w:val="32"/>
          <w:highlight w:val="none"/>
        </w:rPr>
        <w:t>【根据项目具体情况约定】</w:t>
      </w:r>
      <w:bookmarkEnd w:id="612"/>
    </w:p>
    <w:p w14:paraId="5950FF9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（3）渗滤液和车辆清洗废水的处理</w:t>
      </w:r>
      <w:bookmarkStart w:id="613" w:name="_Hlk153893790"/>
      <w:r>
        <w:rPr>
          <w:rFonts w:hint="eastAsia" w:ascii="宋体" w:hAnsi="宋体" w:eastAsia="宋体" w:cs="宋体"/>
          <w:caps w:val="0"/>
          <w:smallCaps w:val="0"/>
          <w:color w:val="auto"/>
          <w:kern w:val="0"/>
          <w:szCs w:val="32"/>
          <w:highlight w:val="none"/>
        </w:rPr>
        <w:t>【根据项目具体情况约定】</w:t>
      </w:r>
      <w:bookmarkEnd w:id="613"/>
    </w:p>
    <w:p w14:paraId="6D0B613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（4）臭气控制【根据项目具体情况约定】</w:t>
      </w:r>
    </w:p>
    <w:p w14:paraId="3949BDB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val="en-US" w:eastAsia="zh-CN"/>
        </w:rPr>
        <w:t>6</w:t>
      </w:r>
      <w:r>
        <w:rPr>
          <w:rFonts w:hint="eastAsia" w:ascii="宋体" w:hAnsi="宋体" w:eastAsia="宋体" w:cs="宋体"/>
          <w:caps w:val="0"/>
          <w:smallCaps w:val="0"/>
          <w:color w:val="auto"/>
          <w:kern w:val="0"/>
          <w:szCs w:val="32"/>
          <w:highlight w:val="none"/>
        </w:rPr>
        <w:t>.检测和环境保护【根据项目具体情况约定】</w:t>
      </w:r>
    </w:p>
    <w:p w14:paraId="799D66B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14" w:name="_Toc405146857"/>
      <w:bookmarkStart w:id="615" w:name="_Toc1644018551"/>
      <w:r>
        <w:rPr>
          <w:rFonts w:hint="eastAsia" w:ascii="宋体" w:hAnsi="宋体" w:eastAsia="宋体" w:cs="宋体"/>
          <w:bCs/>
          <w:caps w:val="0"/>
          <w:smallCaps w:val="0"/>
          <w:color w:val="auto"/>
          <w:sz w:val="28"/>
          <w:highlight w:val="none"/>
        </w:rPr>
        <w:t>运营服务要求变更</w:t>
      </w:r>
      <w:bookmarkEnd w:id="614"/>
      <w:bookmarkEnd w:id="615"/>
    </w:p>
    <w:p w14:paraId="6723E20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【说明：特许经营协议应约定运营期间服务标准和要求的变更安排，包括：</w:t>
      </w:r>
    </w:p>
    <w:p w14:paraId="43FC613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（1）变更触发条件，如因政策或外部环境发生重大变化，需要变更运营服务标准等。包括政策要求（如环保政策要求）或配合地方政府需要临时关闭或暂停项目运营的情形。</w:t>
      </w:r>
    </w:p>
    <w:p w14:paraId="0D37512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（2）变更程序，包括变更提出、评估、批准、认定等。</w:t>
      </w:r>
    </w:p>
    <w:p w14:paraId="752B27F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（3）变更服务、新增投资和运营费用的处理安排等。</w:t>
      </w:r>
    </w:p>
    <w:p w14:paraId="07A354F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（4）因政策要求（如环保政策要求）或配合地方政府需要临时关闭或暂停项目运营，需要</w:t>
      </w:r>
      <w:r>
        <w:rPr>
          <w:rFonts w:hint="eastAsia" w:ascii="宋体" w:hAnsi="宋体" w:eastAsia="宋体" w:cs="宋体"/>
          <w:caps w:val="0"/>
          <w:smallCaps w:val="0"/>
          <w:color w:val="auto"/>
          <w:kern w:val="0"/>
          <w:szCs w:val="32"/>
          <w:highlight w:val="none"/>
          <w:lang w:eastAsia="zh-CN"/>
        </w:rPr>
        <w:t>给予</w:t>
      </w:r>
      <w:r>
        <w:rPr>
          <w:rFonts w:hint="eastAsia" w:ascii="宋体" w:hAnsi="宋体" w:eastAsia="宋体" w:cs="宋体"/>
          <w:caps w:val="0"/>
          <w:smallCaps w:val="0"/>
          <w:color w:val="auto"/>
          <w:kern w:val="0"/>
          <w:szCs w:val="32"/>
          <w:highlight w:val="none"/>
        </w:rPr>
        <w:t>合理补偿等。】</w:t>
      </w:r>
    </w:p>
    <w:p w14:paraId="3A5E5BA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r>
        <w:rPr>
          <w:rFonts w:hint="eastAsia" w:ascii="宋体" w:hAnsi="宋体" w:eastAsia="宋体" w:cs="宋体"/>
          <w:caps w:val="0"/>
          <w:smallCaps w:val="0"/>
          <w:color w:val="auto"/>
          <w:kern w:val="0"/>
          <w:szCs w:val="32"/>
          <w:highlight w:val="none"/>
          <w:lang w:eastAsia="zh-CN"/>
        </w:rPr>
        <w:t>适用</w:t>
      </w:r>
      <w:r>
        <w:rPr>
          <w:rFonts w:hint="eastAsia" w:ascii="宋体" w:hAnsi="宋体" w:eastAsia="宋体" w:cs="宋体"/>
          <w:caps w:val="0"/>
          <w:smallCaps w:val="0"/>
          <w:color w:val="auto"/>
          <w:kern w:val="0"/>
          <w:szCs w:val="32"/>
          <w:highlight w:val="none"/>
        </w:rPr>
        <w:t>轨道交通项目】</w:t>
      </w:r>
    </w:p>
    <w:p w14:paraId="1F38811C">
      <w:pPr>
        <w:pStyle w:val="5"/>
        <w:keepNext w:val="0"/>
        <w:keepLines w:val="0"/>
        <w:pageBreakBefore w:val="0"/>
        <w:widowControl w:val="0"/>
        <w:numPr>
          <w:ilvl w:val="2"/>
          <w:numId w:val="5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客运服务要求变更</w:t>
      </w:r>
    </w:p>
    <w:p w14:paraId="43C9DA6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1</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因适用法律变更或本项目运营和服务适用的技术标准作出修订，需要对本项目运营和服务进行调整的，乙方应根据适用法律和相关技术标准作出相应变更。</w:t>
      </w:r>
    </w:p>
    <w:p w14:paraId="0C6A772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2</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甲方因城市管理或为公共利益需要对本项目运营管理提出变更要求的，乙方应做相应调整以满足该等要求。</w:t>
      </w:r>
    </w:p>
    <w:p w14:paraId="0835DBE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3</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客运服务要求的变更和修改应遵照以下程序进行：</w:t>
      </w:r>
    </w:p>
    <w:p w14:paraId="4B5B29BA">
      <w:pPr>
        <w:pStyle w:val="232"/>
        <w:keepNext w:val="0"/>
        <w:keepLines w:val="0"/>
        <w:pageBreakBefore w:val="0"/>
        <w:widowControl w:val="0"/>
        <w:numPr>
          <w:ilvl w:val="1"/>
          <w:numId w:val="5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甲方书面通知乙方要求其提交客运服务要求变更和修改的计划。</w:t>
      </w:r>
    </w:p>
    <w:p w14:paraId="4A6EF4EE">
      <w:pPr>
        <w:pStyle w:val="232"/>
        <w:keepNext w:val="0"/>
        <w:keepLines w:val="0"/>
        <w:pageBreakBefore w:val="0"/>
        <w:widowControl w:val="0"/>
        <w:numPr>
          <w:ilvl w:val="1"/>
          <w:numId w:val="5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乙方应在</w:t>
      </w:r>
      <w:r>
        <w:rPr>
          <w:rFonts w:hint="eastAsia" w:ascii="宋体" w:hAnsi="宋体" w:eastAsia="宋体" w:cs="宋体"/>
          <w:caps w:val="0"/>
          <w:smallCaps w:val="0"/>
          <w:color w:val="auto"/>
          <w:highlight w:val="none"/>
          <w:u w:val="single"/>
        </w:rPr>
        <w:t>【】</w:t>
      </w:r>
      <w:r>
        <w:rPr>
          <w:rFonts w:hint="eastAsia" w:ascii="宋体" w:hAnsi="宋体" w:eastAsia="宋体" w:cs="宋体"/>
          <w:caps w:val="0"/>
          <w:smallCaps w:val="0"/>
          <w:color w:val="auto"/>
          <w:highlight w:val="none"/>
        </w:rPr>
        <w:t>个工作日内根据法律变更或甲方的要求将变更和修改计划以书面形式提交相关政府部门；</w:t>
      </w:r>
    </w:p>
    <w:p w14:paraId="038E774F">
      <w:pPr>
        <w:pStyle w:val="232"/>
        <w:keepNext w:val="0"/>
        <w:keepLines w:val="0"/>
        <w:pageBreakBefore w:val="0"/>
        <w:widowControl w:val="0"/>
        <w:numPr>
          <w:ilvl w:val="1"/>
          <w:numId w:val="5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甲方就乙方提交的变更和修改计划给予书面答复，【】个工作日内未答复的视同为同意。</w:t>
      </w:r>
    </w:p>
    <w:p w14:paraId="7FD26D0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4</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乙方要求变更服务标准的，应事先向甲方提供书面变更申请，经甲方批准后方可实施。</w:t>
      </w:r>
    </w:p>
    <w:p w14:paraId="1141738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5</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变更和修改的效力</w:t>
      </w:r>
    </w:p>
    <w:p w14:paraId="3933023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经甲方同意或视为同意的变更和修改的客运服务要求应视为本协议的一部分，由乙方遵照执行。</w:t>
      </w:r>
    </w:p>
    <w:p w14:paraId="3424A27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6</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运营成本或资本性支出的增加和补偿</w:t>
      </w:r>
    </w:p>
    <w:p w14:paraId="12118D8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有义务尽其最大努力通过提高运营管理效率尽可能减少运营成本或资本性支出的增加。对于因法律变更引起的服务要求变更而导致乙方的运营成本或资本性支出的增加，乙方有权按协议的规定获得运营期行业补偿调整或增加特许经营期</w:t>
      </w:r>
      <w:bookmarkStart w:id="616" w:name="_Hlk154046090"/>
      <w:r>
        <w:rPr>
          <w:rFonts w:hint="eastAsia" w:ascii="宋体" w:hAnsi="宋体" w:eastAsia="宋体" w:cs="宋体"/>
          <w:caps w:val="0"/>
          <w:smallCaps w:val="0"/>
          <w:color w:val="auto"/>
          <w:kern w:val="0"/>
          <w:szCs w:val="32"/>
          <w:highlight w:val="none"/>
        </w:rPr>
        <w:t>【具体根据项目情况约定】</w:t>
      </w:r>
      <w:bookmarkEnd w:id="616"/>
      <w:r>
        <w:rPr>
          <w:rFonts w:hint="eastAsia" w:ascii="宋体" w:hAnsi="宋体" w:eastAsia="宋体" w:cs="宋体"/>
          <w:caps w:val="0"/>
          <w:smallCaps w:val="0"/>
          <w:color w:val="auto"/>
          <w:kern w:val="0"/>
          <w:szCs w:val="32"/>
          <w:highlight w:val="none"/>
        </w:rPr>
        <w:t>；对于因法律变更引起的服务要求变更而导致乙方的运营成本或资本性支出的减少，甲方有权调整行业补助金额【具体根据项目情况约定】。</w:t>
      </w:r>
    </w:p>
    <w:p w14:paraId="43B2C4C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7</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乙方为履行本协议的规定所做的任何服务的变更或修改，包括客运服务标准、年度运营计划等，应根据合理需要在相应的场所或媒体进行公示，公示后执行。</w:t>
      </w:r>
    </w:p>
    <w:p w14:paraId="5596B0CF">
      <w:pPr>
        <w:pStyle w:val="5"/>
        <w:keepNext w:val="0"/>
        <w:keepLines w:val="0"/>
        <w:pageBreakBefore w:val="0"/>
        <w:widowControl w:val="0"/>
        <w:numPr>
          <w:ilvl w:val="2"/>
          <w:numId w:val="5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临时关闭或暂停运营服务</w:t>
      </w:r>
    </w:p>
    <w:p w14:paraId="3B445D2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因政策要求或甲方及政府方需要临时关闭或暂停项目运营的，甲方应向乙方发出书面通知，并启动临时关闭或暂停情形下的运营服务预案。乙方执行临时关闭或暂停运营后，双方可根据其实际影响情况商谈签订补充协议，明确给予乙方补偿或延长特许经营期限等内容。</w:t>
      </w:r>
    </w:p>
    <w:p w14:paraId="1A4A1D4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17" w:name="_Toc405146858"/>
      <w:bookmarkStart w:id="618" w:name="_Toc1412010181"/>
      <w:bookmarkStart w:id="619" w:name="_Toc402428935"/>
      <w:r>
        <w:rPr>
          <w:rFonts w:hint="eastAsia" w:ascii="宋体" w:hAnsi="宋体" w:eastAsia="宋体" w:cs="宋体"/>
          <w:bCs/>
          <w:caps w:val="0"/>
          <w:smallCaps w:val="0"/>
          <w:color w:val="auto"/>
          <w:sz w:val="28"/>
          <w:highlight w:val="none"/>
        </w:rPr>
        <w:t>项目设施的运营与维护</w:t>
      </w:r>
      <w:bookmarkEnd w:id="617"/>
      <w:bookmarkEnd w:id="618"/>
      <w:bookmarkEnd w:id="619"/>
    </w:p>
    <w:p w14:paraId="510693F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【说明：特许经营协议应约定项目设施的运营与维护事项。详细内容可在协议附件中描述，包括：</w:t>
      </w:r>
    </w:p>
    <w:p w14:paraId="60B32D1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（1）设施运营与维护的基本要求。</w:t>
      </w:r>
    </w:p>
    <w:p w14:paraId="646260C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（2）运营维护的范围和技术标准。</w:t>
      </w:r>
    </w:p>
    <w:p w14:paraId="588AAD5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（3）项目经营计划、设施维护方案、运营维护记录和报告制度。</w:t>
      </w:r>
    </w:p>
    <w:p w14:paraId="667BD9B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（4）操作标准、运营维护手册】</w:t>
      </w:r>
    </w:p>
    <w:p w14:paraId="3434757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649B0E43">
      <w:pPr>
        <w:pStyle w:val="5"/>
        <w:keepNext w:val="0"/>
        <w:keepLines w:val="0"/>
        <w:pageBreakBefore w:val="0"/>
        <w:widowControl w:val="0"/>
        <w:numPr>
          <w:ilvl w:val="2"/>
          <w:numId w:val="5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运营与维护的基本要求</w:t>
      </w:r>
    </w:p>
    <w:p w14:paraId="5A9954D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（1）乙方应保证项目设施正常运转。</w:t>
      </w:r>
    </w:p>
    <w:p w14:paraId="168B489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（2）在整个运营期内，乙方应根据本协议的规定，自行承担费用（包括税费）和风险，管理、运营和维护项目设施。乙方应确保在整个运营期内，始终根据下列规定运营并维护项目设施：</w:t>
      </w:r>
    </w:p>
    <w:p w14:paraId="5CFAFD2D">
      <w:pPr>
        <w:pStyle w:val="232"/>
        <w:keepNext w:val="0"/>
        <w:keepLines w:val="0"/>
        <w:pageBreakBefore w:val="0"/>
        <w:widowControl w:val="0"/>
        <w:numPr>
          <w:ilvl w:val="2"/>
          <w:numId w:val="5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国家和地方现行的有关法律法规，国家、行业和地方技术标准和规范规程，本项目有关批准文件的要求；</w:t>
      </w:r>
    </w:p>
    <w:p w14:paraId="6429D893">
      <w:pPr>
        <w:pStyle w:val="232"/>
        <w:keepNext w:val="0"/>
        <w:keepLines w:val="0"/>
        <w:pageBreakBefore w:val="0"/>
        <w:widowControl w:val="0"/>
        <w:numPr>
          <w:ilvl w:val="2"/>
          <w:numId w:val="5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本协议规定的质量保证、质量控制和安全生产的要求；</w:t>
      </w:r>
    </w:p>
    <w:p w14:paraId="58CD80C2">
      <w:pPr>
        <w:pStyle w:val="232"/>
        <w:keepNext w:val="0"/>
        <w:keepLines w:val="0"/>
        <w:pageBreakBefore w:val="0"/>
        <w:widowControl w:val="0"/>
        <w:numPr>
          <w:ilvl w:val="2"/>
          <w:numId w:val="5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运行维护手册以及设备制造商提供的说明手册和指导。</w:t>
      </w:r>
    </w:p>
    <w:p w14:paraId="771EB8FA">
      <w:pPr>
        <w:pStyle w:val="5"/>
        <w:keepNext w:val="0"/>
        <w:keepLines w:val="0"/>
        <w:pageBreakBefore w:val="0"/>
        <w:widowControl w:val="0"/>
        <w:numPr>
          <w:ilvl w:val="2"/>
          <w:numId w:val="5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运营与维护手册</w:t>
      </w:r>
    </w:p>
    <w:p w14:paraId="4EA3423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根据项目设施情况，按照适用法律法规、技术标准和规范规程，以及谨慎运营惯例编制运营与维护手册，手册应包括项目设施定期和年度检验维护、日常运行维护以及大修维护的标准、程序和计划；手册同时应列明项目设施正常运行所需的备品备件。乙方须将运营与维护手册提交甲方备案。</w:t>
      </w:r>
    </w:p>
    <w:p w14:paraId="63DE8FE4">
      <w:pPr>
        <w:pStyle w:val="5"/>
        <w:keepNext w:val="0"/>
        <w:keepLines w:val="0"/>
        <w:pageBreakBefore w:val="0"/>
        <w:widowControl w:val="0"/>
        <w:numPr>
          <w:ilvl w:val="2"/>
          <w:numId w:val="5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规范、标准与惯例</w:t>
      </w:r>
    </w:p>
    <w:p w14:paraId="4AD7FB4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（1）项目设施的运行与维护应符合中国法律法规、国家和地方行业规范、标准。</w:t>
      </w:r>
    </w:p>
    <w:p w14:paraId="1EBC34B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（2）乙方应始终遵循谨慎运营惯例，及时合理地对项目设备进行维护、更新和重置，保证项目设施处于良好的运行状态。</w:t>
      </w:r>
    </w:p>
    <w:p w14:paraId="666253F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（3）乙方应制定保证设施设备完好的措施和计划，并接受甲方对有关设施设备完好情况的检查。</w:t>
      </w:r>
    </w:p>
    <w:p w14:paraId="2C28B75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（4）乙方应确保在特许经营期内：</w:t>
      </w:r>
    </w:p>
    <w:p w14:paraId="15ADDB66">
      <w:pPr>
        <w:pStyle w:val="232"/>
        <w:keepNext w:val="0"/>
        <w:keepLines w:val="0"/>
        <w:pageBreakBefore w:val="0"/>
        <w:widowControl w:val="0"/>
        <w:numPr>
          <w:ilvl w:val="0"/>
          <w:numId w:val="5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使用的零部件标准不低于原设备的配置标准；</w:t>
      </w:r>
    </w:p>
    <w:p w14:paraId="3B415A00">
      <w:pPr>
        <w:pStyle w:val="232"/>
        <w:keepNext w:val="0"/>
        <w:keepLines w:val="0"/>
        <w:pageBreakBefore w:val="0"/>
        <w:widowControl w:val="0"/>
        <w:numPr>
          <w:ilvl w:val="0"/>
          <w:numId w:val="5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使用的各种原材料</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如可能涉及的化学品等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应符合国家规定的标准及安全环保要求。</w:t>
      </w:r>
    </w:p>
    <w:p w14:paraId="2FADD177">
      <w:pPr>
        <w:pStyle w:val="5"/>
        <w:keepNext w:val="0"/>
        <w:keepLines w:val="0"/>
        <w:pageBreakBefore w:val="0"/>
        <w:widowControl w:val="0"/>
        <w:numPr>
          <w:ilvl w:val="2"/>
          <w:numId w:val="5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暂停服务</w:t>
      </w:r>
    </w:p>
    <w:p w14:paraId="2683703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（1）乙方的计划内暂停服务</w:t>
      </w:r>
    </w:p>
    <w:p w14:paraId="2ABCA41B">
      <w:pPr>
        <w:pStyle w:val="232"/>
        <w:keepNext w:val="0"/>
        <w:keepLines w:val="0"/>
        <w:pageBreakBefore w:val="0"/>
        <w:widowControl w:val="0"/>
        <w:numPr>
          <w:ilvl w:val="1"/>
          <w:numId w:val="5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乙方应于每年</w:t>
      </w:r>
      <w:r>
        <w:rPr>
          <w:rFonts w:hint="eastAsia" w:ascii="宋体" w:hAnsi="宋体" w:eastAsia="宋体" w:cs="宋体"/>
          <w:caps w:val="0"/>
          <w:smallCaps w:val="0"/>
          <w:color w:val="auto"/>
          <w:highlight w:val="none"/>
          <w:u w:val="single"/>
        </w:rPr>
        <w:t>【日期】</w:t>
      </w:r>
      <w:r>
        <w:rPr>
          <w:rFonts w:hint="eastAsia" w:ascii="宋体" w:hAnsi="宋体" w:eastAsia="宋体" w:cs="宋体"/>
          <w:caps w:val="0"/>
          <w:smallCaps w:val="0"/>
          <w:color w:val="auto"/>
          <w:highlight w:val="none"/>
        </w:rPr>
        <w:t>之前提交下一年度的维护计划，将其重大维护和更新工作书面通知甲方。如果有计划内暂停服务，乙方应至少</w:t>
      </w:r>
      <w:r>
        <w:rPr>
          <w:rFonts w:hint="eastAsia" w:ascii="宋体" w:hAnsi="宋体" w:eastAsia="宋体" w:cs="宋体"/>
          <w:caps w:val="0"/>
          <w:smallCaps w:val="0"/>
          <w:color w:val="auto"/>
          <w:highlight w:val="none"/>
          <w:u w:val="single"/>
        </w:rPr>
        <w:t>【】</w:t>
      </w:r>
      <w:r>
        <w:rPr>
          <w:rFonts w:hint="eastAsia" w:ascii="宋体" w:hAnsi="宋体" w:eastAsia="宋体" w:cs="宋体"/>
          <w:caps w:val="0"/>
          <w:smallCaps w:val="0"/>
          <w:color w:val="auto"/>
          <w:highlight w:val="none"/>
        </w:rPr>
        <w:t>个月前将计划内暂停服务的书面通知提交甲方。甲方应在预定日期至少</w:t>
      </w:r>
      <w:r>
        <w:rPr>
          <w:rFonts w:hint="eastAsia" w:ascii="宋体" w:hAnsi="宋体" w:eastAsia="宋体" w:cs="宋体"/>
          <w:caps w:val="0"/>
          <w:smallCaps w:val="0"/>
          <w:color w:val="auto"/>
          <w:highlight w:val="none"/>
          <w:u w:val="single"/>
        </w:rPr>
        <w:t>【】</w:t>
      </w:r>
      <w:r>
        <w:rPr>
          <w:rFonts w:hint="eastAsia" w:ascii="宋体" w:hAnsi="宋体" w:eastAsia="宋体" w:cs="宋体"/>
          <w:caps w:val="0"/>
          <w:smallCaps w:val="0"/>
          <w:color w:val="auto"/>
          <w:highlight w:val="none"/>
        </w:rPr>
        <w:t>天前确认。如果甲方没有在约定时间前给予书面答复，计划内暂停服务将被视为获得批准。</w:t>
      </w:r>
    </w:p>
    <w:p w14:paraId="2BB7636D">
      <w:pPr>
        <w:pStyle w:val="232"/>
        <w:keepNext w:val="0"/>
        <w:keepLines w:val="0"/>
        <w:pageBreakBefore w:val="0"/>
        <w:widowControl w:val="0"/>
        <w:numPr>
          <w:ilvl w:val="1"/>
          <w:numId w:val="5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乙方提供的书面通知将包括以下内容：计划内暂停服务的范围和理由、计划内暂停服务的开始和结束时间、计划内暂停服务造成的相关影响</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包括对甲方按协议约定需提供相关条件的影响等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46C9FA59">
      <w:pPr>
        <w:pStyle w:val="232"/>
        <w:keepNext w:val="0"/>
        <w:keepLines w:val="0"/>
        <w:pageBreakBefore w:val="0"/>
        <w:widowControl w:val="0"/>
        <w:numPr>
          <w:ilvl w:val="1"/>
          <w:numId w:val="59"/>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甲方不得无故拒绝乙方的计划内暂停服务，但乙方应尽最大努力减小计划内暂停服务的影响。</w:t>
      </w:r>
    </w:p>
    <w:p w14:paraId="0739469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（2）乙方的计划外暂停服务</w:t>
      </w:r>
    </w:p>
    <w:p w14:paraId="6FBBD48C">
      <w:pPr>
        <w:pStyle w:val="232"/>
        <w:keepNext w:val="0"/>
        <w:keepLines w:val="0"/>
        <w:pageBreakBefore w:val="0"/>
        <w:widowControl w:val="0"/>
        <w:numPr>
          <w:ilvl w:val="1"/>
          <w:numId w:val="6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如发生计划外暂停服务，乙方应立即书面通知甲方，说明计划外暂停服务的原因，提出相应对策，并明确在此期间项目的服务能力。乙方应尽最大努力迅速恢复正常的项目服务。</w:t>
      </w:r>
    </w:p>
    <w:p w14:paraId="3D7E28C5">
      <w:pPr>
        <w:pStyle w:val="232"/>
        <w:keepNext w:val="0"/>
        <w:keepLines w:val="0"/>
        <w:pageBreakBefore w:val="0"/>
        <w:widowControl w:val="0"/>
        <w:numPr>
          <w:ilvl w:val="1"/>
          <w:numId w:val="6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如果计划外暂停服务时间预期超过</w:t>
      </w:r>
      <w:r>
        <w:rPr>
          <w:rFonts w:hint="eastAsia" w:ascii="宋体" w:hAnsi="宋体" w:eastAsia="宋体" w:cs="宋体"/>
          <w:caps w:val="0"/>
          <w:smallCaps w:val="0"/>
          <w:color w:val="auto"/>
          <w:highlight w:val="none"/>
          <w:u w:val="single"/>
        </w:rPr>
        <w:t>【】</w:t>
      </w:r>
      <w:r>
        <w:rPr>
          <w:rFonts w:hint="eastAsia" w:ascii="宋体" w:hAnsi="宋体" w:eastAsia="宋体" w:cs="宋体"/>
          <w:caps w:val="0"/>
          <w:smallCaps w:val="0"/>
          <w:color w:val="auto"/>
          <w:highlight w:val="none"/>
        </w:rPr>
        <w:t>小时，则乙方须采纳甲方关于应对计划外暂停服务的合理建议或意见。</w:t>
      </w:r>
    </w:p>
    <w:p w14:paraId="21D280CC">
      <w:pPr>
        <w:pStyle w:val="232"/>
        <w:keepNext w:val="0"/>
        <w:keepLines w:val="0"/>
        <w:pageBreakBefore w:val="0"/>
        <w:widowControl w:val="0"/>
        <w:numPr>
          <w:ilvl w:val="1"/>
          <w:numId w:val="6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由于特殊原因、发生不可抗力的意外等造成计划外暂停服务的，乙方应及时告知甲方，并启动应急预案。</w:t>
      </w:r>
    </w:p>
    <w:p w14:paraId="5F29EC3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20" w:name="_Toc405146859"/>
      <w:bookmarkStart w:id="621" w:name="_Toc402428936"/>
      <w:bookmarkStart w:id="622" w:name="_Toc1421561394"/>
      <w:r>
        <w:rPr>
          <w:rFonts w:hint="eastAsia" w:ascii="宋体" w:hAnsi="宋体" w:eastAsia="宋体" w:cs="宋体"/>
          <w:bCs/>
          <w:caps w:val="0"/>
          <w:smallCaps w:val="0"/>
          <w:color w:val="auto"/>
          <w:sz w:val="28"/>
          <w:highlight w:val="none"/>
        </w:rPr>
        <w:t>更新重置和追加投资</w:t>
      </w:r>
      <w:bookmarkEnd w:id="620"/>
      <w:bookmarkEnd w:id="621"/>
      <w:bookmarkEnd w:id="622"/>
    </w:p>
    <w:p w14:paraId="632A901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对于运营期间需要进行更新重置和追加投资的特许经营项目，特许经营协议应对更新重置和追加投资的范围、触发条件、实施方式等进行约定。更新重置是指为发挥项目既有资产正常使用功能而对其实施的更新或重置行为，追加投资是指为满足项目未来需求增长</w:t>
      </w:r>
      <w:r>
        <w:rPr>
          <w:rFonts w:hint="eastAsia" w:ascii="宋体" w:hAnsi="宋体" w:eastAsia="宋体" w:cs="宋体"/>
          <w:caps w:val="0"/>
          <w:smallCaps w:val="0"/>
          <w:color w:val="auto"/>
          <w:kern w:val="0"/>
          <w:szCs w:val="32"/>
          <w:highlight w:val="none"/>
          <w:lang w:eastAsia="zh-CN"/>
        </w:rPr>
        <w:t>而需</w:t>
      </w:r>
      <w:r>
        <w:rPr>
          <w:rFonts w:hint="eastAsia" w:ascii="宋体" w:hAnsi="宋体" w:eastAsia="宋体" w:cs="宋体"/>
          <w:caps w:val="0"/>
          <w:smallCaps w:val="0"/>
          <w:color w:val="auto"/>
          <w:kern w:val="0"/>
          <w:szCs w:val="32"/>
          <w:highlight w:val="none"/>
        </w:rPr>
        <w:t>纳入特许经营项目投资范围</w:t>
      </w:r>
      <w:r>
        <w:rPr>
          <w:rFonts w:hint="eastAsia" w:ascii="宋体" w:hAnsi="宋体" w:eastAsia="宋体" w:cs="宋体"/>
          <w:caps w:val="0"/>
          <w:smallCaps w:val="0"/>
          <w:color w:val="auto"/>
          <w:kern w:val="0"/>
          <w:szCs w:val="32"/>
          <w:highlight w:val="none"/>
          <w:lang w:eastAsia="zh-CN"/>
        </w:rPr>
        <w:t>且</w:t>
      </w:r>
      <w:r>
        <w:rPr>
          <w:rFonts w:hint="eastAsia" w:ascii="宋体" w:hAnsi="宋体" w:eastAsia="宋体" w:cs="宋体"/>
          <w:caps w:val="0"/>
          <w:smallCaps w:val="0"/>
          <w:color w:val="auto"/>
          <w:kern w:val="0"/>
          <w:szCs w:val="32"/>
          <w:highlight w:val="none"/>
        </w:rPr>
        <w:t>在特许经营协议中约定应予实施的投资追加行为，如对于轨道交通项目随着客流增长需在运营期间增购车辆等。对于未纳入特许经营协议约定的项目改扩建行为，由甲</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乙双方另行协商处理；特许经营期限内因改扩建等原因需重新选择特许经营者的，同等条件下可优先选择原特许经营者。】</w:t>
      </w:r>
    </w:p>
    <w:p w14:paraId="36B9CB2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433851D1">
      <w:pPr>
        <w:pStyle w:val="5"/>
        <w:keepNext w:val="0"/>
        <w:keepLines w:val="0"/>
        <w:pageBreakBefore w:val="0"/>
        <w:widowControl w:val="0"/>
        <w:numPr>
          <w:ilvl w:val="2"/>
          <w:numId w:val="6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更新重置和追加投资要求</w:t>
      </w:r>
    </w:p>
    <w:p w14:paraId="2FF51E0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bookmarkStart w:id="623" w:name="_Hlk156290853"/>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1</w:t>
      </w:r>
      <w:bookmarkEnd w:id="623"/>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乙方应确保在整个运营期内，始终根据下列约定实施更新重置和追加投资工作：</w:t>
      </w:r>
    </w:p>
    <w:p w14:paraId="50764F1E">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符合适用法律、有关批准文件和本协议约定；</w:t>
      </w:r>
    </w:p>
    <w:p w14:paraId="62D118EA">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符合乙方根据本协议制定的质量保证和质量控制计划；</w:t>
      </w:r>
    </w:p>
    <w:p w14:paraId="3000A009">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符合本协议所规定的更新重置和追加投资要求；</w:t>
      </w:r>
    </w:p>
    <w:p w14:paraId="50E21C9C">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符合本协议对维修、维护和更新手册的管理要求；</w:t>
      </w:r>
    </w:p>
    <w:p w14:paraId="14107E7D">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符合与本项目设施有关的设备的制造商提供的一切有关手册、指导和建议；及</w:t>
      </w:r>
    </w:p>
    <w:p w14:paraId="3AB60324">
      <w:pPr>
        <w:pStyle w:val="232"/>
        <w:keepNext w:val="0"/>
        <w:keepLines w:val="0"/>
        <w:pageBreakBefore w:val="0"/>
        <w:widowControl w:val="0"/>
        <w:numPr>
          <w:ilvl w:val="1"/>
          <w:numId w:val="6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遵守谨慎运营惯例。</w:t>
      </w:r>
    </w:p>
    <w:p w14:paraId="0EA9D37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2</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在特许经营期，甲方应审核乙方是否履行更新重置和追加投资义务，确保项目安全运营和服务质量。</w:t>
      </w:r>
    </w:p>
    <w:p w14:paraId="0BB7B13A">
      <w:pPr>
        <w:pStyle w:val="5"/>
        <w:keepNext w:val="0"/>
        <w:keepLines w:val="0"/>
        <w:pageBreakBefore w:val="0"/>
        <w:widowControl w:val="0"/>
        <w:numPr>
          <w:ilvl w:val="2"/>
          <w:numId w:val="6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bookmarkStart w:id="624" w:name="_Hlk156901096"/>
      <w:r>
        <w:rPr>
          <w:rFonts w:hint="eastAsia" w:ascii="宋体" w:hAnsi="宋体" w:eastAsia="宋体" w:cs="宋体"/>
          <w:caps w:val="0"/>
          <w:smallCaps w:val="0"/>
          <w:color w:val="auto"/>
          <w:highlight w:val="none"/>
        </w:rPr>
        <w:t>更新重置和追加投资计划</w:t>
      </w:r>
    </w:p>
    <w:bookmarkEnd w:id="624"/>
    <w:p w14:paraId="4A344A9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1</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在项目正式运营日之前，乙方应编制本项目设施《更新重置和追加投资计划》报甲方备案。该计划应包括项目实施更新重置和追加投资的程序和计划、本项目期满移交前最后恢复性维修计划，以及调整和改进维护安排的程序和计划等内容。</w:t>
      </w:r>
    </w:p>
    <w:p w14:paraId="7026469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2</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在每一运营</w:t>
      </w:r>
      <w:r>
        <w:rPr>
          <w:rFonts w:hint="eastAsia" w:ascii="宋体" w:hAnsi="宋体" w:eastAsia="宋体" w:cs="宋体"/>
          <w:caps w:val="0"/>
          <w:smallCaps w:val="0"/>
          <w:color w:val="auto"/>
          <w:kern w:val="0"/>
          <w:szCs w:val="32"/>
          <w:highlight w:val="none"/>
          <w:lang w:eastAsia="zh-CN"/>
        </w:rPr>
        <w:t>年度</w:t>
      </w:r>
      <w:r>
        <w:rPr>
          <w:rFonts w:hint="eastAsia" w:ascii="宋体" w:hAnsi="宋体" w:eastAsia="宋体" w:cs="宋体"/>
          <w:caps w:val="0"/>
          <w:smallCaps w:val="0"/>
          <w:color w:val="auto"/>
          <w:kern w:val="0"/>
          <w:szCs w:val="32"/>
          <w:highlight w:val="none"/>
        </w:rPr>
        <w:t>乙方应根据《更新重置和追加投资计划》制定年度更新重置和追加投资实施计划和实施方案，作为年度运营计划的一部分提交甲方审核或备案。</w:t>
      </w:r>
    </w:p>
    <w:p w14:paraId="2EDD6E73">
      <w:pPr>
        <w:pStyle w:val="5"/>
        <w:keepNext w:val="0"/>
        <w:keepLines w:val="0"/>
        <w:pageBreakBefore w:val="0"/>
        <w:widowControl w:val="0"/>
        <w:numPr>
          <w:ilvl w:val="2"/>
          <w:numId w:val="6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计划的修改</w:t>
      </w:r>
    </w:p>
    <w:p w14:paraId="3B0B040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在整个运营期内，根据实际运营状况，乙方可以对《更新重置和追加投资计划》进行修订。乙方对计划的修订应及时报甲方审核或备案。</w:t>
      </w:r>
    </w:p>
    <w:p w14:paraId="01DC0C91">
      <w:pPr>
        <w:pStyle w:val="5"/>
        <w:keepNext w:val="0"/>
        <w:keepLines w:val="0"/>
        <w:pageBreakBefore w:val="0"/>
        <w:widowControl w:val="0"/>
        <w:numPr>
          <w:ilvl w:val="2"/>
          <w:numId w:val="6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更新重置和追加投资资金安排</w:t>
      </w:r>
    </w:p>
    <w:p w14:paraId="7B20560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1</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除非本协议另有约定，本项目运营期间更新重置和追加投资资金支出全部由乙方承担。</w:t>
      </w:r>
    </w:p>
    <w:p w14:paraId="1D48F20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2</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乙方应按《更新重置和追加投资计划》及时筹措更新重置和追加投资资金，合理安排资金计划并及时实施。</w:t>
      </w:r>
    </w:p>
    <w:p w14:paraId="3AABBC42">
      <w:pPr>
        <w:pStyle w:val="5"/>
        <w:keepNext w:val="0"/>
        <w:keepLines w:val="0"/>
        <w:pageBreakBefore w:val="0"/>
        <w:widowControl w:val="0"/>
        <w:numPr>
          <w:ilvl w:val="2"/>
          <w:numId w:val="6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未履行更新重置和追加投资义务的处理</w:t>
      </w:r>
    </w:p>
    <w:p w14:paraId="1157FF2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【根据项目具体情况约定。】</w:t>
      </w:r>
    </w:p>
    <w:p w14:paraId="11160E93">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25" w:name="_Toc1669752858"/>
      <w:r>
        <w:rPr>
          <w:rFonts w:hint="eastAsia" w:ascii="宋体" w:hAnsi="宋体" w:eastAsia="宋体" w:cs="宋体"/>
          <w:bCs/>
          <w:caps w:val="0"/>
          <w:smallCaps w:val="0"/>
          <w:color w:val="auto"/>
          <w:sz w:val="28"/>
          <w:highlight w:val="none"/>
        </w:rPr>
        <w:t>公共用地及公用设施的临时占用</w:t>
      </w:r>
      <w:bookmarkEnd w:id="625"/>
    </w:p>
    <w:p w14:paraId="73050C2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【说明：特许经营协议应约定在特许经营期</w:t>
      </w:r>
      <w:r>
        <w:rPr>
          <w:rFonts w:hint="eastAsia" w:ascii="宋体" w:hAnsi="宋体" w:eastAsia="宋体" w:cs="宋体"/>
          <w:caps w:val="0"/>
          <w:smallCaps w:val="0"/>
          <w:color w:val="auto"/>
          <w:kern w:val="0"/>
          <w:szCs w:val="32"/>
          <w:highlight w:val="none"/>
          <w:lang w:eastAsia="zh-CN"/>
        </w:rPr>
        <w:t>内</w:t>
      </w:r>
      <w:r>
        <w:rPr>
          <w:rFonts w:hint="eastAsia" w:ascii="宋体" w:hAnsi="宋体" w:eastAsia="宋体" w:cs="宋体"/>
          <w:caps w:val="0"/>
          <w:smallCaps w:val="0"/>
          <w:color w:val="auto"/>
          <w:kern w:val="0"/>
          <w:szCs w:val="32"/>
          <w:highlight w:val="none"/>
        </w:rPr>
        <w:t>，特许经营者在设施的管理、维护和建设中，需占用公共用地及公共设施时，应按规定报经有关政府部门批准，甲方予以必要协助配合。临时占用结束后，特许经营者应当将占用或动用的设施恢复原状，依照有关收费标准承担相关的占用费用。】</w:t>
      </w:r>
    </w:p>
    <w:p w14:paraId="53977BB5">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26" w:name="_Toc1107733219"/>
      <w:bookmarkStart w:id="627" w:name="_Toc402428938"/>
      <w:bookmarkStart w:id="628" w:name="_Toc405146861"/>
      <w:r>
        <w:rPr>
          <w:rFonts w:hint="eastAsia" w:ascii="宋体" w:hAnsi="宋体" w:eastAsia="宋体" w:cs="宋体"/>
          <w:bCs/>
          <w:caps w:val="0"/>
          <w:smallCaps w:val="0"/>
          <w:color w:val="auto"/>
          <w:sz w:val="28"/>
          <w:highlight w:val="none"/>
        </w:rPr>
        <w:t>项目运营服务计量</w:t>
      </w:r>
      <w:bookmarkEnd w:id="626"/>
      <w:bookmarkEnd w:id="627"/>
      <w:bookmarkEnd w:id="628"/>
    </w:p>
    <w:p w14:paraId="6CE3C18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【说明：对于由政府统一向用户收取费用再向特许经营者支付的项目</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如污水处理厂</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特许经营协议应约定项目所提供服务（或产品）的计量方法、标准、计量程序、计量争议解决、责任和费用划分等事项；对于面向公众用户或第三方使用者收费的项目，应在协议中对乙方提供服务的计量管理提出要求，包括计量规范性、可靠性和透明性等。】</w:t>
      </w:r>
    </w:p>
    <w:p w14:paraId="093602B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【示例如下：适用污水处理项目】</w:t>
      </w:r>
    </w:p>
    <w:p w14:paraId="37A4932E">
      <w:pPr>
        <w:pStyle w:val="5"/>
        <w:keepNext w:val="0"/>
        <w:keepLines w:val="0"/>
        <w:pageBreakBefore w:val="0"/>
        <w:widowControl w:val="0"/>
        <w:numPr>
          <w:ilvl w:val="2"/>
          <w:numId w:val="6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流量计的安装</w:t>
      </w:r>
    </w:p>
    <w:p w14:paraId="52D9C05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乙方应安装进水流量计和出水流量计，该等流量计应具备提供瞬时流量和累计流量的信息读存的功能，以计量污水处理厂的进水水量和出水水量，并由相关质量技术监督部门指定的计量技术检定机构依法检定后进行密封。</w:t>
      </w:r>
    </w:p>
    <w:p w14:paraId="694B72C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（2）乙方在使用上述流量计时应确保连续测量、计算、记录进水和出水水量，并向甲方递交计量结果。</w:t>
      </w:r>
    </w:p>
    <w:p w14:paraId="5396B26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（3）甲</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乙双方应对流量计按以下程序和标准进行定期检查和测试：</w:t>
      </w:r>
    </w:p>
    <w:p w14:paraId="3D1F5EC8">
      <w:pPr>
        <w:pStyle w:val="232"/>
        <w:keepNext w:val="0"/>
        <w:keepLines w:val="0"/>
        <w:pageBreakBefore w:val="0"/>
        <w:widowControl w:val="0"/>
        <w:numPr>
          <w:ilvl w:val="1"/>
          <w:numId w:val="6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乙双方的代表应至少每年一次联合对流量计进行检查、校准和测试。该定期检查、校准和测试的相关费用由乙方承担。检查和测试间隔期间，流量计应是密封和安全的，每个流量计均应被安装在甲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乙双方同意的安全装置内。</w:t>
      </w:r>
    </w:p>
    <w:p w14:paraId="4A6BF05D">
      <w:pPr>
        <w:pStyle w:val="232"/>
        <w:keepNext w:val="0"/>
        <w:keepLines w:val="0"/>
        <w:pageBreakBefore w:val="0"/>
        <w:widowControl w:val="0"/>
        <w:numPr>
          <w:ilvl w:val="1"/>
          <w:numId w:val="6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乙双方应记录流量计每次定期和非定期的检查、校准和测试的结果，对该结果核对并签名后由双方分别存档备查。</w:t>
      </w:r>
    </w:p>
    <w:p w14:paraId="60D8D8F6">
      <w:pPr>
        <w:pStyle w:val="232"/>
        <w:keepNext w:val="0"/>
        <w:keepLines w:val="0"/>
        <w:pageBreakBefore w:val="0"/>
        <w:widowControl w:val="0"/>
        <w:numPr>
          <w:ilvl w:val="1"/>
          <w:numId w:val="6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若发现流量计误差超出规定范围，乙方应尽快修理或更换并承担费用。</w:t>
      </w:r>
    </w:p>
    <w:p w14:paraId="081B01EE">
      <w:pPr>
        <w:pStyle w:val="5"/>
        <w:keepNext w:val="0"/>
        <w:keepLines w:val="0"/>
        <w:pageBreakBefore w:val="0"/>
        <w:widowControl w:val="0"/>
        <w:numPr>
          <w:ilvl w:val="2"/>
          <w:numId w:val="6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计量结果的异议与确认</w:t>
      </w:r>
    </w:p>
    <w:p w14:paraId="7E4D6B8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（1）若计量装置发生意外故障，乙方应及时书面通知甲方并予以说明，经甲方确认后，则发生故障期间的污水处理量按前</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个月的日均污水处理量计算。</w:t>
      </w:r>
    </w:p>
    <w:p w14:paraId="07C9E70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（2）任一方如对水量计量结果有异议，应自异议发生之日起</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日内向对方书面提出，并可聘请双方认可的专业机构对计量装置进行检测，经检查若确实存在问题应立即纠正，检测费用由被异议方支付；反之，则由异议方支付。</w:t>
      </w:r>
    </w:p>
    <w:p w14:paraId="1C508A5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29" w:name="_Toc402428940"/>
      <w:bookmarkStart w:id="630" w:name="_Toc1687008941"/>
      <w:bookmarkStart w:id="631" w:name="_Toc405146863"/>
      <w:r>
        <w:rPr>
          <w:rFonts w:hint="eastAsia" w:ascii="宋体" w:hAnsi="宋体" w:eastAsia="宋体" w:cs="宋体"/>
          <w:bCs/>
          <w:caps w:val="0"/>
          <w:smallCaps w:val="0"/>
          <w:color w:val="auto"/>
          <w:sz w:val="28"/>
          <w:highlight w:val="none"/>
        </w:rPr>
        <w:t>运营期保险</w:t>
      </w:r>
      <w:bookmarkEnd w:id="629"/>
      <w:bookmarkEnd w:id="630"/>
      <w:bookmarkEnd w:id="631"/>
    </w:p>
    <w:p w14:paraId="10CBDEF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【说明：特许经营协议应约定运营期针对设施安全、公共责任、用户安全需要强制购买并维持适当的保险，并承担保险费用等】</w:t>
      </w:r>
    </w:p>
    <w:p w14:paraId="4855524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2A8CDDF3">
      <w:pPr>
        <w:pStyle w:val="5"/>
        <w:keepNext w:val="0"/>
        <w:keepLines w:val="0"/>
        <w:pageBreakBefore w:val="0"/>
        <w:widowControl w:val="0"/>
        <w:numPr>
          <w:ilvl w:val="2"/>
          <w:numId w:val="6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购买保险</w:t>
      </w:r>
    </w:p>
    <w:p w14:paraId="76F19DB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运营期内，乙方应根据适用法律、谨慎运营惯例自费购买和维持本项目运营期间所需的保险。</w:t>
      </w:r>
    </w:p>
    <w:p w14:paraId="14836734">
      <w:pPr>
        <w:pStyle w:val="5"/>
        <w:keepNext w:val="0"/>
        <w:keepLines w:val="0"/>
        <w:pageBreakBefore w:val="0"/>
        <w:widowControl w:val="0"/>
        <w:numPr>
          <w:ilvl w:val="2"/>
          <w:numId w:val="6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保险证明</w:t>
      </w:r>
    </w:p>
    <w:p w14:paraId="23D0007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乙方购买保险后，应在保险合同生效日后</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日内向甲方提交一份保险合同复印件。</w:t>
      </w:r>
    </w:p>
    <w:p w14:paraId="04E33386">
      <w:pPr>
        <w:pStyle w:val="5"/>
        <w:keepNext w:val="0"/>
        <w:keepLines w:val="0"/>
        <w:pageBreakBefore w:val="0"/>
        <w:widowControl w:val="0"/>
        <w:numPr>
          <w:ilvl w:val="2"/>
          <w:numId w:val="6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维持保险</w:t>
      </w:r>
    </w:p>
    <w:p w14:paraId="77B7A73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（1）乙方应通过再次购买、续期等方式，维持保险合同在整个运营期内的有效性。</w:t>
      </w:r>
    </w:p>
    <w:p w14:paraId="6F2E524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（2）如果乙方不购买或未维持本协议所要求的保险，则甲方有权根据本协议兑取运营维护保函项下的相应金额用于购买或维持协议所要求的保险始终有效。</w:t>
      </w:r>
    </w:p>
    <w:p w14:paraId="2AD82C6F">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32" w:name="_Toc895459296"/>
      <w:bookmarkStart w:id="633" w:name="_Toc402428941"/>
      <w:bookmarkStart w:id="634" w:name="_Toc405146864"/>
      <w:r>
        <w:rPr>
          <w:rFonts w:hint="eastAsia" w:ascii="宋体" w:hAnsi="宋体" w:eastAsia="宋体" w:cs="宋体"/>
          <w:bCs/>
          <w:caps w:val="0"/>
          <w:smallCaps w:val="0"/>
          <w:color w:val="auto"/>
          <w:sz w:val="28"/>
          <w:highlight w:val="none"/>
        </w:rPr>
        <w:t>设施维护或改造工程、事故的报告和通知</w:t>
      </w:r>
      <w:bookmarkEnd w:id="632"/>
    </w:p>
    <w:p w14:paraId="3F4A52E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【说明：协议需约定特许经营者在运营期进行设施维护、改造可能造成的服务影响、发生运营事故、应急抢修等向</w:t>
      </w:r>
      <w:r>
        <w:rPr>
          <w:rFonts w:hint="eastAsia" w:ascii="宋体" w:hAnsi="宋体" w:cs="宋体"/>
          <w:caps w:val="0"/>
          <w:smallCaps w:val="0"/>
          <w:color w:val="auto"/>
          <w:kern w:val="0"/>
          <w:szCs w:val="32"/>
          <w:highlight w:val="none"/>
          <w:lang w:eastAsia="zh-CN"/>
        </w:rPr>
        <w:t>项目实施机构</w:t>
      </w:r>
      <w:r>
        <w:rPr>
          <w:rFonts w:hint="eastAsia" w:ascii="宋体" w:hAnsi="宋体" w:eastAsia="宋体" w:cs="宋体"/>
          <w:caps w:val="0"/>
          <w:smallCaps w:val="0"/>
          <w:color w:val="auto"/>
          <w:kern w:val="0"/>
          <w:szCs w:val="32"/>
          <w:highlight w:val="none"/>
        </w:rPr>
        <w:t>和社会公众通报、报告等。】</w:t>
      </w:r>
    </w:p>
    <w:p w14:paraId="747CDD0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752B0F01">
      <w:pPr>
        <w:keepNext w:val="0"/>
        <w:keepLines w:val="0"/>
        <w:pageBreakBefore w:val="0"/>
        <w:widowControl w:val="0"/>
        <w:numPr>
          <w:ilvl w:val="0"/>
          <w:numId w:val="66"/>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乙方在进行项目设施维护或改造工程时，应当将工程简况、施工历时、可能影响的产品供应和服务程度、区域影响等情况向相关用户和社会公众公示通报，重要影响工程应报告甲方及相关管理部门。</w:t>
      </w:r>
    </w:p>
    <w:p w14:paraId="329F312A">
      <w:pPr>
        <w:keepNext w:val="0"/>
        <w:keepLines w:val="0"/>
        <w:pageBreakBefore w:val="0"/>
        <w:widowControl w:val="0"/>
        <w:numPr>
          <w:ilvl w:val="0"/>
          <w:numId w:val="66"/>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项目运营中发生事故后，乙方应立即报告甲方及相关管理部门，预告事故可能造成的影响及处理的情况。情况严重的应立即启动应急预案。</w:t>
      </w:r>
    </w:p>
    <w:p w14:paraId="7D29EC19">
      <w:pPr>
        <w:keepNext w:val="0"/>
        <w:keepLines w:val="0"/>
        <w:pageBreakBefore w:val="0"/>
        <w:widowControl w:val="0"/>
        <w:numPr>
          <w:ilvl w:val="0"/>
          <w:numId w:val="66"/>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建立应急抢修、抢险、救灾预案和相应的组织、指挥、设备、物资等保障体系，并保证在出现应急事故时，保障体系能够正常启动。发生事故时，乙方应采取各种应急措施进行补救，尽量减少事故对用户的影响，同时，乙方必须及时、如实向有关部门报告。</w:t>
      </w:r>
    </w:p>
    <w:p w14:paraId="25DAAF6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35" w:name="_Toc631307285"/>
      <w:r>
        <w:rPr>
          <w:rFonts w:hint="eastAsia" w:ascii="宋体" w:hAnsi="宋体" w:eastAsia="宋体" w:cs="宋体"/>
          <w:bCs/>
          <w:caps w:val="0"/>
          <w:smallCaps w:val="0"/>
          <w:color w:val="auto"/>
          <w:sz w:val="28"/>
          <w:highlight w:val="none"/>
        </w:rPr>
        <w:t>普遍服务义务与承诺</w:t>
      </w:r>
      <w:bookmarkEnd w:id="635"/>
    </w:p>
    <w:p w14:paraId="3A893CF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直接向用户收费的项目，协议应明确普遍服务、持续服务义务等内容，授予特许经营区域服务权利的，需明确项目公司应当对特许经营区域内所有用户普遍地、无歧视地提供公共产品或公共服务，不得对新增用户实行差别待遇。应明确</w:t>
      </w:r>
      <w:bookmarkStart w:id="636" w:name="_Hlk153894999"/>
      <w:r>
        <w:rPr>
          <w:rFonts w:hint="eastAsia" w:ascii="宋体" w:hAnsi="宋体" w:eastAsia="宋体" w:cs="宋体"/>
          <w:caps w:val="0"/>
          <w:smallCaps w:val="0"/>
          <w:color w:val="auto"/>
          <w:kern w:val="0"/>
          <w:szCs w:val="32"/>
          <w:highlight w:val="none"/>
        </w:rPr>
        <w:t>项目公司与用户签订服务合同，除政府明文规定的收费外不得向用户收取其他任何费用。】</w:t>
      </w:r>
      <w:bookmarkEnd w:id="636"/>
    </w:p>
    <w:bookmarkEnd w:id="633"/>
    <w:bookmarkEnd w:id="634"/>
    <w:p w14:paraId="287F1CB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【示例如下：适用直接向用户收费项目】</w:t>
      </w:r>
    </w:p>
    <w:p w14:paraId="7F9B6AA9">
      <w:pPr>
        <w:keepNext w:val="0"/>
        <w:keepLines w:val="0"/>
        <w:pageBreakBefore w:val="0"/>
        <w:widowControl w:val="0"/>
        <w:numPr>
          <w:ilvl w:val="0"/>
          <w:numId w:val="67"/>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乙方应当对特许经营区域内所有用户普遍地、无歧视地提供公共产品或公共服务，不得对新增用户、服务区域内边远或低收入群体等特定用户或潜在用户实行差别待遇。乙方保证按本协议授予乙方的权利义务，</w:t>
      </w:r>
      <w:r>
        <w:rPr>
          <w:rFonts w:hint="eastAsia" w:ascii="宋体" w:hAnsi="宋体" w:eastAsia="宋体" w:cs="宋体"/>
          <w:caps w:val="0"/>
          <w:smallCaps w:val="0"/>
          <w:color w:val="auto"/>
          <w:kern w:val="0"/>
          <w:szCs w:val="32"/>
          <w:highlight w:val="none"/>
          <w:lang w:eastAsia="zh-CN"/>
        </w:rPr>
        <w:t>尽最大可能</w:t>
      </w:r>
      <w:r>
        <w:rPr>
          <w:rFonts w:hint="eastAsia" w:ascii="宋体" w:hAnsi="宋体" w:eastAsia="宋体" w:cs="宋体"/>
          <w:caps w:val="0"/>
          <w:smallCaps w:val="0"/>
          <w:color w:val="auto"/>
          <w:kern w:val="0"/>
          <w:szCs w:val="32"/>
          <w:highlight w:val="none"/>
        </w:rPr>
        <w:t>为用户提供公平、优质、普遍的供应与服务。</w:t>
      </w:r>
    </w:p>
    <w:p w14:paraId="78F1D023">
      <w:pPr>
        <w:keepNext w:val="0"/>
        <w:keepLines w:val="0"/>
        <w:pageBreakBefore w:val="0"/>
        <w:widowControl w:val="0"/>
        <w:numPr>
          <w:ilvl w:val="0"/>
          <w:numId w:val="67"/>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乙方提供执行政府定价（或指导价）内的产品和服务时，乙方应按规定与用户签订相关服务合同，除政策明确规定的收费科目外，不得向用户收取其他任何费用。乙方为用户提供市场价的其他产品和服务，按乙方与用户达成的合同约定收取费用。</w:t>
      </w:r>
    </w:p>
    <w:p w14:paraId="18CE8D6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37" w:name="_Toc1755242411"/>
      <w:r>
        <w:rPr>
          <w:rFonts w:hint="eastAsia" w:ascii="宋体" w:hAnsi="宋体" w:eastAsia="宋体" w:cs="宋体"/>
          <w:bCs/>
          <w:caps w:val="0"/>
          <w:smallCaps w:val="0"/>
          <w:color w:val="auto"/>
          <w:sz w:val="28"/>
          <w:highlight w:val="none"/>
        </w:rPr>
        <w:t>乙方创新和主动增效</w:t>
      </w:r>
      <w:bookmarkEnd w:id="637"/>
    </w:p>
    <w:p w14:paraId="5E311DF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约定鼓励特许经营者在运营和服务中进行技术创新、管理创新等，并明确特许经营者在保障项目质量和产出（服务）效果的前提下，通过加强管理、降低成本、提升效率、积极创新等获得的额外收益主要归特许经营者所有的具体内容。示例如下：】</w:t>
      </w:r>
    </w:p>
    <w:p w14:paraId="5C1F0A8C">
      <w:pPr>
        <w:pStyle w:val="4"/>
        <w:keepNext w:val="0"/>
        <w:keepLines w:val="0"/>
        <w:pageBreakBefore w:val="0"/>
        <w:widowControl w:val="0"/>
        <w:numPr>
          <w:ilvl w:val="0"/>
          <w:numId w:val="68"/>
        </w:numPr>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甲方支持鼓励乙方在保障项目正常运营和服务质量情况下，</w:t>
      </w:r>
      <w:r>
        <w:rPr>
          <w:rFonts w:hint="eastAsia" w:ascii="宋体" w:hAnsi="宋体" w:eastAsia="宋体" w:cs="宋体"/>
          <w:caps w:val="0"/>
          <w:smallCaps w:val="0"/>
          <w:color w:val="auto"/>
          <w:kern w:val="0"/>
          <w:szCs w:val="32"/>
          <w:highlight w:val="none"/>
        </w:rPr>
        <w:t>开展加强管理、降低成本、提升效率、积极创新等主动增效活动，所获得的额外收益</w:t>
      </w:r>
      <w:r>
        <w:rPr>
          <w:rFonts w:hint="eastAsia" w:ascii="宋体" w:hAnsi="宋体" w:eastAsia="宋体" w:cs="宋体"/>
          <w:caps w:val="0"/>
          <w:smallCaps w:val="0"/>
          <w:color w:val="auto"/>
          <w:highlight w:val="none"/>
        </w:rPr>
        <w:t>主要归乙方所有【具体双方约定】。</w:t>
      </w:r>
    </w:p>
    <w:p w14:paraId="7913D1A1">
      <w:pPr>
        <w:pStyle w:val="4"/>
        <w:keepNext w:val="0"/>
        <w:keepLines w:val="0"/>
        <w:pageBreakBefore w:val="0"/>
        <w:widowControl w:val="0"/>
        <w:numPr>
          <w:ilvl w:val="0"/>
          <w:numId w:val="68"/>
        </w:numPr>
        <w:kinsoku/>
        <w:wordWrap/>
        <w:overflowPunct/>
        <w:topLinePunct w:val="0"/>
        <w:bidi w:val="0"/>
        <w:spacing w:before="0" w:beforeLines="0" w:beforeAutospacing="0" w:after="0" w:afterLines="0" w:afterAutospacing="0" w:line="360" w:lineRule="auto"/>
        <w:ind w:left="0" w:leftChars="0" w:firstLine="440" w:firstLineChars="20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highlight w:val="none"/>
        </w:rPr>
        <w:t>乙方开展</w:t>
      </w:r>
      <w:r>
        <w:rPr>
          <w:rFonts w:hint="eastAsia" w:ascii="宋体" w:hAnsi="宋体" w:eastAsia="宋体" w:cs="宋体"/>
          <w:caps w:val="0"/>
          <w:smallCaps w:val="0"/>
          <w:color w:val="auto"/>
          <w:kern w:val="0"/>
          <w:szCs w:val="32"/>
          <w:highlight w:val="none"/>
        </w:rPr>
        <w:t>创新增效活动需对此类活动对项目正常运营、安全运营和服务质量的影响进行评估，并取得甲方同意。</w:t>
      </w:r>
    </w:p>
    <w:p w14:paraId="112309B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38" w:name="_Toc1864490605"/>
      <w:r>
        <w:rPr>
          <w:rFonts w:hint="eastAsia" w:ascii="宋体" w:hAnsi="宋体" w:eastAsia="宋体" w:cs="宋体"/>
          <w:bCs/>
          <w:caps w:val="0"/>
          <w:smallCaps w:val="0"/>
          <w:color w:val="auto"/>
          <w:sz w:val="28"/>
          <w:highlight w:val="none"/>
        </w:rPr>
        <w:t>项目运营和服务违约事项</w:t>
      </w:r>
      <w:bookmarkEnd w:id="638"/>
    </w:p>
    <w:p w14:paraId="63AC9E35">
      <w:pPr>
        <w:pStyle w:val="4"/>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【双方根据项目情况具体约定。】</w:t>
      </w:r>
    </w:p>
    <w:p w14:paraId="3B974518">
      <w:pPr>
        <w:pStyle w:val="2"/>
        <w:keepNext w:val="0"/>
        <w:keepLines w:val="0"/>
        <w:pageBreakBefore w:val="0"/>
        <w:widowControl w:val="0"/>
        <w:kinsoku/>
        <w:wordWrap/>
        <w:overflowPunct/>
        <w:topLinePunct w:val="0"/>
        <w:bidi w:val="0"/>
        <w:spacing w:before="0" w:after="0" w:line="360" w:lineRule="auto"/>
        <w:rPr>
          <w:rFonts w:hint="eastAsia" w:ascii="宋体" w:hAnsi="宋体" w:eastAsia="宋体" w:cs="宋体"/>
          <w:caps w:val="0"/>
          <w:smallCaps w:val="0"/>
          <w:color w:val="auto"/>
          <w:sz w:val="28"/>
          <w:highlight w:val="none"/>
        </w:rPr>
      </w:pPr>
      <w:bookmarkStart w:id="639" w:name="_Toc1523097985"/>
      <w:r>
        <w:rPr>
          <w:rFonts w:hint="eastAsia" w:ascii="宋体" w:hAnsi="宋体" w:eastAsia="宋体" w:cs="宋体"/>
          <w:caps w:val="0"/>
          <w:smallCaps w:val="0"/>
          <w:color w:val="auto"/>
          <w:sz w:val="28"/>
          <w:highlight w:val="none"/>
        </w:rPr>
        <w:t>收益取得方式、价格和收费的确定和调整</w:t>
      </w:r>
      <w:bookmarkEnd w:id="639"/>
    </w:p>
    <w:p w14:paraId="68BB4EB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【说明：本章重点约定特许经营项目收益取得方式、价格确定和调整、行业补贴等事项。】</w:t>
      </w:r>
    </w:p>
    <w:p w14:paraId="2878C019">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40" w:name="_Toc405146873"/>
      <w:bookmarkStart w:id="641" w:name="_Toc402428951"/>
      <w:bookmarkStart w:id="642" w:name="_Toc1652695937"/>
      <w:r>
        <w:rPr>
          <w:rFonts w:hint="eastAsia" w:ascii="宋体" w:hAnsi="宋体" w:eastAsia="宋体" w:cs="宋体"/>
          <w:bCs/>
          <w:caps w:val="0"/>
          <w:smallCaps w:val="0"/>
          <w:color w:val="auto"/>
          <w:sz w:val="28"/>
          <w:highlight w:val="none"/>
        </w:rPr>
        <w:t>项目</w:t>
      </w:r>
      <w:bookmarkEnd w:id="640"/>
      <w:bookmarkEnd w:id="641"/>
      <w:r>
        <w:rPr>
          <w:rFonts w:hint="eastAsia" w:ascii="宋体" w:hAnsi="宋体" w:eastAsia="宋体" w:cs="宋体"/>
          <w:bCs/>
          <w:caps w:val="0"/>
          <w:smallCaps w:val="0"/>
          <w:color w:val="auto"/>
          <w:sz w:val="28"/>
          <w:highlight w:val="none"/>
        </w:rPr>
        <w:t>收益取得方式</w:t>
      </w:r>
      <w:bookmarkEnd w:id="642"/>
    </w:p>
    <w:p w14:paraId="68CDE1C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【说明：特许经营协议按照合理收益、节约资源的原则，约定特许经营者的收入应以使用者付费为主，明确收费渠道和方式。如：</w:t>
      </w:r>
    </w:p>
    <w:p w14:paraId="19F9E6B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（1）提供公共服务而获得的收入范围。</w:t>
      </w:r>
    </w:p>
    <w:p w14:paraId="2462276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（2）收费渠道和方式。</w:t>
      </w:r>
    </w:p>
    <w:p w14:paraId="5191DE0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（3）行业运营补贴。政府可在严防新增地方政府隐性债务、符合适用法律</w:t>
      </w:r>
      <w:r>
        <w:rPr>
          <w:rFonts w:hint="eastAsia" w:ascii="宋体" w:hAnsi="宋体" w:eastAsia="宋体" w:cs="宋体"/>
          <w:caps w:val="0"/>
          <w:smallCaps w:val="0"/>
          <w:color w:val="auto"/>
          <w:kern w:val="0"/>
          <w:szCs w:val="32"/>
          <w:highlight w:val="none"/>
          <w:lang w:eastAsia="zh-CN"/>
        </w:rPr>
        <w:t>和有关政策规定要求</w:t>
      </w:r>
      <w:r>
        <w:rPr>
          <w:rFonts w:hint="eastAsia" w:ascii="宋体" w:hAnsi="宋体" w:eastAsia="宋体" w:cs="宋体"/>
          <w:caps w:val="0"/>
          <w:smallCaps w:val="0"/>
          <w:color w:val="auto"/>
          <w:kern w:val="0"/>
          <w:szCs w:val="32"/>
          <w:highlight w:val="none"/>
        </w:rPr>
        <w:t>的前提下，按照行业内项目采用特许经营与否均一视同仁的原则，对项目</w:t>
      </w:r>
      <w:r>
        <w:rPr>
          <w:rFonts w:hint="eastAsia" w:ascii="宋体" w:hAnsi="宋体" w:eastAsia="宋体" w:cs="宋体"/>
          <w:caps w:val="0"/>
          <w:smallCaps w:val="0"/>
          <w:color w:val="auto"/>
          <w:kern w:val="0"/>
          <w:szCs w:val="32"/>
          <w:highlight w:val="none"/>
          <w:lang w:eastAsia="zh-CN"/>
        </w:rPr>
        <w:t>按规定</w:t>
      </w:r>
      <w:r>
        <w:rPr>
          <w:rFonts w:hint="eastAsia" w:ascii="宋体" w:hAnsi="宋体" w:eastAsia="宋体" w:cs="宋体"/>
          <w:caps w:val="0"/>
          <w:smallCaps w:val="0"/>
          <w:color w:val="auto"/>
          <w:kern w:val="0"/>
          <w:szCs w:val="32"/>
          <w:highlight w:val="none"/>
        </w:rPr>
        <w:t>给予运营补贴。</w:t>
      </w:r>
    </w:p>
    <w:p w14:paraId="047DC18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w:t>
      </w:r>
      <w:bookmarkStart w:id="643" w:name="_Hlk154063626"/>
      <w:r>
        <w:rPr>
          <w:rFonts w:hint="eastAsia" w:ascii="宋体" w:hAnsi="宋体" w:eastAsia="宋体" w:cs="宋体"/>
          <w:caps w:val="0"/>
          <w:smallCaps w:val="0"/>
          <w:color w:val="auto"/>
          <w:kern w:val="0"/>
          <w:szCs w:val="32"/>
          <w:highlight w:val="none"/>
        </w:rPr>
        <w:t>与特许经营项目相关的其他收益。</w:t>
      </w:r>
      <w:bookmarkEnd w:id="643"/>
    </w:p>
    <w:p w14:paraId="10D3D30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协议不得约定可行性缺口补助、承诺保底收益率、可用性付费等任何</w:t>
      </w:r>
      <w:r>
        <w:rPr>
          <w:rFonts w:hint="eastAsia" w:ascii="宋体" w:hAnsi="宋体" w:eastAsia="宋体" w:cs="宋体"/>
          <w:caps w:val="0"/>
          <w:smallCaps w:val="0"/>
          <w:color w:val="auto"/>
          <w:kern w:val="0"/>
          <w:szCs w:val="32"/>
          <w:highlight w:val="none"/>
          <w:lang w:eastAsia="zh-CN"/>
        </w:rPr>
        <w:t>方式，不得因采用政府和社会资本合作模式额外新增地方财政未来支出责任，不得</w:t>
      </w:r>
      <w:r>
        <w:rPr>
          <w:rFonts w:hint="eastAsia" w:ascii="宋体" w:hAnsi="宋体" w:eastAsia="宋体" w:cs="宋体"/>
          <w:caps w:val="0"/>
          <w:smallCaps w:val="0"/>
          <w:color w:val="auto"/>
          <w:kern w:val="0"/>
          <w:szCs w:val="32"/>
          <w:highlight w:val="none"/>
        </w:rPr>
        <w:t>新增隐</w:t>
      </w:r>
      <w:r>
        <w:rPr>
          <w:rFonts w:hint="eastAsia" w:ascii="宋体" w:hAnsi="宋体" w:eastAsia="宋体" w:cs="宋体"/>
          <w:caps w:val="0"/>
          <w:smallCaps w:val="0"/>
          <w:color w:val="auto"/>
          <w:kern w:val="0"/>
          <w:szCs w:val="32"/>
          <w:highlight w:val="none"/>
          <w:lang w:eastAsia="zh-CN"/>
        </w:rPr>
        <w:t>性</w:t>
      </w:r>
      <w:r>
        <w:rPr>
          <w:rFonts w:hint="eastAsia" w:ascii="宋体" w:hAnsi="宋体" w:eastAsia="宋体" w:cs="宋体"/>
          <w:caps w:val="0"/>
          <w:smallCaps w:val="0"/>
          <w:color w:val="auto"/>
          <w:kern w:val="0"/>
          <w:szCs w:val="32"/>
          <w:highlight w:val="none"/>
        </w:rPr>
        <w:t>债务的方式。】</w:t>
      </w:r>
    </w:p>
    <w:p w14:paraId="0739FF7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0BF698C3">
      <w:pPr>
        <w:keepNext w:val="0"/>
        <w:keepLines w:val="0"/>
        <w:pageBreakBefore w:val="0"/>
        <w:widowControl w:val="0"/>
        <w:numPr>
          <w:ilvl w:val="0"/>
          <w:numId w:val="69"/>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根据相关法律和国家政策，本项目</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乙方主营业务</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实行政府定价、政府指导价的产品和服务有：【根据项目具体情况列示】</w:t>
      </w:r>
    </w:p>
    <w:p w14:paraId="1F6B2D80">
      <w:pPr>
        <w:keepNext w:val="0"/>
        <w:keepLines w:val="0"/>
        <w:pageBreakBefore w:val="0"/>
        <w:widowControl w:val="0"/>
        <w:numPr>
          <w:ilvl w:val="0"/>
          <w:numId w:val="69"/>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在遵守相关适用法律和确保项目安全运营的前提下，乙方可直接或委托第三方（通过提供、出租、允许转租全部或部分该等空间及/或相关设施</w:t>
      </w:r>
      <w:r>
        <w:rPr>
          <w:rFonts w:hint="eastAsia" w:ascii="宋体" w:hAnsi="宋体" w:eastAsia="宋体" w:cs="宋体"/>
          <w:caps w:val="0"/>
          <w:smallCaps w:val="0"/>
          <w:color w:val="auto"/>
          <w:kern w:val="0"/>
          <w:szCs w:val="32"/>
          <w:highlight w:val="none"/>
          <w:lang w:eastAsia="zh-CN"/>
        </w:rPr>
        <w:t>或其他</w:t>
      </w:r>
      <w:r>
        <w:rPr>
          <w:rFonts w:hint="eastAsia" w:ascii="宋体" w:hAnsi="宋体" w:eastAsia="宋体" w:cs="宋体"/>
          <w:caps w:val="0"/>
          <w:smallCaps w:val="0"/>
          <w:color w:val="auto"/>
          <w:kern w:val="0"/>
          <w:szCs w:val="32"/>
          <w:highlight w:val="none"/>
        </w:rPr>
        <w:t>方式）从事的市场化非主营业务包括：</w:t>
      </w:r>
      <w:bookmarkStart w:id="644" w:name="_Hlk154063709"/>
      <w:r>
        <w:rPr>
          <w:rFonts w:hint="eastAsia" w:ascii="宋体" w:hAnsi="宋体" w:eastAsia="宋体" w:cs="宋体"/>
          <w:caps w:val="0"/>
          <w:smallCaps w:val="0"/>
          <w:color w:val="auto"/>
          <w:kern w:val="0"/>
          <w:szCs w:val="32"/>
          <w:highlight w:val="none"/>
        </w:rPr>
        <w:t>【根据项目具体情况约定】</w:t>
      </w:r>
      <w:bookmarkEnd w:id="644"/>
    </w:p>
    <w:p w14:paraId="2522ACC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【说明：不同类型项目中可能开展的非主营业务包括如广告业务开发</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广告设计、制作、发布、代理业务等），通信业务开发（移动通信资源开发、有线通信接入等），商业零售开发（报纸杂志、提款机服务、其他商业零售点等），产出物循环利用</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污水的中水回用、垃圾焚烧后炉渣再利用等</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与项目相连接的各类通道经营</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出租空间和设施等</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以及</w:t>
      </w:r>
      <w:bookmarkStart w:id="645" w:name="_Hlk154063398"/>
      <w:r>
        <w:rPr>
          <w:rFonts w:hint="eastAsia" w:ascii="宋体" w:hAnsi="宋体" w:eastAsia="宋体" w:cs="宋体"/>
          <w:caps w:val="0"/>
          <w:smallCaps w:val="0"/>
          <w:color w:val="auto"/>
          <w:kern w:val="0"/>
          <w:szCs w:val="32"/>
          <w:highlight w:val="none"/>
        </w:rPr>
        <w:t>适用法律允许</w:t>
      </w:r>
      <w:bookmarkEnd w:id="645"/>
      <w:r>
        <w:rPr>
          <w:rFonts w:hint="eastAsia" w:ascii="宋体" w:hAnsi="宋体" w:eastAsia="宋体" w:cs="宋体"/>
          <w:caps w:val="0"/>
          <w:smallCaps w:val="0"/>
          <w:color w:val="auto"/>
          <w:kern w:val="0"/>
          <w:szCs w:val="32"/>
          <w:highlight w:val="none"/>
        </w:rPr>
        <w:t>的其他利用本项目资产内的空间和产出物所从事的其他营收业务，等。】</w:t>
      </w:r>
    </w:p>
    <w:p w14:paraId="6C1BDDEC">
      <w:pPr>
        <w:keepNext w:val="0"/>
        <w:keepLines w:val="0"/>
        <w:pageBreakBefore w:val="0"/>
        <w:widowControl w:val="0"/>
        <w:numPr>
          <w:ilvl w:val="0"/>
          <w:numId w:val="69"/>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适用法律和政策允许</w:t>
      </w:r>
      <w:r>
        <w:rPr>
          <w:rFonts w:hint="eastAsia" w:ascii="宋体" w:hAnsi="宋体" w:eastAsia="宋体" w:cs="宋体"/>
          <w:caps w:val="0"/>
          <w:smallCaps w:val="0"/>
          <w:color w:val="auto"/>
          <w:kern w:val="0"/>
          <w:szCs w:val="32"/>
          <w:highlight w:val="none"/>
          <w:lang w:eastAsia="zh-CN"/>
        </w:rPr>
        <w:t>、具有统一规定的</w:t>
      </w:r>
      <w:r>
        <w:rPr>
          <w:rFonts w:hint="eastAsia" w:ascii="宋体" w:hAnsi="宋体" w:eastAsia="宋体" w:cs="宋体"/>
          <w:caps w:val="0"/>
          <w:smallCaps w:val="0"/>
          <w:color w:val="auto"/>
          <w:kern w:val="0"/>
          <w:szCs w:val="32"/>
          <w:highlight w:val="none"/>
        </w:rPr>
        <w:t>行业性补贴收入。【根据项目具体情况确定】</w:t>
      </w:r>
    </w:p>
    <w:p w14:paraId="5C20991F">
      <w:pPr>
        <w:keepNext w:val="0"/>
        <w:keepLines w:val="0"/>
        <w:pageBreakBefore w:val="0"/>
        <w:widowControl w:val="0"/>
        <w:numPr>
          <w:ilvl w:val="0"/>
          <w:numId w:val="69"/>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报经甲方备案后，其他开发经营权收益。【根据项目具体情况约定】</w:t>
      </w:r>
    </w:p>
    <w:p w14:paraId="164331C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46" w:name="_Toc402428953"/>
      <w:bookmarkStart w:id="647" w:name="_Toc965657965"/>
      <w:bookmarkStart w:id="648" w:name="_Toc405146874"/>
      <w:r>
        <w:rPr>
          <w:rFonts w:hint="eastAsia" w:ascii="宋体" w:hAnsi="宋体" w:eastAsia="宋体" w:cs="宋体"/>
          <w:bCs/>
          <w:caps w:val="0"/>
          <w:smallCaps w:val="0"/>
          <w:color w:val="auto"/>
          <w:sz w:val="28"/>
          <w:highlight w:val="none"/>
        </w:rPr>
        <w:t>服务</w:t>
      </w:r>
      <w:bookmarkEnd w:id="646"/>
      <w:bookmarkStart w:id="649" w:name="_Toc402428954"/>
      <w:r>
        <w:rPr>
          <w:rFonts w:hint="eastAsia" w:ascii="宋体" w:hAnsi="宋体" w:eastAsia="宋体" w:cs="宋体"/>
          <w:bCs/>
          <w:caps w:val="0"/>
          <w:smallCaps w:val="0"/>
          <w:color w:val="auto"/>
          <w:sz w:val="28"/>
          <w:highlight w:val="none"/>
        </w:rPr>
        <w:t>价格及调整</w:t>
      </w:r>
      <w:bookmarkEnd w:id="647"/>
      <w:bookmarkEnd w:id="648"/>
      <w:bookmarkEnd w:id="649"/>
    </w:p>
    <w:p w14:paraId="0317EE4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按照收益与风险匹配、社会可承受的原则，合理约定项目服务价格及调整机制。不同的特许经营项目或同一个特许经营项目中可能涉及实行政府定价或指导价的收费价格、实行市场价格的收费价格，以及通过特许经营招标竞争机制确定的项目提供产品或服务的</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约定价格</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等价格类型，应根据不同的价格类型在特许经营协议中对相关的定价、调价和相应的价格风险承担等进行约定。】</w:t>
      </w:r>
    </w:p>
    <w:p w14:paraId="039D6A4B">
      <w:pPr>
        <w:pStyle w:val="5"/>
        <w:keepNext w:val="0"/>
        <w:keepLines w:val="0"/>
        <w:pageBreakBefore w:val="0"/>
        <w:widowControl w:val="0"/>
        <w:numPr>
          <w:ilvl w:val="2"/>
          <w:numId w:val="7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直接向用户收费，执行政府定价或指导价的项目</w:t>
      </w:r>
    </w:p>
    <w:p w14:paraId="03ECA88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【对于直接向用户收费</w:t>
      </w:r>
      <w:r>
        <w:rPr>
          <w:rFonts w:hint="eastAsia" w:ascii="宋体" w:hAnsi="宋体" w:eastAsia="宋体" w:cs="宋体"/>
          <w:caps w:val="0"/>
          <w:smallCaps w:val="0"/>
          <w:color w:val="auto"/>
          <w:kern w:val="0"/>
          <w:szCs w:val="32"/>
          <w:highlight w:val="none"/>
          <w:lang w:eastAsia="zh-CN"/>
        </w:rPr>
        <w:t>且</w:t>
      </w:r>
      <w:r>
        <w:rPr>
          <w:rFonts w:hint="eastAsia" w:ascii="宋体" w:hAnsi="宋体" w:eastAsia="宋体" w:cs="宋体"/>
          <w:caps w:val="0"/>
          <w:smallCaps w:val="0"/>
          <w:color w:val="auto"/>
          <w:kern w:val="0"/>
          <w:szCs w:val="32"/>
          <w:highlight w:val="none"/>
        </w:rPr>
        <w:t>相关产品或服务执行</w:t>
      </w:r>
      <w:r>
        <w:rPr>
          <w:rFonts w:hint="eastAsia" w:ascii="宋体" w:hAnsi="宋体" w:eastAsia="宋体" w:cs="宋体"/>
          <w:caps w:val="0"/>
          <w:smallCaps w:val="0"/>
          <w:color w:val="auto"/>
          <w:highlight w:val="none"/>
        </w:rPr>
        <w:t>政府定价或指导价的</w:t>
      </w:r>
      <w:r>
        <w:rPr>
          <w:rFonts w:hint="eastAsia" w:ascii="宋体" w:hAnsi="宋体" w:eastAsia="宋体" w:cs="宋体"/>
          <w:caps w:val="0"/>
          <w:smallCaps w:val="0"/>
          <w:color w:val="auto"/>
          <w:kern w:val="0"/>
          <w:szCs w:val="32"/>
          <w:highlight w:val="none"/>
        </w:rPr>
        <w:t>项目，项目价格或收费应当执行有关定价机关制定的价格或者收费标准。价格或收费标准的调整应当依据适用法律和本协议的如下约定：</w:t>
      </w:r>
    </w:p>
    <w:p w14:paraId="421AC2C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（1）执行政府批准颁布的项目服务或产品价格。</w:t>
      </w:r>
    </w:p>
    <w:p w14:paraId="643ACBA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（2）遵守政府价格调整相关规定，配合政府价格调整工作，如价格听证等。</w:t>
      </w:r>
    </w:p>
    <w:p w14:paraId="5AB9811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（3）协议可约定非因特许经营者原因造成的经营成本发生重大变动时，特许经营者可提出价格或收费标准调整申请。</w:t>
      </w:r>
      <w:r>
        <w:rPr>
          <w:rFonts w:hint="eastAsia" w:ascii="宋体" w:hAnsi="宋体" w:cs="宋体"/>
          <w:caps w:val="0"/>
          <w:smallCaps w:val="0"/>
          <w:color w:val="auto"/>
          <w:kern w:val="0"/>
          <w:szCs w:val="32"/>
          <w:highlight w:val="none"/>
          <w:lang w:eastAsia="zh-CN"/>
        </w:rPr>
        <w:t>项目实施机构</w:t>
      </w:r>
      <w:r>
        <w:rPr>
          <w:rFonts w:hint="eastAsia" w:ascii="宋体" w:hAnsi="宋体" w:eastAsia="宋体" w:cs="宋体"/>
          <w:caps w:val="0"/>
          <w:smallCaps w:val="0"/>
          <w:color w:val="auto"/>
          <w:kern w:val="0"/>
          <w:szCs w:val="32"/>
          <w:highlight w:val="none"/>
        </w:rPr>
        <w:t>核实后应协助乙方向有权部门提请实施价格调整。】</w:t>
      </w:r>
    </w:p>
    <w:p w14:paraId="4993F03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【示例如下：适用供水项目】</w:t>
      </w:r>
    </w:p>
    <w:p w14:paraId="481DA8EF">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1）</w:t>
      </w:r>
      <w:r>
        <w:rPr>
          <w:rFonts w:hint="eastAsia" w:ascii="宋体" w:hAnsi="宋体" w:eastAsia="宋体" w:cs="宋体"/>
          <w:caps w:val="0"/>
          <w:smallCaps w:val="0"/>
          <w:color w:val="auto"/>
          <w:kern w:val="0"/>
          <w:szCs w:val="32"/>
          <w:highlight w:val="none"/>
        </w:rPr>
        <w:t>乙方向公众用户供水的价格实行政府定价。乙方按照政府方批准的收费标准向其服务范围内的用水户收取费用。具体价格类型和价格标准包括【】。</w:t>
      </w:r>
    </w:p>
    <w:p w14:paraId="7BC40B72">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2）</w:t>
      </w:r>
      <w:r>
        <w:rPr>
          <w:rFonts w:hint="eastAsia" w:ascii="宋体" w:hAnsi="宋体" w:eastAsia="宋体" w:cs="宋体"/>
          <w:caps w:val="0"/>
          <w:smallCaps w:val="0"/>
          <w:color w:val="auto"/>
          <w:kern w:val="0"/>
          <w:szCs w:val="32"/>
          <w:highlight w:val="none"/>
        </w:rPr>
        <w:t>不同用水性质的用水共用一只计量水表时，除另有规定外，按</w:t>
      </w:r>
      <w:r>
        <w:rPr>
          <w:rFonts w:hint="eastAsia" w:ascii="宋体" w:hAnsi="宋体" w:eastAsia="宋体" w:cs="宋体"/>
          <w:caps w:val="0"/>
          <w:smallCaps w:val="0"/>
          <w:color w:val="auto"/>
          <w:kern w:val="0"/>
          <w:szCs w:val="32"/>
          <w:highlight w:val="none"/>
          <w:lang w:eastAsia="zh-CN"/>
        </w:rPr>
        <w:t>从高适用</w:t>
      </w:r>
      <w:r>
        <w:rPr>
          <w:rFonts w:hint="eastAsia" w:ascii="宋体" w:hAnsi="宋体" w:eastAsia="宋体" w:cs="宋体"/>
          <w:caps w:val="0"/>
          <w:smallCaps w:val="0"/>
          <w:color w:val="auto"/>
          <w:kern w:val="0"/>
          <w:szCs w:val="32"/>
          <w:highlight w:val="none"/>
        </w:rPr>
        <w:t>水价计收水费。</w:t>
      </w:r>
    </w:p>
    <w:p w14:paraId="7CAF98F4">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3</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水费结算方式按照适用法律、与用户签订的《供水用水合同》结算水费。</w:t>
      </w:r>
    </w:p>
    <w:p w14:paraId="2F8B3067">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4</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价格的调整</w:t>
      </w:r>
    </w:p>
    <w:p w14:paraId="4D1B051A">
      <w:pPr>
        <w:pStyle w:val="232"/>
        <w:keepNext w:val="0"/>
        <w:keepLines w:val="0"/>
        <w:pageBreakBefore w:val="0"/>
        <w:widowControl w:val="0"/>
        <w:numPr>
          <w:ilvl w:val="0"/>
          <w:numId w:val="7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政府方制定价格和调整价格应符合相关规定和政策，经有关部门批准后乙方应严格遵照执行。</w:t>
      </w:r>
    </w:p>
    <w:p w14:paraId="5E528035">
      <w:pPr>
        <w:pStyle w:val="232"/>
        <w:keepNext w:val="0"/>
        <w:keepLines w:val="0"/>
        <w:pageBreakBefore w:val="0"/>
        <w:widowControl w:val="0"/>
        <w:numPr>
          <w:ilvl w:val="0"/>
          <w:numId w:val="7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特殊情况下，非因乙方原因造成的经营成本发生重大变动时，乙方可提出城市供水收费标准调整申请。甲方核实后应向有权部门提出调整意见。</w:t>
      </w:r>
    </w:p>
    <w:p w14:paraId="7BA0CBAA">
      <w:pPr>
        <w:pStyle w:val="232"/>
        <w:keepNext w:val="0"/>
        <w:keepLines w:val="0"/>
        <w:pageBreakBefore w:val="0"/>
        <w:widowControl w:val="0"/>
        <w:numPr>
          <w:ilvl w:val="0"/>
          <w:numId w:val="7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甲方协助有关部门按照适用法律制定城市供水收费标准、收费监督政策的调整计划。</w:t>
      </w:r>
    </w:p>
    <w:p w14:paraId="2DF667F7">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5</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乙方向用户提供非本协议规定标准的产品和服务时，非标准的产品和服务价格由供需交易双方协商确定。</w:t>
      </w:r>
    </w:p>
    <w:p w14:paraId="1BF0A893">
      <w:pPr>
        <w:keepNext w:val="0"/>
        <w:keepLines w:val="0"/>
        <w:pageBreakBefore w:val="0"/>
        <w:widowControl w:val="0"/>
        <w:tabs>
          <w:tab w:val="left" w:pos="142"/>
        </w:tabs>
        <w:kinsoku/>
        <w:wordWrap/>
        <w:overflowPunct/>
        <w:topLinePunct w:val="0"/>
        <w:bidi w:val="0"/>
        <w:spacing w:before="0" w:beforeLines="0" w:after="0" w:afterLines="0" w:line="360" w:lineRule="auto"/>
        <w:ind w:firstLine="560"/>
        <w:rPr>
          <w:rFonts w:hint="eastAsia" w:ascii="宋体" w:hAnsi="宋体" w:eastAsia="宋体" w:cs="宋体"/>
          <w:caps w:val="0"/>
          <w:smallCaps w:val="0"/>
          <w:color w:val="auto"/>
          <w:kern w:val="0"/>
          <w:szCs w:val="32"/>
          <w:highlight w:val="none"/>
        </w:rPr>
      </w:pPr>
      <w:bookmarkStart w:id="650" w:name="_Hlk154053482"/>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6</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报甲方备案后，乙方可以向用户提供包括纯净水、二次供水等创新产品和服务【具体根据项目情况约定】，或进行技术革新降低成本等，乙方提供的创新产品和服务收入、成本</w:t>
      </w:r>
      <w:r>
        <w:rPr>
          <w:rFonts w:hint="eastAsia" w:ascii="宋体" w:hAnsi="宋体" w:eastAsia="宋体" w:cs="宋体"/>
          <w:caps w:val="0"/>
          <w:smallCaps w:val="0"/>
          <w:color w:val="auto"/>
          <w:kern w:val="0"/>
          <w:szCs w:val="32"/>
          <w:highlight w:val="none"/>
          <w:lang w:eastAsia="zh-CN"/>
        </w:rPr>
        <w:t>结余</w:t>
      </w:r>
      <w:r>
        <w:rPr>
          <w:rFonts w:hint="eastAsia" w:ascii="宋体" w:hAnsi="宋体" w:eastAsia="宋体" w:cs="宋体"/>
          <w:caps w:val="0"/>
          <w:smallCaps w:val="0"/>
          <w:color w:val="auto"/>
          <w:kern w:val="0"/>
          <w:szCs w:val="32"/>
          <w:highlight w:val="none"/>
        </w:rPr>
        <w:t>归乙方所有。乙方在核算创新产品和服务中，应单独核算有关收入和成本。</w:t>
      </w:r>
      <w:bookmarkEnd w:id="650"/>
    </w:p>
    <w:p w14:paraId="09193196">
      <w:pPr>
        <w:pStyle w:val="5"/>
        <w:keepNext w:val="0"/>
        <w:keepLines w:val="0"/>
        <w:pageBreakBefore w:val="0"/>
        <w:widowControl w:val="0"/>
        <w:numPr>
          <w:ilvl w:val="2"/>
          <w:numId w:val="7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不直接向用户收费，由政府统收统支，执行特许经营协议约定价格的项目</w:t>
      </w:r>
    </w:p>
    <w:p w14:paraId="5321F6B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【说明：由政府或其依法授权机构代为向用户统一收取后再向特许经营者支付费用的项目，政府应当主动公开收支明细，保证专款专用，</w:t>
      </w:r>
      <w:bookmarkStart w:id="651" w:name="_Hlk154053282"/>
      <w:r>
        <w:rPr>
          <w:rFonts w:hint="eastAsia" w:ascii="宋体" w:hAnsi="宋体" w:eastAsia="宋体" w:cs="宋体"/>
          <w:caps w:val="0"/>
          <w:smallCaps w:val="0"/>
          <w:color w:val="auto"/>
          <w:kern w:val="0"/>
          <w:szCs w:val="32"/>
          <w:highlight w:val="none"/>
        </w:rPr>
        <w:t>按照特许经营协议约定定期支付。</w:t>
      </w:r>
      <w:bookmarkEnd w:id="651"/>
      <w:r>
        <w:rPr>
          <w:rFonts w:hint="eastAsia" w:ascii="宋体" w:hAnsi="宋体" w:eastAsia="宋体" w:cs="宋体"/>
          <w:caps w:val="0"/>
          <w:smallCaps w:val="0"/>
          <w:color w:val="auto"/>
          <w:kern w:val="0"/>
          <w:szCs w:val="32"/>
          <w:highlight w:val="none"/>
        </w:rPr>
        <w:t>政府向特许经营者支付的费用及调整机制由特许经营协议约定，其中费用调整机制包括调整周期或触发机制、调整方法、程序及各方权利义务、支付安排等。政府对用户收取的价格和收费，由有关定价机关按照有关价格法律法规政策规定予以调整。】</w:t>
      </w:r>
    </w:p>
    <w:p w14:paraId="37E8BEB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【示例如下：适用污水处理项目】</w:t>
      </w:r>
    </w:p>
    <w:p w14:paraId="5BAE441B">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1</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付费水量</w:t>
      </w:r>
    </w:p>
    <w:p w14:paraId="4D9875B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在运营期内的任一运营月，甲方支付污水处理服务费的水量为乙方实际处理并达到出水水质标准的水量。</w:t>
      </w:r>
    </w:p>
    <w:p w14:paraId="225FA5EA">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2</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污水</w:t>
      </w:r>
      <w:r>
        <w:rPr>
          <w:rFonts w:hint="eastAsia" w:ascii="宋体" w:hAnsi="宋体" w:eastAsia="宋体" w:cs="宋体"/>
          <w:caps w:val="0"/>
          <w:smallCaps w:val="0"/>
          <w:color w:val="auto"/>
          <w:highlight w:val="none"/>
        </w:rPr>
        <w:t>处理服务费单价及调整</w:t>
      </w:r>
    </w:p>
    <w:p w14:paraId="714C8BE3">
      <w:pPr>
        <w:pStyle w:val="232"/>
        <w:keepNext w:val="0"/>
        <w:keepLines w:val="0"/>
        <w:pageBreakBefore w:val="0"/>
        <w:widowControl w:val="0"/>
        <w:numPr>
          <w:ilvl w:val="0"/>
          <w:numId w:val="7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经特许经营者招标程序形成的污水处理服务费初始单价为</w:t>
      </w:r>
      <w:r>
        <w:rPr>
          <w:rFonts w:hint="eastAsia" w:ascii="宋体" w:hAnsi="宋体" w:eastAsia="宋体" w:cs="宋体"/>
          <w:caps w:val="0"/>
          <w:smallCaps w:val="0"/>
          <w:color w:val="auto"/>
          <w:highlight w:val="none"/>
          <w:u w:val="single"/>
        </w:rPr>
        <w:t>【】</w:t>
      </w:r>
      <w:r>
        <w:rPr>
          <w:rFonts w:hint="eastAsia" w:ascii="宋体" w:hAnsi="宋体" w:eastAsia="宋体" w:cs="宋体"/>
          <w:caps w:val="0"/>
          <w:smallCaps w:val="0"/>
          <w:color w:val="auto"/>
          <w:highlight w:val="none"/>
        </w:rPr>
        <w:t>元/立方米，其价格水平基准期为【】。</w:t>
      </w:r>
    </w:p>
    <w:p w14:paraId="288281AB">
      <w:pPr>
        <w:pStyle w:val="232"/>
        <w:keepNext w:val="0"/>
        <w:keepLines w:val="0"/>
        <w:pageBreakBefore w:val="0"/>
        <w:widowControl w:val="0"/>
        <w:numPr>
          <w:ilvl w:val="0"/>
          <w:numId w:val="7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物价因素影响污水处理服务费情况下，污水处理服务费单价在运营期内每间隔【】年按本协议约定的方法进行调整和执行。污水处理服务费单价调整方法详见【】。</w:t>
      </w:r>
    </w:p>
    <w:p w14:paraId="710AC348">
      <w:pPr>
        <w:pStyle w:val="232"/>
        <w:keepNext w:val="0"/>
        <w:keepLines w:val="0"/>
        <w:pageBreakBefore w:val="0"/>
        <w:widowControl w:val="0"/>
        <w:numPr>
          <w:ilvl w:val="0"/>
          <w:numId w:val="7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由于法律、法规或规范发生变更，如国家或地方污水排放标准、污泥处置标准发生变化，双方约定有关价格和费用的具体处理方式是【具体约定】。</w:t>
      </w:r>
    </w:p>
    <w:p w14:paraId="6BAFBC4B">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bookmarkStart w:id="652" w:name="_Hlk161668268"/>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3</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污水处理服务费</w:t>
      </w:r>
      <w:bookmarkEnd w:id="652"/>
      <w:r>
        <w:rPr>
          <w:rFonts w:hint="eastAsia" w:ascii="宋体" w:hAnsi="宋体" w:eastAsia="宋体" w:cs="宋体"/>
          <w:caps w:val="0"/>
          <w:smallCaps w:val="0"/>
          <w:color w:val="auto"/>
          <w:kern w:val="0"/>
          <w:szCs w:val="32"/>
          <w:highlight w:val="none"/>
        </w:rPr>
        <w:t>计算及付款方式</w:t>
      </w:r>
    </w:p>
    <w:p w14:paraId="37AB0E2F">
      <w:pPr>
        <w:pStyle w:val="232"/>
        <w:keepNext w:val="0"/>
        <w:keepLines w:val="0"/>
        <w:pageBreakBefore w:val="0"/>
        <w:widowControl w:val="0"/>
        <w:numPr>
          <w:ilvl w:val="0"/>
          <w:numId w:val="7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甲方应从乙方试运营开始之日起按月计算并支付乙方污水处理服务费。</w:t>
      </w:r>
    </w:p>
    <w:p w14:paraId="18B3462C">
      <w:pPr>
        <w:pStyle w:val="232"/>
        <w:keepNext w:val="0"/>
        <w:keepLines w:val="0"/>
        <w:pageBreakBefore w:val="0"/>
        <w:widowControl w:val="0"/>
        <w:numPr>
          <w:ilvl w:val="0"/>
          <w:numId w:val="7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乙方应于每月【】日前向甲方书面提交</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污水处理服务费付款申请书</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，列明污水处理服务费的计算结果和费用构成。乙方应提供必要的证明资料以便甲方核实。</w:t>
      </w:r>
    </w:p>
    <w:p w14:paraId="0B1C1034">
      <w:pPr>
        <w:pStyle w:val="232"/>
        <w:keepNext w:val="0"/>
        <w:keepLines w:val="0"/>
        <w:pageBreakBefore w:val="0"/>
        <w:widowControl w:val="0"/>
        <w:numPr>
          <w:ilvl w:val="0"/>
          <w:numId w:val="7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甲方在收到申请书【】日内支付无争议的污水处理服务费金额。如果甲方对付款通知单内容有异议，必须在【】个工作日内书面通知乙方，并说明理由，否则视为甲方对付款通知单没有异议。</w:t>
      </w:r>
    </w:p>
    <w:p w14:paraId="6EFCCDD7">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4</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专款专用和及时支付</w:t>
      </w:r>
    </w:p>
    <w:p w14:paraId="40392C6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甲方及有关部门应保证向居民和企业收取的污水处理费或排污费实施专款专用，并按预算管理规定安排好资金及时向乙方支付。</w:t>
      </w:r>
    </w:p>
    <w:p w14:paraId="0C323BC2">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5</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按效付费机制</w:t>
      </w:r>
    </w:p>
    <w:p w14:paraId="01010200">
      <w:pPr>
        <w:pStyle w:val="4"/>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【甲方应与乙方在协议中约定污水收集处理服务费与污水处理厂进水污染物浓度、污染物削减量、出水水质、污泥无害化稳定化处理效果挂钩的按效付费机制，具体根据项目情况约定。】</w:t>
      </w:r>
    </w:p>
    <w:p w14:paraId="1F5F4201">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6</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报甲方备案后，乙方可以利用现有设施从事光伏发电开发等业务【具体根据项目情况约定】，或进行技术革新降低成本，乙方提供的创新产品和服务收入、成本</w:t>
      </w:r>
      <w:r>
        <w:rPr>
          <w:rFonts w:hint="eastAsia" w:ascii="宋体" w:hAnsi="宋体" w:eastAsia="宋体" w:cs="宋体"/>
          <w:caps w:val="0"/>
          <w:smallCaps w:val="0"/>
          <w:color w:val="auto"/>
          <w:kern w:val="0"/>
          <w:szCs w:val="32"/>
          <w:highlight w:val="none"/>
          <w:lang w:eastAsia="zh-CN"/>
        </w:rPr>
        <w:t>结余</w:t>
      </w:r>
      <w:r>
        <w:rPr>
          <w:rFonts w:hint="eastAsia" w:ascii="宋体" w:hAnsi="宋体" w:eastAsia="宋体" w:cs="宋体"/>
          <w:caps w:val="0"/>
          <w:smallCaps w:val="0"/>
          <w:color w:val="auto"/>
          <w:kern w:val="0"/>
          <w:szCs w:val="32"/>
          <w:highlight w:val="none"/>
        </w:rPr>
        <w:t>归乙方所有。乙方在核算创新产品和服务中，应单独核算有关收入和成本。</w:t>
      </w:r>
    </w:p>
    <w:p w14:paraId="5D5840D0">
      <w:pPr>
        <w:keepNext w:val="0"/>
        <w:keepLines w:val="0"/>
        <w:pageBreakBefore w:val="0"/>
        <w:widowControl w:val="0"/>
        <w:tabs>
          <w:tab w:val="left" w:pos="142"/>
        </w:tabs>
        <w:kinsoku/>
        <w:wordWrap/>
        <w:overflowPunct/>
        <w:topLinePunct w:val="0"/>
        <w:autoSpaceDE w:val="0"/>
        <w:autoSpaceDN w:val="0"/>
        <w:bidi w:val="0"/>
        <w:spacing w:before="0" w:beforeLines="0" w:after="0" w:afterLines="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lang w:val="en-US" w:eastAsia="zh-CN"/>
        </w:rPr>
        <w:t>7</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乙方有义务配合和接受政府方按规定对本项目开展成本调查或成本监审活动。</w:t>
      </w:r>
    </w:p>
    <w:p w14:paraId="65560B0F">
      <w:pPr>
        <w:pStyle w:val="5"/>
        <w:keepNext w:val="0"/>
        <w:keepLines w:val="0"/>
        <w:pageBreakBefore w:val="0"/>
        <w:widowControl w:val="0"/>
        <w:numPr>
          <w:ilvl w:val="2"/>
          <w:numId w:val="7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实行市场调节价的项目</w:t>
      </w:r>
    </w:p>
    <w:p w14:paraId="338CE2F6">
      <w:pPr>
        <w:pStyle w:val="4"/>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【说明：对于实行市场调节价的产品和服务，协议中应约定由乙方自主定价自行承担市场风险、甲方和政府方不应干预等事项。】</w:t>
      </w:r>
    </w:p>
    <w:p w14:paraId="1DDE41A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53" w:name="_Toc157067951"/>
      <w:bookmarkEnd w:id="653"/>
      <w:bookmarkStart w:id="654" w:name="_Toc402428939"/>
      <w:bookmarkStart w:id="655" w:name="_Toc405146862"/>
      <w:bookmarkStart w:id="656" w:name="_Toc53866215"/>
      <w:bookmarkStart w:id="657" w:name="_Toc405146876"/>
      <w:bookmarkStart w:id="658" w:name="_Toc402428958"/>
      <w:r>
        <w:rPr>
          <w:rFonts w:hint="eastAsia" w:ascii="宋体" w:hAnsi="宋体" w:eastAsia="宋体" w:cs="宋体"/>
          <w:bCs/>
          <w:caps w:val="0"/>
          <w:smallCaps w:val="0"/>
          <w:color w:val="auto"/>
          <w:sz w:val="28"/>
          <w:highlight w:val="none"/>
        </w:rPr>
        <w:t>运营期的</w:t>
      </w:r>
      <w:bookmarkEnd w:id="654"/>
      <w:bookmarkEnd w:id="655"/>
      <w:r>
        <w:rPr>
          <w:rFonts w:hint="eastAsia" w:ascii="宋体" w:hAnsi="宋体" w:eastAsia="宋体" w:cs="宋体"/>
          <w:bCs/>
          <w:caps w:val="0"/>
          <w:smallCaps w:val="0"/>
          <w:color w:val="auto"/>
          <w:sz w:val="28"/>
          <w:highlight w:val="none"/>
        </w:rPr>
        <w:t>补贴</w:t>
      </w:r>
      <w:bookmarkEnd w:id="656"/>
    </w:p>
    <w:p w14:paraId="139DBBE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【说明：特许经营协议应约定运营期间按国家、行业和地方有关规定可享受的行业补贴，以及由于政府特殊要求造成特许经营者支出增加、收入减少的补偿方式、补偿金额、支付程序及协商机制等。】</w:t>
      </w:r>
      <w:bookmarkEnd w:id="657"/>
      <w:bookmarkEnd w:id="658"/>
    </w:p>
    <w:p w14:paraId="780D21F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w:t>
      </w:r>
    </w:p>
    <w:p w14:paraId="7AC5BC48">
      <w:pPr>
        <w:keepNext w:val="0"/>
        <w:keepLines w:val="0"/>
        <w:pageBreakBefore w:val="0"/>
        <w:widowControl w:val="0"/>
        <w:numPr>
          <w:ilvl w:val="0"/>
          <w:numId w:val="74"/>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按照适用法律、法规、行业性规章、国家政策规定、项目所在地政府及有关部门规定，乙方</w:t>
      </w:r>
      <w:r>
        <w:rPr>
          <w:rFonts w:hint="eastAsia" w:ascii="宋体" w:hAnsi="宋体" w:eastAsia="宋体" w:cs="宋体"/>
          <w:caps w:val="0"/>
          <w:smallCaps w:val="0"/>
          <w:color w:val="auto"/>
          <w:kern w:val="0"/>
          <w:szCs w:val="32"/>
          <w:highlight w:val="none"/>
          <w:lang w:eastAsia="zh-CN"/>
        </w:rPr>
        <w:t>按统一规定</w:t>
      </w:r>
      <w:r>
        <w:rPr>
          <w:rFonts w:hint="eastAsia" w:ascii="宋体" w:hAnsi="宋体" w:eastAsia="宋体" w:cs="宋体"/>
          <w:caps w:val="0"/>
          <w:smallCaps w:val="0"/>
          <w:color w:val="auto"/>
          <w:kern w:val="0"/>
          <w:szCs w:val="32"/>
          <w:highlight w:val="none"/>
        </w:rPr>
        <w:t>享有运营期行业补贴【具体根据项目所在行业政策情况予以明确】。甲方</w:t>
      </w:r>
      <w:r>
        <w:rPr>
          <w:rFonts w:hint="eastAsia" w:ascii="宋体" w:hAnsi="宋体" w:eastAsia="宋体" w:cs="宋体"/>
          <w:caps w:val="0"/>
          <w:smallCaps w:val="0"/>
          <w:color w:val="auto"/>
          <w:kern w:val="0"/>
          <w:szCs w:val="32"/>
          <w:highlight w:val="none"/>
          <w:lang w:eastAsia="zh-CN"/>
        </w:rPr>
        <w:t>或</w:t>
      </w:r>
      <w:r>
        <w:rPr>
          <w:rFonts w:hint="eastAsia" w:ascii="宋体" w:hAnsi="宋体" w:eastAsia="宋体" w:cs="宋体"/>
          <w:caps w:val="0"/>
          <w:smallCaps w:val="0"/>
          <w:color w:val="auto"/>
          <w:kern w:val="0"/>
          <w:szCs w:val="32"/>
          <w:highlight w:val="none"/>
        </w:rPr>
        <w:t>有关部门应按规定向乙方及时支付上述行业补贴。</w:t>
      </w:r>
    </w:p>
    <w:p w14:paraId="1086A9B3">
      <w:pPr>
        <w:keepNext w:val="0"/>
        <w:keepLines w:val="0"/>
        <w:pageBreakBefore w:val="0"/>
        <w:widowControl w:val="0"/>
        <w:numPr>
          <w:ilvl w:val="0"/>
          <w:numId w:val="74"/>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因公共利益需要，甲方及政府方提出非正常运营或服务外的特殊要求</w:t>
      </w:r>
      <w:bookmarkStart w:id="659" w:name="_Hlk154061401"/>
      <w:r>
        <w:rPr>
          <w:rFonts w:hint="eastAsia" w:ascii="宋体" w:hAnsi="宋体" w:eastAsia="宋体" w:cs="宋体"/>
          <w:caps w:val="0"/>
          <w:smallCaps w:val="0"/>
          <w:color w:val="auto"/>
          <w:kern w:val="0"/>
          <w:szCs w:val="32"/>
          <w:highlight w:val="none"/>
        </w:rPr>
        <w:t>【具体根据项目情况约定】</w:t>
      </w:r>
      <w:bookmarkEnd w:id="659"/>
      <w:r>
        <w:rPr>
          <w:rFonts w:hint="eastAsia" w:ascii="宋体" w:hAnsi="宋体" w:eastAsia="宋体" w:cs="宋体"/>
          <w:caps w:val="0"/>
          <w:smallCaps w:val="0"/>
          <w:color w:val="auto"/>
          <w:kern w:val="0"/>
          <w:szCs w:val="32"/>
          <w:highlight w:val="none"/>
        </w:rPr>
        <w:t>，导致乙方运营成本增加或收入减少的，甲方及有关部门应就此给予乙方相应补贴或补偿【补偿方式具体约定】。</w:t>
      </w:r>
    </w:p>
    <w:p w14:paraId="4BD8E8CA">
      <w:pPr>
        <w:keepNext w:val="0"/>
        <w:keepLines w:val="0"/>
        <w:pageBreakBefore w:val="0"/>
        <w:widowControl w:val="0"/>
        <w:numPr>
          <w:ilvl w:val="0"/>
          <w:numId w:val="74"/>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申请与支付程序【根据项目具体情况约定】。</w:t>
      </w:r>
    </w:p>
    <w:p w14:paraId="22FA9605">
      <w:pPr>
        <w:pStyle w:val="4"/>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br w:type="page"/>
      </w:r>
    </w:p>
    <w:p w14:paraId="72450513">
      <w:pPr>
        <w:pStyle w:val="2"/>
        <w:keepNext w:val="0"/>
        <w:keepLines w:val="0"/>
        <w:pageBreakBefore w:val="0"/>
        <w:widowControl w:val="0"/>
        <w:kinsoku/>
        <w:wordWrap/>
        <w:overflowPunct/>
        <w:topLinePunct w:val="0"/>
        <w:bidi w:val="0"/>
        <w:spacing w:before="0" w:after="0" w:line="360" w:lineRule="auto"/>
        <w:rPr>
          <w:rFonts w:hint="eastAsia" w:ascii="宋体" w:hAnsi="宋体" w:eastAsia="宋体" w:cs="宋体"/>
          <w:caps w:val="0"/>
          <w:smallCaps w:val="0"/>
          <w:color w:val="auto"/>
          <w:sz w:val="28"/>
          <w:highlight w:val="none"/>
        </w:rPr>
      </w:pPr>
      <w:bookmarkStart w:id="660" w:name="_Toc1686220014"/>
      <w:r>
        <w:rPr>
          <w:rFonts w:hint="eastAsia" w:ascii="宋体" w:hAnsi="宋体" w:eastAsia="宋体" w:cs="宋体"/>
          <w:caps w:val="0"/>
          <w:smallCaps w:val="0"/>
          <w:color w:val="auto"/>
          <w:sz w:val="28"/>
          <w:highlight w:val="none"/>
        </w:rPr>
        <w:t>特定监管事项和措施</w:t>
      </w:r>
      <w:bookmarkEnd w:id="660"/>
    </w:p>
    <w:p w14:paraId="09C9628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【在本章就项目特定或专项监管事项进行约定，主要包括定期运营评</w:t>
      </w:r>
      <w:r>
        <w:rPr>
          <w:rFonts w:hint="eastAsia" w:ascii="宋体" w:hAnsi="宋体" w:eastAsia="宋体" w:cs="宋体"/>
          <w:caps w:val="0"/>
          <w:smallCaps w:val="0"/>
          <w:color w:val="auto"/>
          <w:highlight w:val="none"/>
          <w:lang w:eastAsia="zh-CN"/>
        </w:rPr>
        <w:t>价</w:t>
      </w:r>
      <w:r>
        <w:rPr>
          <w:rFonts w:hint="eastAsia" w:ascii="宋体" w:hAnsi="宋体" w:eastAsia="宋体" w:cs="宋体"/>
          <w:caps w:val="0"/>
          <w:smallCaps w:val="0"/>
          <w:color w:val="auto"/>
          <w:highlight w:val="none"/>
        </w:rPr>
        <w:t>、运营考核、特殊情形下的政府介入和项目接管、信息披露、公众监督等。】</w:t>
      </w:r>
    </w:p>
    <w:p w14:paraId="6083441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61" w:name="_Toc1323840240"/>
      <w:r>
        <w:rPr>
          <w:rFonts w:hint="eastAsia" w:ascii="宋体" w:hAnsi="宋体" w:eastAsia="宋体" w:cs="宋体"/>
          <w:bCs/>
          <w:caps w:val="0"/>
          <w:smallCaps w:val="0"/>
          <w:color w:val="auto"/>
          <w:sz w:val="28"/>
          <w:highlight w:val="none"/>
        </w:rPr>
        <w:t>定期运营评价</w:t>
      </w:r>
      <w:bookmarkEnd w:id="661"/>
    </w:p>
    <w:p w14:paraId="76B208D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【新机制要求</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定期开展项目运营评价。</w:t>
      </w:r>
      <w:r>
        <w:rPr>
          <w:rFonts w:hint="eastAsia" w:ascii="宋体" w:hAnsi="宋体" w:cs="宋体"/>
          <w:caps w:val="0"/>
          <w:smallCaps w:val="0"/>
          <w:color w:val="auto"/>
          <w:highlight w:val="none"/>
          <w:lang w:eastAsia="zh-CN"/>
        </w:rPr>
        <w:t>项目实施机构</w:t>
      </w:r>
      <w:r>
        <w:rPr>
          <w:rFonts w:hint="eastAsia" w:ascii="宋体" w:hAnsi="宋体" w:eastAsia="宋体" w:cs="宋体"/>
          <w:caps w:val="0"/>
          <w:smallCaps w:val="0"/>
          <w:color w:val="auto"/>
          <w:highlight w:val="none"/>
        </w:rPr>
        <w:t>应会同有关方面</w:t>
      </w:r>
      <w:bookmarkStart w:id="662" w:name="_Hlk154107213"/>
      <w:r>
        <w:rPr>
          <w:rFonts w:hint="eastAsia" w:ascii="宋体" w:hAnsi="宋体" w:eastAsia="宋体" w:cs="宋体"/>
          <w:caps w:val="0"/>
          <w:smallCaps w:val="0"/>
          <w:color w:val="auto"/>
          <w:highlight w:val="none"/>
        </w:rPr>
        <w:t>对项目运营情况进行监测分析，开展运营评价，评估潜在风险</w:t>
      </w:r>
      <w:bookmarkEnd w:id="662"/>
      <w:r>
        <w:rPr>
          <w:rFonts w:hint="eastAsia" w:ascii="宋体" w:hAnsi="宋体" w:eastAsia="宋体" w:cs="宋体"/>
          <w:caps w:val="0"/>
          <w:smallCaps w:val="0"/>
          <w:color w:val="auto"/>
          <w:highlight w:val="none"/>
        </w:rPr>
        <w:t>，建立约束机制，切实保障公共产品、公共服务的质量和效率</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。参考条款：】</w:t>
      </w:r>
    </w:p>
    <w:p w14:paraId="6AB188A6">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甲方拟按【具体约定实施频次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如每年一次等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和时间】对本项目定期开展运营评价。</w:t>
      </w:r>
    </w:p>
    <w:p w14:paraId="799CD2D4">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甲方开展运营评价的主要工作是依据本协议约定对项目产出</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服务</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等运营情况进行监测分析，评估潜在风险，提出相关评价意见建议和相关要求。</w:t>
      </w:r>
    </w:p>
    <w:p w14:paraId="5A2245FC">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甲方开展运营评价可采用项目资料审阅、现场调研、征求项目用户或公众意见等综合方式进行；乙方应配合甲方定期开展运营评价。</w:t>
      </w:r>
    </w:p>
    <w:p w14:paraId="2D7E90F8">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甲方开展运营评价不应干扰乙方正常生产活动，也不应通过开展定期运营评价突破本协议约定变相提高项目运营服务标准</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包括安全生产、环境保护标准等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要求。</w:t>
      </w:r>
    </w:p>
    <w:p w14:paraId="6EA4AE14">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乙方应就甲方定期运营评价报告提出的相关意见建议和要求进行认真研究，并在甲方每次定期评价结束后【】天以内，以专门报告方式向甲方反馈相关意见建议和要求的处理和落实情况。</w:t>
      </w:r>
    </w:p>
    <w:p w14:paraId="3825E71A">
      <w:pPr>
        <w:keepNext w:val="0"/>
        <w:keepLines w:val="0"/>
        <w:pageBreakBefore w:val="0"/>
        <w:widowControl w:val="0"/>
        <w:numPr>
          <w:ilvl w:val="0"/>
          <w:numId w:val="7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甲方定期开展运营评价工作经费由甲方</w:t>
      </w:r>
      <w:r>
        <w:rPr>
          <w:rFonts w:hint="eastAsia" w:ascii="宋体" w:hAnsi="宋体" w:eastAsia="宋体" w:cs="宋体"/>
          <w:caps w:val="0"/>
          <w:smallCaps w:val="0"/>
          <w:color w:val="auto"/>
          <w:highlight w:val="none"/>
          <w:lang w:eastAsia="zh-CN"/>
        </w:rPr>
        <w:t>承担</w:t>
      </w:r>
      <w:r>
        <w:rPr>
          <w:rFonts w:hint="eastAsia" w:ascii="宋体" w:hAnsi="宋体" w:eastAsia="宋体" w:cs="宋体"/>
          <w:caps w:val="0"/>
          <w:smallCaps w:val="0"/>
          <w:color w:val="auto"/>
          <w:highlight w:val="none"/>
        </w:rPr>
        <w:t>。</w:t>
      </w:r>
    </w:p>
    <w:p w14:paraId="7AFE067E">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63" w:name="_Toc938287533"/>
      <w:r>
        <w:rPr>
          <w:rFonts w:hint="eastAsia" w:ascii="宋体" w:hAnsi="宋体" w:eastAsia="宋体" w:cs="宋体"/>
          <w:bCs/>
          <w:caps w:val="0"/>
          <w:smallCaps w:val="0"/>
          <w:color w:val="auto"/>
          <w:sz w:val="28"/>
          <w:highlight w:val="none"/>
        </w:rPr>
        <w:t>绩效评价和运营考核</w:t>
      </w:r>
      <w:r>
        <w:rPr>
          <w:rFonts w:hint="eastAsia" w:ascii="宋体" w:hAnsi="宋体" w:eastAsia="宋体" w:cs="宋体"/>
          <w:bCs/>
          <w:caps w:val="0"/>
          <w:smallCaps w:val="0"/>
          <w:color w:val="auto"/>
          <w:sz w:val="28"/>
          <w:highlight w:val="none"/>
          <w:lang w:eastAsia="zh-CN"/>
        </w:rPr>
        <w:t>（或有）</w:t>
      </w:r>
      <w:bookmarkEnd w:id="663"/>
    </w:p>
    <w:p w14:paraId="7BC2945C">
      <w:pPr>
        <w:pStyle w:val="232"/>
        <w:keepNext w:val="0"/>
        <w:keepLines w:val="0"/>
        <w:pageBreakBefore w:val="0"/>
        <w:widowControl w:val="0"/>
        <w:numPr>
          <w:ilvl w:val="2"/>
          <w:numId w:val="76"/>
        </w:numPr>
        <w:tabs>
          <w:tab w:val="left" w:pos="993"/>
        </w:tabs>
        <w:kinsoku/>
        <w:wordWrap/>
        <w:overflowPunct/>
        <w:topLinePunct w:val="0"/>
        <w:bidi w:val="0"/>
        <w:spacing w:before="0" w:beforeLines="0" w:after="0" w:afterLines="0" w:line="360" w:lineRule="auto"/>
        <w:ind w:left="0" w:firstLine="567"/>
        <w:rPr>
          <w:rFonts w:hint="eastAsia" w:ascii="宋体" w:hAnsi="宋体" w:eastAsia="宋体" w:cs="宋体"/>
          <w:caps w:val="0"/>
          <w:smallCaps w:val="0"/>
          <w:color w:val="auto"/>
          <w:highlight w:val="none"/>
        </w:rPr>
      </w:pPr>
      <w:bookmarkStart w:id="664" w:name="_Hlk154133702"/>
      <w:r>
        <w:rPr>
          <w:rFonts w:hint="eastAsia" w:ascii="宋体" w:hAnsi="宋体" w:eastAsia="宋体" w:cs="宋体"/>
          <w:caps w:val="0"/>
          <w:smallCaps w:val="0"/>
          <w:color w:val="auto"/>
          <w:highlight w:val="none"/>
        </w:rPr>
        <w:t>如涉及财政资金使用的，乙方应配合项目按有关规定对财政资金使用开展绩效评价，并按有关规定或协议约定</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基于有关规定</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接受对绩效评价成果的应用。</w:t>
      </w:r>
    </w:p>
    <w:p w14:paraId="581A6300">
      <w:pPr>
        <w:pStyle w:val="232"/>
        <w:keepNext w:val="0"/>
        <w:keepLines w:val="0"/>
        <w:pageBreakBefore w:val="0"/>
        <w:widowControl w:val="0"/>
        <w:numPr>
          <w:ilvl w:val="2"/>
          <w:numId w:val="76"/>
        </w:numPr>
        <w:tabs>
          <w:tab w:val="left" w:pos="993"/>
        </w:tabs>
        <w:kinsoku/>
        <w:wordWrap/>
        <w:overflowPunct/>
        <w:topLinePunct w:val="0"/>
        <w:bidi w:val="0"/>
        <w:spacing w:before="0" w:beforeLines="0" w:after="0" w:afterLines="0" w:line="360" w:lineRule="auto"/>
        <w:ind w:left="0" w:firstLine="567"/>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w:t>
      </w:r>
      <w:bookmarkEnd w:id="664"/>
      <w:r>
        <w:rPr>
          <w:rFonts w:hint="eastAsia" w:ascii="宋体" w:hAnsi="宋体" w:eastAsia="宋体" w:cs="宋体"/>
          <w:caps w:val="0"/>
          <w:smallCaps w:val="0"/>
          <w:color w:val="auto"/>
          <w:highlight w:val="none"/>
        </w:rPr>
        <w:t>参与和配合由政府相关部门统一组织的项目运营考核，并接受相关部门对运营考核结果的应用，同时此类运营考核结果也将作为甲方研判本项目运营管理情况和定期开展项目运营评价的参考或依据。【说明：在招标文件中需披露政府相关部门统一组织的项目运营考核</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的相关要求和结果运用方式。】</w:t>
      </w:r>
    </w:p>
    <w:p w14:paraId="54C6324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65" w:name="_Toc1804756653"/>
      <w:r>
        <w:rPr>
          <w:rFonts w:hint="eastAsia" w:ascii="宋体" w:hAnsi="宋体" w:eastAsia="宋体" w:cs="宋体"/>
          <w:bCs/>
          <w:caps w:val="0"/>
          <w:smallCaps w:val="0"/>
          <w:color w:val="auto"/>
          <w:sz w:val="28"/>
          <w:highlight w:val="none"/>
        </w:rPr>
        <w:t>应急预案</w:t>
      </w:r>
      <w:bookmarkEnd w:id="665"/>
    </w:p>
    <w:p w14:paraId="59D63C91">
      <w:pPr>
        <w:keepNext w:val="0"/>
        <w:keepLines w:val="0"/>
        <w:pageBreakBefore w:val="0"/>
        <w:widowControl w:val="0"/>
        <w:numPr>
          <w:ilvl w:val="0"/>
          <w:numId w:val="77"/>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bookmarkStart w:id="666" w:name="_Hlk88132546"/>
      <w:r>
        <w:rPr>
          <w:rFonts w:hint="eastAsia" w:ascii="宋体" w:hAnsi="宋体" w:eastAsia="宋体" w:cs="宋体"/>
          <w:caps w:val="0"/>
          <w:smallCaps w:val="0"/>
          <w:color w:val="auto"/>
          <w:highlight w:val="none"/>
        </w:rPr>
        <w:t>乙方应按照相关法律法规和标准规定，针对自然灾害、重</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大事故、环境公害及人为破坏等突发情况建立相应的应急预案，并保证在出现重大意外事件时其保障体系能够正常启动和运行，以降低灾害发生对项目造成的损失。</w:t>
      </w:r>
    </w:p>
    <w:p w14:paraId="421A939A">
      <w:pPr>
        <w:keepNext w:val="0"/>
        <w:keepLines w:val="0"/>
        <w:pageBreakBefore w:val="0"/>
        <w:widowControl w:val="0"/>
        <w:numPr>
          <w:ilvl w:val="0"/>
          <w:numId w:val="77"/>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乙方所编制的各种应急预案应按规定报相关部门审查审批或备案，并应向甲方报告应急预案的编制和备案等情况。</w:t>
      </w:r>
    </w:p>
    <w:p w14:paraId="730571A5">
      <w:pPr>
        <w:keepNext w:val="0"/>
        <w:keepLines w:val="0"/>
        <w:pageBreakBefore w:val="0"/>
        <w:widowControl w:val="0"/>
        <w:numPr>
          <w:ilvl w:val="0"/>
          <w:numId w:val="77"/>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乙方应按预案要求建立健全相应的组织、指挥、设备等保障体系，并组织必要的培训和演练，接受相关部门的检查监督和指导。</w:t>
      </w:r>
    </w:p>
    <w:bookmarkEnd w:id="666"/>
    <w:p w14:paraId="08680B7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67" w:name="_Toc90758397"/>
      <w:bookmarkStart w:id="668" w:name="_Toc17876"/>
      <w:bookmarkStart w:id="669" w:name="_Toc17486"/>
      <w:bookmarkStart w:id="670" w:name="_Toc16679"/>
      <w:bookmarkStart w:id="671" w:name="_Toc92727060"/>
      <w:bookmarkStart w:id="672" w:name="_Toc22888"/>
      <w:bookmarkStart w:id="673" w:name="_Toc26003"/>
      <w:bookmarkStart w:id="674" w:name="_Toc539"/>
      <w:bookmarkStart w:id="675" w:name="_Toc19030"/>
      <w:bookmarkStart w:id="676" w:name="_Toc88151448"/>
      <w:bookmarkStart w:id="677" w:name="_Toc149470817"/>
      <w:bookmarkStart w:id="678" w:name="_Toc1027099209"/>
      <w:r>
        <w:rPr>
          <w:rFonts w:hint="eastAsia" w:ascii="宋体" w:hAnsi="宋体" w:eastAsia="宋体" w:cs="宋体"/>
          <w:bCs/>
          <w:caps w:val="0"/>
          <w:smallCaps w:val="0"/>
          <w:color w:val="auto"/>
          <w:sz w:val="28"/>
          <w:highlight w:val="none"/>
        </w:rPr>
        <w:t>临时接管</w:t>
      </w:r>
      <w:bookmarkEnd w:id="667"/>
      <w:bookmarkEnd w:id="668"/>
      <w:bookmarkEnd w:id="669"/>
      <w:bookmarkEnd w:id="670"/>
      <w:bookmarkEnd w:id="671"/>
      <w:bookmarkEnd w:id="672"/>
      <w:bookmarkEnd w:id="673"/>
      <w:bookmarkEnd w:id="674"/>
      <w:bookmarkEnd w:id="675"/>
      <w:bookmarkEnd w:id="676"/>
      <w:bookmarkEnd w:id="677"/>
      <w:r>
        <w:rPr>
          <w:rFonts w:hint="eastAsia" w:ascii="宋体" w:hAnsi="宋体" w:eastAsia="宋体" w:cs="宋体"/>
          <w:bCs/>
          <w:caps w:val="0"/>
          <w:smallCaps w:val="0"/>
          <w:color w:val="auto"/>
          <w:sz w:val="28"/>
          <w:highlight w:val="none"/>
        </w:rPr>
        <w:t>预案</w:t>
      </w:r>
      <w:bookmarkEnd w:id="678"/>
    </w:p>
    <w:p w14:paraId="1B3C0C52">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在以下特殊情况发生时，甲方有权对本项目实施临时接管，由甲方或政府指定的第三方接管乙方所承担的本项目全部或部分工作：</w:t>
      </w:r>
    </w:p>
    <w:p w14:paraId="3884272B">
      <w:pPr>
        <w:pStyle w:val="232"/>
        <w:keepNext w:val="0"/>
        <w:keepLines w:val="0"/>
        <w:pageBreakBefore w:val="0"/>
        <w:widowControl w:val="0"/>
        <w:numPr>
          <w:ilvl w:val="0"/>
          <w:numId w:val="79"/>
        </w:numPr>
        <w:tabs>
          <w:tab w:val="left" w:pos="993"/>
        </w:tabs>
        <w:kinsoku/>
        <w:wordWrap/>
        <w:overflowPunct/>
        <w:topLinePunct w:val="0"/>
        <w:bidi w:val="0"/>
        <w:spacing w:before="0" w:beforeLines="0" w:after="0" w:afterLines="0" w:line="360" w:lineRule="auto"/>
        <w:ind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发生紧急事件或合理预期可能出现紧急事件，如乙方未能有效采取应急措施，且如果政府方不采取临时接管措施将导致或可能导致严重危及公共利益或公共安全。</w:t>
      </w:r>
    </w:p>
    <w:p w14:paraId="63860F77">
      <w:pPr>
        <w:pStyle w:val="232"/>
        <w:keepNext w:val="0"/>
        <w:keepLines w:val="0"/>
        <w:pageBreakBefore w:val="0"/>
        <w:widowControl w:val="0"/>
        <w:numPr>
          <w:ilvl w:val="0"/>
          <w:numId w:val="79"/>
        </w:numPr>
        <w:tabs>
          <w:tab w:val="left" w:pos="993"/>
        </w:tabs>
        <w:kinsoku/>
        <w:wordWrap/>
        <w:overflowPunct/>
        <w:topLinePunct w:val="0"/>
        <w:bidi w:val="0"/>
        <w:spacing w:before="0" w:beforeLines="0" w:after="0" w:afterLines="0" w:line="360" w:lineRule="auto"/>
        <w:ind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因乙方原因导致项目建设停工超过【】天，或项目停止正常运营服务超过【】天，且期间经甲方多次发出通知要求复工复产，但乙方仍未能恢复项目建设或正常运营和服务。</w:t>
      </w:r>
    </w:p>
    <w:p w14:paraId="30843988">
      <w:pPr>
        <w:pStyle w:val="232"/>
        <w:keepNext w:val="0"/>
        <w:keepLines w:val="0"/>
        <w:pageBreakBefore w:val="0"/>
        <w:widowControl w:val="0"/>
        <w:numPr>
          <w:ilvl w:val="0"/>
          <w:numId w:val="79"/>
        </w:numPr>
        <w:tabs>
          <w:tab w:val="left" w:pos="993"/>
        </w:tabs>
        <w:kinsoku/>
        <w:wordWrap/>
        <w:overflowPunct/>
        <w:topLinePunct w:val="0"/>
        <w:bidi w:val="0"/>
        <w:spacing w:before="0" w:beforeLines="0" w:after="0" w:afterLines="0" w:line="360" w:lineRule="auto"/>
        <w:ind w:firstLine="440" w:firstLineChars="20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【其他情形】。</w:t>
      </w:r>
    </w:p>
    <w:p w14:paraId="782A0774">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bookmarkStart w:id="679" w:name="_Toc21398"/>
      <w:r>
        <w:rPr>
          <w:rFonts w:hint="eastAsia" w:ascii="宋体" w:hAnsi="宋体" w:eastAsia="宋体" w:cs="宋体"/>
          <w:caps w:val="0"/>
          <w:smallCaps w:val="0"/>
          <w:color w:val="auto"/>
          <w:highlight w:val="none"/>
        </w:rPr>
        <w:t>甲方实施临时接管，应就实施临时接管的原因、决定、接管范围和程度、接管机构、接管时间等事先书面通知乙方，并充分考虑乙方所作出的申述，但无须获得乙方的同意。</w:t>
      </w:r>
    </w:p>
    <w:p w14:paraId="6FAAFA13">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在临时接管期间，乙方应无条件服从甲方或政府指定接管机构的所有指令、命令，并应提供相关的配合工作，包括提供项目运营所需的备品配件及项目资料等。</w:t>
      </w:r>
    </w:p>
    <w:p w14:paraId="045AC4CA">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临时接管期间项目实现的收入依然归乙方所有，但乙方需承担临时接管期间项目运营或维持所产生的全部成本和费用；</w:t>
      </w:r>
      <w:bookmarkStart w:id="680" w:name="_Hlk163528505"/>
      <w:r>
        <w:rPr>
          <w:rFonts w:hint="eastAsia" w:ascii="宋体" w:hAnsi="宋体" w:eastAsia="宋体" w:cs="宋体"/>
          <w:caps w:val="0"/>
          <w:smallCaps w:val="0"/>
          <w:color w:val="auto"/>
          <w:highlight w:val="none"/>
        </w:rPr>
        <w:t>如因乙方原因导致临时接管，乙方尚需承担相应的违约责任【具体约定】</w:t>
      </w:r>
      <w:bookmarkEnd w:id="680"/>
      <w:r>
        <w:rPr>
          <w:rFonts w:hint="eastAsia" w:ascii="宋体" w:hAnsi="宋体" w:eastAsia="宋体" w:cs="宋体"/>
          <w:caps w:val="0"/>
          <w:smallCaps w:val="0"/>
          <w:color w:val="auto"/>
          <w:highlight w:val="none"/>
        </w:rPr>
        <w:t>。</w:t>
      </w:r>
    </w:p>
    <w:bookmarkEnd w:id="679"/>
    <w:p w14:paraId="4B9EA770">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临时接管将持续到导致实施临时接管的原因或事件影响已消除</w:t>
      </w:r>
      <w:r>
        <w:rPr>
          <w:rFonts w:hint="eastAsia" w:ascii="宋体" w:hAnsi="宋体" w:eastAsia="宋体" w:cs="宋体"/>
          <w:caps w:val="0"/>
          <w:smallCaps w:val="0"/>
          <w:color w:val="auto"/>
          <w:highlight w:val="none"/>
          <w:lang w:eastAsia="zh-CN"/>
        </w:rPr>
        <w:t>且</w:t>
      </w:r>
      <w:r>
        <w:rPr>
          <w:rFonts w:hint="eastAsia" w:ascii="宋体" w:hAnsi="宋体" w:eastAsia="宋体" w:cs="宋体"/>
          <w:caps w:val="0"/>
          <w:smallCaps w:val="0"/>
          <w:color w:val="auto"/>
          <w:highlight w:val="none"/>
        </w:rPr>
        <w:t>甲方认为乙方已重新具备或达到恢复项目正常建设运营的能力或相关条件为止，以较早发生的时间为准。</w:t>
      </w:r>
    </w:p>
    <w:p w14:paraId="334B801A">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政府方的临时接管并不直接导致本协议中止、终止或转让或特许经营期的中止、终止；</w:t>
      </w:r>
    </w:p>
    <w:p w14:paraId="203A19A7">
      <w:pPr>
        <w:keepNext w:val="0"/>
        <w:keepLines w:val="0"/>
        <w:pageBreakBefore w:val="0"/>
        <w:widowControl w:val="0"/>
        <w:numPr>
          <w:ilvl w:val="0"/>
          <w:numId w:val="78"/>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【其他约定】。</w:t>
      </w:r>
    </w:p>
    <w:p w14:paraId="4C4982B9">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81" w:name="_Toc298316537"/>
      <w:bookmarkStart w:id="682" w:name="_Toc405146901"/>
      <w:r>
        <w:rPr>
          <w:rFonts w:hint="eastAsia" w:ascii="宋体" w:hAnsi="宋体" w:eastAsia="宋体" w:cs="宋体"/>
          <w:bCs/>
          <w:caps w:val="0"/>
          <w:smallCaps w:val="0"/>
          <w:color w:val="auto"/>
          <w:sz w:val="28"/>
          <w:highlight w:val="none"/>
        </w:rPr>
        <w:t>审计监督</w:t>
      </w:r>
      <w:bookmarkEnd w:id="681"/>
    </w:p>
    <w:p w14:paraId="5CF642F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【说明：乙方应接受政府审计机关依法对特许经营活动进行审计；政府方不应以审计机关的审计结论作为对乙方进行价款结算</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如有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的依据，乙方不得以审计机关的审计结论作为工程结算的依据。除此之外，如政府方对乙方项目建设实施和运营另行安排专门审计，须在特许经营协议中予以明确约定</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包括审计目的、内容和程序、乙方配合义务、结果应用方式等</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w:t>
      </w:r>
    </w:p>
    <w:p w14:paraId="59EDB9C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83" w:name="_Toc212092422"/>
      <w:r>
        <w:rPr>
          <w:rFonts w:hint="eastAsia" w:ascii="宋体" w:hAnsi="宋体" w:eastAsia="宋体" w:cs="宋体"/>
          <w:bCs/>
          <w:caps w:val="0"/>
          <w:smallCaps w:val="0"/>
          <w:color w:val="auto"/>
          <w:sz w:val="28"/>
          <w:highlight w:val="none"/>
        </w:rPr>
        <w:t>信息披露</w:t>
      </w:r>
      <w:bookmarkEnd w:id="682"/>
      <w:bookmarkEnd w:id="683"/>
    </w:p>
    <w:p w14:paraId="51ACA47D">
      <w:pPr>
        <w:keepNext w:val="0"/>
        <w:keepLines w:val="0"/>
        <w:pageBreakBefore w:val="0"/>
        <w:widowControl w:val="0"/>
        <w:numPr>
          <w:ilvl w:val="0"/>
          <w:numId w:val="80"/>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甲方有权按相关规定将项目建设内容、特许经营中标结果、特许经营协议主要内容、公共产品和公共服务标准、运营考核结果等非涉密信息，依托</w:t>
      </w:r>
      <w:bookmarkStart w:id="684" w:name="_Hlk158098409"/>
      <w:r>
        <w:rPr>
          <w:rFonts w:hint="eastAsia" w:ascii="宋体" w:hAnsi="宋体" w:eastAsia="宋体" w:cs="宋体"/>
          <w:caps w:val="0"/>
          <w:smallCaps w:val="0"/>
          <w:color w:val="auto"/>
          <w:highlight w:val="none"/>
        </w:rPr>
        <w:t>全国投资项目在线审批监管平台</w:t>
      </w:r>
      <w:bookmarkEnd w:id="684"/>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含全国政府和社会资本合作项目信息系统</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，及时向社会公开。</w:t>
      </w:r>
    </w:p>
    <w:p w14:paraId="6AE6A00A">
      <w:pPr>
        <w:keepNext w:val="0"/>
        <w:keepLines w:val="0"/>
        <w:pageBreakBefore w:val="0"/>
        <w:widowControl w:val="0"/>
        <w:numPr>
          <w:ilvl w:val="0"/>
          <w:numId w:val="80"/>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乙方应将本项目每季度运营情况、经审计的年度财务报表等信息，通过适当方式向社会公开；并应按相关法律法规规定公开项目其他信息。</w:t>
      </w:r>
    </w:p>
    <w:p w14:paraId="68D17539">
      <w:pPr>
        <w:keepNext w:val="0"/>
        <w:keepLines w:val="0"/>
        <w:pageBreakBefore w:val="0"/>
        <w:widowControl w:val="0"/>
        <w:numPr>
          <w:ilvl w:val="0"/>
          <w:numId w:val="80"/>
        </w:numPr>
        <w:tabs>
          <w:tab w:val="left" w:pos="993"/>
          <w:tab w:val="left" w:pos="1134"/>
        </w:tabs>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bookmarkStart w:id="685" w:name="_Hlk158098345"/>
      <w:r>
        <w:rPr>
          <w:rFonts w:hint="eastAsia" w:ascii="宋体" w:hAnsi="宋体" w:eastAsia="宋体" w:cs="宋体"/>
          <w:caps w:val="0"/>
          <w:smallCaps w:val="0"/>
          <w:color w:val="auto"/>
          <w:highlight w:val="none"/>
        </w:rPr>
        <w:t>甲方和乙方</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或特许经营者</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均应按照有关规定按时</w:t>
      </w:r>
      <w:bookmarkStart w:id="686" w:name="_Hlk158112467"/>
      <w:r>
        <w:rPr>
          <w:rFonts w:hint="eastAsia" w:ascii="宋体" w:hAnsi="宋体" w:eastAsia="宋体" w:cs="宋体"/>
          <w:caps w:val="0"/>
          <w:smallCaps w:val="0"/>
          <w:color w:val="auto"/>
          <w:highlight w:val="none"/>
          <w:lang w:eastAsia="zh-CN"/>
        </w:rPr>
        <w:t>在</w:t>
      </w:r>
      <w:r>
        <w:rPr>
          <w:rFonts w:hint="eastAsia" w:ascii="宋体" w:hAnsi="宋体" w:eastAsia="宋体" w:cs="宋体"/>
          <w:caps w:val="0"/>
          <w:smallCaps w:val="0"/>
          <w:color w:val="auto"/>
          <w:highlight w:val="none"/>
        </w:rPr>
        <w:t>全国政府和社会资本合作项目信息系统</w:t>
      </w:r>
      <w:bookmarkEnd w:id="686"/>
      <w:r>
        <w:rPr>
          <w:rFonts w:hint="eastAsia" w:ascii="宋体" w:hAnsi="宋体" w:eastAsia="宋体" w:cs="宋体"/>
          <w:caps w:val="0"/>
          <w:smallCaps w:val="0"/>
          <w:color w:val="auto"/>
          <w:highlight w:val="none"/>
        </w:rPr>
        <w:t>填报系统运行管理所需的有关项目信息。</w:t>
      </w:r>
    </w:p>
    <w:bookmarkEnd w:id="685"/>
    <w:p w14:paraId="5133A41B">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87" w:name="_Toc1332870842"/>
      <w:r>
        <w:rPr>
          <w:rFonts w:hint="eastAsia" w:ascii="宋体" w:hAnsi="宋体" w:eastAsia="宋体" w:cs="宋体"/>
          <w:bCs/>
          <w:caps w:val="0"/>
          <w:smallCaps w:val="0"/>
          <w:color w:val="auto"/>
          <w:sz w:val="28"/>
          <w:highlight w:val="none"/>
        </w:rPr>
        <w:t>公众监督</w:t>
      </w:r>
      <w:bookmarkEnd w:id="687"/>
    </w:p>
    <w:p w14:paraId="0E652CF6">
      <w:pPr>
        <w:keepNext w:val="0"/>
        <w:keepLines w:val="0"/>
        <w:pageBreakBefore w:val="0"/>
        <w:widowControl w:val="0"/>
        <w:numPr>
          <w:ilvl w:val="0"/>
          <w:numId w:val="81"/>
        </w:numPr>
        <w:kinsoku/>
        <w:wordWrap/>
        <w:overflowPunct/>
        <w:topLinePunct w:val="0"/>
        <w:bidi w:val="0"/>
        <w:spacing w:before="0" w:beforeLines="0" w:after="0" w:afterLines="0" w:line="360" w:lineRule="auto"/>
        <w:ind w:left="0" w:firstLine="56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应建立畅通的公众意见收集、受理、处理和信息反馈机制，及时处理公众意见和建议。乙方应在本项目开工之前和正式运营之前，就项目建设阶段和运营阶段分别提供一份项目接受公众监督的实施方案，经甲方审核后落实实施。</w:t>
      </w:r>
    </w:p>
    <w:p w14:paraId="4DB20C44">
      <w:pPr>
        <w:keepNext w:val="0"/>
        <w:keepLines w:val="0"/>
        <w:pageBreakBefore w:val="0"/>
        <w:widowControl w:val="0"/>
        <w:numPr>
          <w:ilvl w:val="0"/>
          <w:numId w:val="81"/>
        </w:numPr>
        <w:kinsoku/>
        <w:wordWrap/>
        <w:overflowPunct/>
        <w:topLinePunct w:val="0"/>
        <w:autoSpaceDE w:val="0"/>
        <w:autoSpaceDN w:val="0"/>
        <w:bidi w:val="0"/>
        <w:spacing w:before="0" w:beforeLines="0" w:after="0" w:afterLines="0" w:line="360" w:lineRule="auto"/>
        <w:ind w:left="0" w:firstLine="560" w:firstLineChars="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highlight w:val="none"/>
        </w:rPr>
        <w:t>对于事涉重大、敏感的公众意见或投诉，或出现舆情事件，乙方应及时向甲方报告，经甲方同意或双方共同研究后妥善回应或处置；如出现在环境影响方面公众质疑性意见较多的情形，应当通过座谈会、专家论证会、听证会等方式组织公众深度参与。</w:t>
      </w:r>
    </w:p>
    <w:p w14:paraId="7907F44C">
      <w:pPr>
        <w:keepNext w:val="0"/>
        <w:keepLines w:val="0"/>
        <w:pageBreakBefore w:val="0"/>
        <w:widowControl w:val="0"/>
        <w:kinsoku/>
        <w:wordWrap/>
        <w:overflowPunct/>
        <w:topLinePunct w:val="0"/>
        <w:autoSpaceDE w:val="0"/>
        <w:autoSpaceDN w:val="0"/>
        <w:bidi w:val="0"/>
        <w:spacing w:before="0" w:beforeLines="0" w:beforeAutospacing="0" w:after="0" w:afterLines="0" w:afterAutospacing="0" w:line="360" w:lineRule="auto"/>
        <w:ind w:left="560" w:firstLine="0" w:firstLineChars="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br w:type="page"/>
      </w:r>
    </w:p>
    <w:p w14:paraId="2C70BE82">
      <w:pPr>
        <w:pStyle w:val="2"/>
        <w:keepNext w:val="0"/>
        <w:keepLines w:val="0"/>
        <w:pageBreakBefore w:val="0"/>
        <w:widowControl w:val="0"/>
        <w:kinsoku/>
        <w:wordWrap/>
        <w:overflowPunct/>
        <w:topLinePunct w:val="0"/>
        <w:bidi w:val="0"/>
        <w:spacing w:before="0" w:after="0" w:line="360" w:lineRule="auto"/>
        <w:rPr>
          <w:rFonts w:hint="eastAsia" w:ascii="宋体" w:hAnsi="宋体" w:eastAsia="宋体" w:cs="宋体"/>
          <w:caps w:val="0"/>
          <w:smallCaps w:val="0"/>
          <w:color w:val="auto"/>
          <w:sz w:val="28"/>
          <w:highlight w:val="none"/>
        </w:rPr>
      </w:pPr>
      <w:bookmarkStart w:id="688" w:name="_Toc402428960"/>
      <w:bookmarkStart w:id="689" w:name="_Toc402347763"/>
      <w:bookmarkStart w:id="690" w:name="_Toc402355501"/>
      <w:bookmarkStart w:id="691" w:name="_Toc405146878"/>
      <w:bookmarkStart w:id="692" w:name="_Toc1674613150"/>
      <w:r>
        <w:rPr>
          <w:rFonts w:hint="eastAsia" w:ascii="宋体" w:hAnsi="宋体" w:eastAsia="宋体" w:cs="宋体"/>
          <w:caps w:val="0"/>
          <w:smallCaps w:val="0"/>
          <w:color w:val="auto"/>
          <w:sz w:val="28"/>
          <w:highlight w:val="none"/>
        </w:rPr>
        <w:t>不可抗力</w:t>
      </w:r>
      <w:bookmarkEnd w:id="688"/>
      <w:bookmarkEnd w:id="689"/>
      <w:bookmarkEnd w:id="690"/>
      <w:r>
        <w:rPr>
          <w:rFonts w:hint="eastAsia" w:ascii="宋体" w:hAnsi="宋体" w:eastAsia="宋体" w:cs="宋体"/>
          <w:caps w:val="0"/>
          <w:smallCaps w:val="0"/>
          <w:color w:val="auto"/>
          <w:sz w:val="28"/>
          <w:highlight w:val="none"/>
        </w:rPr>
        <w:t>、情势变更</w:t>
      </w:r>
      <w:bookmarkEnd w:id="691"/>
      <w:r>
        <w:rPr>
          <w:rFonts w:hint="eastAsia" w:ascii="宋体" w:hAnsi="宋体" w:eastAsia="宋体" w:cs="宋体"/>
          <w:caps w:val="0"/>
          <w:smallCaps w:val="0"/>
          <w:color w:val="auto"/>
          <w:sz w:val="28"/>
          <w:highlight w:val="none"/>
        </w:rPr>
        <w:t>和法律变更</w:t>
      </w:r>
      <w:bookmarkEnd w:id="692"/>
    </w:p>
    <w:p w14:paraId="493E59F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【说明：在特许经营期</w:t>
      </w:r>
      <w:r>
        <w:rPr>
          <w:rFonts w:hint="eastAsia" w:ascii="宋体" w:hAnsi="宋体" w:eastAsia="宋体" w:cs="宋体"/>
          <w:caps w:val="0"/>
          <w:smallCaps w:val="0"/>
          <w:color w:val="auto"/>
          <w:kern w:val="0"/>
          <w:highlight w:val="none"/>
          <w:lang w:eastAsia="zh-CN"/>
        </w:rPr>
        <w:t>内</w:t>
      </w:r>
      <w:r>
        <w:rPr>
          <w:rFonts w:hint="eastAsia" w:ascii="宋体" w:hAnsi="宋体" w:eastAsia="宋体" w:cs="宋体"/>
          <w:caps w:val="0"/>
          <w:smallCaps w:val="0"/>
          <w:color w:val="auto"/>
          <w:kern w:val="0"/>
          <w:highlight w:val="none"/>
        </w:rPr>
        <w:t>，如发生不可抗力、情势变更或法律变更，都可能导致特许经营项目无法按原计划继续实施，或导致协议一方无法正常履行特许经营协议</w:t>
      </w:r>
      <w:r>
        <w:rPr>
          <w:rFonts w:hint="eastAsia" w:ascii="宋体" w:hAnsi="宋体" w:eastAsia="宋体" w:cs="宋体"/>
          <w:caps w:val="0"/>
          <w:smallCaps w:val="0"/>
          <w:color w:val="auto"/>
          <w:kern w:val="0"/>
          <w:highlight w:val="none"/>
          <w:lang w:eastAsia="zh-CN"/>
        </w:rPr>
        <w:t>或</w:t>
      </w:r>
      <w:r>
        <w:rPr>
          <w:rFonts w:hint="eastAsia" w:ascii="宋体" w:hAnsi="宋体" w:eastAsia="宋体" w:cs="宋体"/>
          <w:caps w:val="0"/>
          <w:smallCaps w:val="0"/>
          <w:color w:val="auto"/>
          <w:kern w:val="0"/>
          <w:highlight w:val="none"/>
        </w:rPr>
        <w:t>按特许经营协议原有约定继续履行会不再公平。因此，协议应当约定发生不可抗力、情势变更或法律变更时各方可以享有的抗辩、免责或对协议重新谈判的权利。本章为特许经营协议的必备章</w:t>
      </w:r>
      <w:r>
        <w:rPr>
          <w:rFonts w:hint="eastAsia" w:ascii="宋体" w:hAnsi="宋体" w:eastAsia="宋体" w:cs="宋体"/>
          <w:caps w:val="0"/>
          <w:smallCaps w:val="0"/>
          <w:color w:val="auto"/>
          <w:kern w:val="0"/>
          <w:highlight w:val="none"/>
          <w:lang w:eastAsia="zh-CN"/>
        </w:rPr>
        <w:t>节</w:t>
      </w:r>
      <w:r>
        <w:rPr>
          <w:rFonts w:hint="eastAsia" w:ascii="宋体" w:hAnsi="宋体" w:eastAsia="宋体" w:cs="宋体"/>
          <w:caps w:val="0"/>
          <w:smallCaps w:val="0"/>
          <w:color w:val="auto"/>
          <w:kern w:val="0"/>
          <w:highlight w:val="none"/>
        </w:rPr>
        <w:t>。】</w:t>
      </w:r>
    </w:p>
    <w:p w14:paraId="29F5A10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93" w:name="_Toc405146879"/>
      <w:bookmarkStart w:id="694" w:name="_Toc814171893"/>
      <w:bookmarkStart w:id="695" w:name="_Toc402428961"/>
      <w:r>
        <w:rPr>
          <w:rFonts w:hint="eastAsia" w:ascii="宋体" w:hAnsi="宋体" w:eastAsia="宋体" w:cs="宋体"/>
          <w:bCs/>
          <w:caps w:val="0"/>
          <w:smallCaps w:val="0"/>
          <w:color w:val="auto"/>
          <w:sz w:val="28"/>
          <w:highlight w:val="none"/>
        </w:rPr>
        <w:t>不可抗力事件</w:t>
      </w:r>
      <w:bookmarkEnd w:id="693"/>
      <w:bookmarkEnd w:id="694"/>
      <w:bookmarkEnd w:id="695"/>
    </w:p>
    <w:p w14:paraId="323357E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【说明：特许经营协议应约定不可抗力事件的类型和范围，如自然灾害、社会异常事件、化学或放射性污染、核辐射、考古文物等。示例如下：】</w:t>
      </w:r>
    </w:p>
    <w:p w14:paraId="0EE2D26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不可抗力事件</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指</w:t>
      </w:r>
      <w:r>
        <w:rPr>
          <w:rFonts w:hint="eastAsia" w:ascii="宋体" w:hAnsi="宋体" w:eastAsia="宋体" w:cs="宋体"/>
          <w:caps w:val="0"/>
          <w:smallCaps w:val="0"/>
          <w:color w:val="auto"/>
          <w:kern w:val="0"/>
          <w:highlight w:val="none"/>
        </w:rPr>
        <w:t>在本协议签订之后发生的，在本协议签订时不可预见，并且任何一方</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受影响方</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对其发生和效果不能避免、不能克服的以下事件：</w:t>
      </w:r>
    </w:p>
    <w:p w14:paraId="0B1ECD09">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自然灾害；</w:t>
      </w:r>
    </w:p>
    <w:p w14:paraId="49D3C518">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超过双方均认可的设计标准的气候现象；</w:t>
      </w:r>
    </w:p>
    <w:p w14:paraId="6986EB74">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传染病或因执行传染病防治法律导致的管控行为；</w:t>
      </w:r>
    </w:p>
    <w:p w14:paraId="1349688D">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战争、制裁、内战、武装冲突或恐怖主义的袭击；</w:t>
      </w:r>
    </w:p>
    <w:p w14:paraId="759F2BB4">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项目现场发现文物而根据文物保护法律全部或部分中止或终止建设；或</w:t>
      </w:r>
    </w:p>
    <w:p w14:paraId="0C2888AD">
      <w:pPr>
        <w:pStyle w:val="232"/>
        <w:keepNext w:val="0"/>
        <w:keepLines w:val="0"/>
        <w:pageBreakBefore w:val="0"/>
        <w:widowControl w:val="0"/>
        <w:numPr>
          <w:ilvl w:val="0"/>
          <w:numId w:val="82"/>
        </w:numPr>
        <w:tabs>
          <w:tab w:val="left" w:pos="993"/>
          <w:tab w:val="left" w:pos="1276"/>
        </w:tabs>
        <w:kinsoku/>
        <w:wordWrap/>
        <w:overflowPunct/>
        <w:topLinePunct w:val="0"/>
        <w:bidi w:val="0"/>
        <w:spacing w:before="0" w:beforeLines="0" w:after="0" w:afterLines="0" w:line="360" w:lineRule="auto"/>
        <w:ind w:left="560" w:leftChars="0" w:firstLine="0"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核污染、化学污染或生化污染。</w:t>
      </w:r>
    </w:p>
    <w:p w14:paraId="2D85D1F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其直接使得受影响方不能履行其在本协议项下的全部义务或其中的重要部分。</w:t>
      </w:r>
    </w:p>
    <w:p w14:paraId="326F2F0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96" w:name="_Toc23098687"/>
      <w:bookmarkStart w:id="697" w:name="_Toc405146880"/>
      <w:bookmarkStart w:id="698" w:name="_Toc402428962"/>
      <w:r>
        <w:rPr>
          <w:rFonts w:hint="eastAsia" w:ascii="宋体" w:hAnsi="宋体" w:eastAsia="宋体" w:cs="宋体"/>
          <w:bCs/>
          <w:caps w:val="0"/>
          <w:smallCaps w:val="0"/>
          <w:color w:val="auto"/>
          <w:sz w:val="28"/>
          <w:highlight w:val="none"/>
        </w:rPr>
        <w:t>不可抗力事件发生后的各方权利和义务</w:t>
      </w:r>
      <w:bookmarkEnd w:id="696"/>
      <w:bookmarkEnd w:id="697"/>
      <w:bookmarkEnd w:id="698"/>
    </w:p>
    <w:p w14:paraId="601B985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约定不可抗力事件发生后的各方权利和义务，如及时通知、积极补救等，以维护公共利益，减少损失。同时，特许经营协议可约定不可抗力事件影响后果的评估程序、方法和原则。对于特殊项目，应根据项目实际情况约定不可抗力事件的认定标准。】</w:t>
      </w:r>
    </w:p>
    <w:p w14:paraId="12F3C2D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【示例如下】</w:t>
      </w:r>
    </w:p>
    <w:p w14:paraId="697676B4">
      <w:pPr>
        <w:pStyle w:val="5"/>
        <w:keepNext w:val="0"/>
        <w:keepLines w:val="0"/>
        <w:pageBreakBefore w:val="0"/>
        <w:widowControl w:val="0"/>
        <w:numPr>
          <w:ilvl w:val="2"/>
          <w:numId w:val="8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不可抗力引起的中止履行</w:t>
      </w:r>
    </w:p>
    <w:p w14:paraId="3631A20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40"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任何一方在出现其不可控制的情况阻止其履行本协议项下的义务时有权中止履行协议。声称受到不可抗力影响的一方在不可抗力不再存在的情况下，应尽快恢复履行其本协议项下的义务。</w:t>
      </w:r>
    </w:p>
    <w:p w14:paraId="1ACFFD32">
      <w:pPr>
        <w:keepNext w:val="0"/>
        <w:keepLines w:val="0"/>
        <w:pageBreakBefore w:val="0"/>
        <w:widowControl w:val="0"/>
        <w:numPr>
          <w:ilvl w:val="0"/>
          <w:numId w:val="84"/>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对乙方的例外</w:t>
      </w:r>
    </w:p>
    <w:p w14:paraId="0B94025C">
      <w:pPr>
        <w:keepNext w:val="0"/>
        <w:keepLines w:val="0"/>
        <w:pageBreakBefore w:val="0"/>
        <w:widowControl w:val="0"/>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在下述情况下，乙方不得声称不可抗力而中止履行本协议或作为其不履行协议项下义务的借口：</w:t>
      </w:r>
    </w:p>
    <w:p w14:paraId="38ED84EE">
      <w:pPr>
        <w:keepNext w:val="0"/>
        <w:keepLines w:val="0"/>
        <w:pageBreakBefore w:val="0"/>
        <w:widowControl w:val="0"/>
        <w:numPr>
          <w:ilvl w:val="3"/>
          <w:numId w:val="85"/>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建筑工程承包商、运营与维护承包商或</w:t>
      </w:r>
      <w:r>
        <w:rPr>
          <w:rFonts w:hint="eastAsia" w:ascii="宋体" w:hAnsi="宋体" w:eastAsia="宋体" w:cs="宋体"/>
          <w:caps w:val="0"/>
          <w:smallCaps w:val="0"/>
          <w:color w:val="auto"/>
          <w:kern w:val="0"/>
          <w:highlight w:val="none"/>
          <w:lang w:eastAsia="zh-CN"/>
        </w:rPr>
        <w:t>任何</w:t>
      </w:r>
      <w:r>
        <w:rPr>
          <w:rFonts w:hint="eastAsia" w:ascii="宋体" w:hAnsi="宋体" w:eastAsia="宋体" w:cs="宋体"/>
          <w:caps w:val="0"/>
          <w:smallCaps w:val="0"/>
          <w:color w:val="auto"/>
          <w:kern w:val="0"/>
          <w:highlight w:val="none"/>
        </w:rPr>
        <w:t>分包商迟延履行本协议；</w:t>
      </w:r>
    </w:p>
    <w:p w14:paraId="6E7B4081">
      <w:pPr>
        <w:keepNext w:val="0"/>
        <w:keepLines w:val="0"/>
        <w:pageBreakBefore w:val="0"/>
        <w:widowControl w:val="0"/>
        <w:numPr>
          <w:ilvl w:val="3"/>
          <w:numId w:val="85"/>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项目的任何材料、设备、机器或零件的迟延交付或潜在的或明显的缺陷；</w:t>
      </w:r>
    </w:p>
    <w:p w14:paraId="0FE93D73">
      <w:pPr>
        <w:keepNext w:val="0"/>
        <w:keepLines w:val="0"/>
        <w:pageBreakBefore w:val="0"/>
        <w:widowControl w:val="0"/>
        <w:numPr>
          <w:ilvl w:val="3"/>
          <w:numId w:val="85"/>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项目的材料、设备、机器或零件的故障或正常磨损。</w:t>
      </w:r>
    </w:p>
    <w:p w14:paraId="03E42353">
      <w:pPr>
        <w:keepNext w:val="0"/>
        <w:keepLines w:val="0"/>
        <w:pageBreakBefore w:val="0"/>
        <w:widowControl w:val="0"/>
        <w:numPr>
          <w:ilvl w:val="0"/>
          <w:numId w:val="84"/>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对甲方的例外</w:t>
      </w:r>
    </w:p>
    <w:p w14:paraId="034C9B41">
      <w:pPr>
        <w:keepNext w:val="0"/>
        <w:keepLines w:val="0"/>
        <w:pageBreakBefore w:val="0"/>
        <w:widowControl w:val="0"/>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在下述事件发生时，甲方不得声称不可抗力而中止履行本协议或作为其不履行协议项下义务的借口（但对于政府方上级政府或上级人民代表大会行为造成的该等事项，在政府方已尽合理努力协助乙方减少、降低或避免该等事件影响的情况下，甲方无需就因此等事件造成的甲方未完全履行本协议约定义务的情形向乙方承担违约责任）：</w:t>
      </w:r>
    </w:p>
    <w:p w14:paraId="5FBE2253">
      <w:pPr>
        <w:keepNext w:val="0"/>
        <w:keepLines w:val="0"/>
        <w:pageBreakBefore w:val="0"/>
        <w:widowControl w:val="0"/>
        <w:numPr>
          <w:ilvl w:val="0"/>
          <w:numId w:val="86"/>
        </w:numPr>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政府对项目实行的没收、征用、充公或国有化；</w:t>
      </w:r>
    </w:p>
    <w:p w14:paraId="334FED7C">
      <w:pPr>
        <w:keepNext w:val="0"/>
        <w:keepLines w:val="0"/>
        <w:pageBreakBefore w:val="0"/>
        <w:widowControl w:val="0"/>
        <w:numPr>
          <w:ilvl w:val="0"/>
          <w:numId w:val="86"/>
        </w:numPr>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政府实行的封锁、禁运、进口限制或配额限制；</w:t>
      </w:r>
    </w:p>
    <w:p w14:paraId="1AF6E251">
      <w:pPr>
        <w:keepNext w:val="0"/>
        <w:keepLines w:val="0"/>
        <w:pageBreakBefore w:val="0"/>
        <w:widowControl w:val="0"/>
        <w:numPr>
          <w:ilvl w:val="0"/>
          <w:numId w:val="86"/>
        </w:numPr>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不是由于乙方违约而引起的任何批准的取消，导致乙方不能继续履行本协议；</w:t>
      </w:r>
    </w:p>
    <w:p w14:paraId="453835DE">
      <w:pPr>
        <w:keepNext w:val="0"/>
        <w:keepLines w:val="0"/>
        <w:pageBreakBefore w:val="0"/>
        <w:widowControl w:val="0"/>
        <w:numPr>
          <w:ilvl w:val="0"/>
          <w:numId w:val="86"/>
        </w:numPr>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法律变更。</w:t>
      </w:r>
    </w:p>
    <w:p w14:paraId="40FAC279">
      <w:pPr>
        <w:pStyle w:val="5"/>
        <w:keepNext w:val="0"/>
        <w:keepLines w:val="0"/>
        <w:pageBreakBefore w:val="0"/>
        <w:widowControl w:val="0"/>
        <w:numPr>
          <w:ilvl w:val="2"/>
          <w:numId w:val="8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通知程序</w:t>
      </w:r>
    </w:p>
    <w:p w14:paraId="23CBDA01">
      <w:pPr>
        <w:keepNext w:val="0"/>
        <w:keepLines w:val="0"/>
        <w:pageBreakBefore w:val="0"/>
        <w:widowControl w:val="0"/>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声称受到不可抗力影响的一方应在知悉后【】天内书面通知另一方并详述不可抗力影响的情况，包括该不可抗力发生的日期和预计停止的时间，以及对该方履行本协议项下义务的影响。</w:t>
      </w:r>
    </w:p>
    <w:p w14:paraId="0970048A">
      <w:pPr>
        <w:pStyle w:val="5"/>
        <w:keepNext w:val="0"/>
        <w:keepLines w:val="0"/>
        <w:pageBreakBefore w:val="0"/>
        <w:widowControl w:val="0"/>
        <w:numPr>
          <w:ilvl w:val="2"/>
          <w:numId w:val="8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协商和减少损失的责任</w:t>
      </w:r>
    </w:p>
    <w:p w14:paraId="7B4713E0">
      <w:pPr>
        <w:keepNext w:val="0"/>
        <w:keepLines w:val="0"/>
        <w:pageBreakBefore w:val="0"/>
        <w:widowControl w:val="0"/>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发出通知后，双方应在实际可行的情况下尽快基于诚信原则进行协商，尽一切合理努力减轻不可抗力事件的后果并商定适当的条款，以使项目公司能够继续实施项目。双方应协商决定为减少不可抗力对每一方带来的损失而应采取的合理的措施。</w:t>
      </w:r>
    </w:p>
    <w:p w14:paraId="3ECAAF72">
      <w:pPr>
        <w:pStyle w:val="5"/>
        <w:keepNext w:val="0"/>
        <w:keepLines w:val="0"/>
        <w:pageBreakBefore w:val="0"/>
        <w:widowControl w:val="0"/>
        <w:numPr>
          <w:ilvl w:val="2"/>
          <w:numId w:val="8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费用及进度时间的修改</w:t>
      </w:r>
    </w:p>
    <w:p w14:paraId="6D4FCA58">
      <w:pPr>
        <w:keepNext w:val="0"/>
        <w:keepLines w:val="0"/>
        <w:pageBreakBefore w:val="0"/>
        <w:widowControl w:val="0"/>
        <w:kinsoku/>
        <w:wordWrap/>
        <w:overflowPunct/>
        <w:topLinePunct w:val="0"/>
        <w:bidi w:val="0"/>
        <w:spacing w:before="0" w:beforeLines="0" w:beforeAutospacing="0" w:after="0" w:afterLines="0" w:afterAutospacing="0" w:line="360" w:lineRule="auto"/>
        <w:ind w:firstLine="444" w:firstLineChars="202"/>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发生不可抗力的情况时，双方应各自承担该方由于不可抗力情况造成的支出。如果声称遭受不可抗力的一方履行了本协议约定的通知程序，任何本协议中规定的履行某项义务的期限和特许经营期限应根据不可抗力对履行某项义务产生影响的相同时间予以顺延。</w:t>
      </w:r>
    </w:p>
    <w:p w14:paraId="5A5EB899">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699" w:name="_Toc405146882"/>
      <w:bookmarkStart w:id="700" w:name="_Toc402428964"/>
      <w:bookmarkStart w:id="701" w:name="_Toc1029944710"/>
      <w:r>
        <w:rPr>
          <w:rFonts w:hint="eastAsia" w:ascii="宋体" w:hAnsi="宋体" w:eastAsia="宋体" w:cs="宋体"/>
          <w:bCs/>
          <w:caps w:val="0"/>
          <w:smallCaps w:val="0"/>
          <w:color w:val="auto"/>
          <w:sz w:val="28"/>
          <w:highlight w:val="none"/>
        </w:rPr>
        <w:t>不可抗力事件的处理</w:t>
      </w:r>
      <w:bookmarkEnd w:id="699"/>
      <w:bookmarkEnd w:id="700"/>
      <w:bookmarkEnd w:id="701"/>
    </w:p>
    <w:p w14:paraId="6C85752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根据不可抗力事件对协议履行造成的影响程度，分别约定不可抗力事件的处理：造成协议部分不能履行或部分不可修复，可协商变更或解除特许经营协议；造成协议履行中断但可修复，可继续履行协议并就中断期间的损失承担作出约定；造成协议履行不能或不可修复，应约定解除协议。】</w:t>
      </w:r>
    </w:p>
    <w:p w14:paraId="6FFF657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【示例如下】</w:t>
      </w:r>
    </w:p>
    <w:p w14:paraId="2BAAED40">
      <w:pPr>
        <w:pStyle w:val="5"/>
        <w:keepNext w:val="0"/>
        <w:keepLines w:val="0"/>
        <w:pageBreakBefore w:val="0"/>
        <w:widowControl w:val="0"/>
        <w:numPr>
          <w:ilvl w:val="2"/>
          <w:numId w:val="8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恢复</w:t>
      </w:r>
    </w:p>
    <w:p w14:paraId="2A4436EF">
      <w:pPr>
        <w:keepNext w:val="0"/>
        <w:keepLines w:val="0"/>
        <w:pageBreakBefore w:val="0"/>
        <w:widowControl w:val="0"/>
        <w:kinsoku/>
        <w:wordWrap/>
        <w:overflowPunct/>
        <w:topLinePunct w:val="0"/>
        <w:bidi w:val="0"/>
        <w:spacing w:before="0" w:beforeLines="0" w:beforeAutospacing="0" w:after="0" w:afterLines="0" w:afterAutospacing="0" w:line="360" w:lineRule="auto"/>
        <w:ind w:firstLine="709"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highlight w:val="none"/>
        </w:rPr>
        <w:t>在不可抗力事件停止或不再妨碍受影响方履行其在本协议项下的义务后，在实际可行的情况下，受影响方应尽快通知另一方。在通知发出后本协议应按照发生不可抗力事件前最后一刻的状况继续履行。</w:t>
      </w:r>
    </w:p>
    <w:p w14:paraId="1B08B25A">
      <w:pPr>
        <w:pStyle w:val="5"/>
        <w:keepNext w:val="0"/>
        <w:keepLines w:val="0"/>
        <w:pageBreakBefore w:val="0"/>
        <w:widowControl w:val="0"/>
        <w:numPr>
          <w:ilvl w:val="2"/>
          <w:numId w:val="8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不可抗力造成损失</w:t>
      </w:r>
    </w:p>
    <w:p w14:paraId="5335F3EF">
      <w:pPr>
        <w:keepNext w:val="0"/>
        <w:keepLines w:val="0"/>
        <w:pageBreakBefore w:val="0"/>
        <w:widowControl w:val="0"/>
        <w:kinsoku/>
        <w:wordWrap/>
        <w:overflowPunct/>
        <w:topLinePunct w:val="0"/>
        <w:bidi w:val="0"/>
        <w:spacing w:before="0" w:beforeLines="0" w:beforeAutospacing="0" w:after="0" w:afterLines="0" w:afterAutospacing="0" w:line="360" w:lineRule="auto"/>
        <w:ind w:firstLine="709" w:firstLineChars="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因不可抗力事件造成协议部分不能履行或部分不可修复，且无法通过保险获得足额赔偿，双方可协商基于公平原则对本协议进行变更，包括延长本协议约定的特许经营期。</w:t>
      </w:r>
    </w:p>
    <w:p w14:paraId="573288B9">
      <w:pPr>
        <w:pStyle w:val="5"/>
        <w:keepNext w:val="0"/>
        <w:keepLines w:val="0"/>
        <w:pageBreakBefore w:val="0"/>
        <w:widowControl w:val="0"/>
        <w:numPr>
          <w:ilvl w:val="2"/>
          <w:numId w:val="8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不可抗力造成终止</w:t>
      </w:r>
    </w:p>
    <w:p w14:paraId="5611321F">
      <w:pPr>
        <w:keepNext w:val="0"/>
        <w:keepLines w:val="0"/>
        <w:pageBreakBefore w:val="0"/>
        <w:widowControl w:val="0"/>
        <w:kinsoku/>
        <w:wordWrap/>
        <w:overflowPunct/>
        <w:topLinePunct w:val="0"/>
        <w:bidi w:val="0"/>
        <w:spacing w:before="0" w:beforeLines="0" w:beforeAutospacing="0" w:after="0" w:afterLines="0" w:afterAutospacing="0" w:line="360" w:lineRule="auto"/>
        <w:ind w:firstLine="709"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如果任何不可抗力事件阻止一方履行其义务的时间自该不可抗力发生时起超过【】天，双方应协商决定继续履行协议的条件或者同意终止协议。如果自不可抗力发生后【】天之内双方仍不能就继续履行的条件或终止协议达成一致意见，任何一方有权给予另一方书面通知后终止协议，甲方并应返还乙方交付的履约保证金。</w:t>
      </w:r>
    </w:p>
    <w:p w14:paraId="10EEEA2B">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02" w:name="_Toc405146883"/>
      <w:bookmarkStart w:id="703" w:name="_Toc284831333"/>
      <w:r>
        <w:rPr>
          <w:rFonts w:hint="eastAsia" w:ascii="宋体" w:hAnsi="宋体" w:eastAsia="宋体" w:cs="宋体"/>
          <w:bCs/>
          <w:caps w:val="0"/>
          <w:smallCaps w:val="0"/>
          <w:color w:val="auto"/>
          <w:sz w:val="28"/>
          <w:highlight w:val="none"/>
        </w:rPr>
        <w:t>情势变更</w:t>
      </w:r>
      <w:bookmarkEnd w:id="702"/>
      <w:bookmarkEnd w:id="703"/>
    </w:p>
    <w:p w14:paraId="7DD00E0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约定，协议的基础条件发生了一方或双方在订立协议时无法预见的、不属于商业风险的重大变化，继续履行协议对于受不利影响的一方明显不公平，应约定重新谈判变更特许经营协议或解除特许经营协议的触发条件、影响评估、处理程序等事项。】</w:t>
      </w:r>
    </w:p>
    <w:p w14:paraId="4ABC89E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【示例如下：】</w:t>
      </w:r>
    </w:p>
    <w:p w14:paraId="3E9F81F8">
      <w:pPr>
        <w:pStyle w:val="5"/>
        <w:keepNext w:val="0"/>
        <w:keepLines w:val="0"/>
        <w:pageBreakBefore w:val="0"/>
        <w:widowControl w:val="0"/>
        <w:numPr>
          <w:ilvl w:val="2"/>
          <w:numId w:val="88"/>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情势变更事件</w:t>
      </w:r>
    </w:p>
    <w:p w14:paraId="6873C03E">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
          <w:caps w:val="0"/>
          <w:smallCaps w:val="0"/>
          <w:color w:val="auto"/>
          <w:highlight w:val="none"/>
        </w:rPr>
      </w:pPr>
      <w:r>
        <w:rPr>
          <w:rFonts w:hint="eastAsia" w:ascii="宋体" w:hAnsi="宋体" w:eastAsia="宋体" w:cs="宋体"/>
          <w:caps w:val="0"/>
          <w:smallCaps w:val="0"/>
          <w:color w:val="auto"/>
          <w:highlight w:val="none"/>
        </w:rPr>
        <w:t>本协议成立后，本协议的基础条件发生了在订立本协议时受影响一方无法预见的、不属于商业风险的重大变化，继续履行本协议对于本协议一方明显不公平的，受不利影响的一方可以与对方重新协商；在合理期限内协商不成的，受不利影响的一方可以根据争议解决程序请求变更或者解除本协议。</w:t>
      </w:r>
    </w:p>
    <w:p w14:paraId="2829CA2F">
      <w:pPr>
        <w:pStyle w:val="5"/>
        <w:keepNext w:val="0"/>
        <w:keepLines w:val="0"/>
        <w:pageBreakBefore w:val="0"/>
        <w:widowControl w:val="0"/>
        <w:numPr>
          <w:ilvl w:val="2"/>
          <w:numId w:val="8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协商程序</w:t>
      </w:r>
    </w:p>
    <w:p w14:paraId="055CA71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发生情势变更事件后，受影响一方应在【】日内通知另一方，告知其情势变更的发生事实以及对自己继续履行本协议造成的成本增加或收益减少的结果和计算方式。双方应首先协商在适用法律不禁止的前提下通过调整价格或特许经营期的方式对协议进行变更。如果自情势变更事件发生后【】内双方仍不能就继续履行的条件或终止协议达成一致意见，受影响一方可以根据本协议约定的争议程序请求变更或终止本协议。</w:t>
      </w:r>
    </w:p>
    <w:p w14:paraId="4D001867">
      <w:pPr>
        <w:pStyle w:val="5"/>
        <w:keepNext w:val="0"/>
        <w:keepLines w:val="0"/>
        <w:pageBreakBefore w:val="0"/>
        <w:widowControl w:val="0"/>
        <w:numPr>
          <w:ilvl w:val="2"/>
          <w:numId w:val="88"/>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优先适用</w:t>
      </w:r>
    </w:p>
    <w:p w14:paraId="780CA7E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如任何事件同时属于情势变更情形或本协议其他条款中约定事项的情形，则对于该等情形下的处理，应优先适用本协议中有明确约定的该等其他条款。</w:t>
      </w:r>
    </w:p>
    <w:p w14:paraId="4332646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04" w:name="_Toc434388593"/>
      <w:r>
        <w:rPr>
          <w:rFonts w:hint="eastAsia" w:ascii="宋体" w:hAnsi="宋体" w:eastAsia="宋体" w:cs="宋体"/>
          <w:bCs/>
          <w:caps w:val="0"/>
          <w:smallCaps w:val="0"/>
          <w:color w:val="auto"/>
          <w:sz w:val="28"/>
          <w:highlight w:val="none"/>
        </w:rPr>
        <w:t>法律变更</w:t>
      </w:r>
      <w:bookmarkEnd w:id="704"/>
    </w:p>
    <w:p w14:paraId="3798E21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协议双方应考虑在特许经营协议生效后，如发生适用于项目的法律规范变化，导致特许经营者经济利益受到重大不利影响时，该等事件的处理方式、程序等事项，包括适用法律变更的类型及对特许经营者的影响，双方如何重新谈判以达成经济利益的调整等。</w:t>
      </w:r>
    </w:p>
    <w:p w14:paraId="2887E1F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影响特许经营者经济地位且需要重新谈判的法律变更通常有：</w:t>
      </w:r>
    </w:p>
    <w:p w14:paraId="1DF029FC">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1</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减损乙方财产权利的法律变更，即对乙方对项目资产进行占有、使用、收益、处置的权利进行限制的法律变更；</w:t>
      </w:r>
    </w:p>
    <w:p w14:paraId="5B443F88">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2</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减损税收和补贴利益的法律变更，即此前适用于项目的税收优惠</w:t>
      </w:r>
      <w:r>
        <w:rPr>
          <w:rFonts w:hint="eastAsia" w:ascii="宋体" w:hAnsi="宋体" w:eastAsia="宋体" w:cs="宋体"/>
          <w:caps w:val="0"/>
          <w:smallCaps w:val="0"/>
          <w:color w:val="auto"/>
          <w:highlight w:val="none"/>
          <w:lang w:eastAsia="zh-CN"/>
        </w:rPr>
        <w:t>政策</w:t>
      </w:r>
      <w:r>
        <w:rPr>
          <w:rFonts w:hint="eastAsia" w:ascii="宋体" w:hAnsi="宋体" w:eastAsia="宋体" w:cs="宋体"/>
          <w:caps w:val="0"/>
          <w:smallCaps w:val="0"/>
          <w:color w:val="auto"/>
          <w:highlight w:val="none"/>
        </w:rPr>
        <w:t>和补贴利益发生了不利于乙方的改变；</w:t>
      </w:r>
    </w:p>
    <w:p w14:paraId="13F22845">
      <w:pPr>
        <w:pStyle w:val="232"/>
        <w:keepNext w:val="0"/>
        <w:keepLines w:val="0"/>
        <w:pageBreakBefore w:val="0"/>
        <w:widowControl w:val="0"/>
        <w:numPr>
          <w:ilvl w:val="0"/>
          <w:numId w:val="0"/>
        </w:numPr>
        <w:tabs>
          <w:tab w:val="left" w:pos="993"/>
        </w:tabs>
        <w:kinsoku/>
        <w:wordWrap/>
        <w:overflowPunct/>
        <w:topLinePunct w:val="0"/>
        <w:autoSpaceDE/>
        <w:autoSpaceDN/>
        <w:bidi w:val="0"/>
        <w:adjustRightInd w:val="0"/>
        <w:snapToGrid w:val="0"/>
        <w:spacing w:before="0" w:beforeLines="0" w:after="0" w:afterLines="0" w:line="360" w:lineRule="auto"/>
        <w:ind w:firstLine="440" w:firstLineChars="200"/>
        <w:textAlignment w:val="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lang w:val="en-US" w:eastAsia="zh-CN"/>
        </w:rPr>
        <w:t>3</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导致乙方成本显著增加的环境保护、劳动和职业健康、安全管理、技术标准或规范等相关规定的改变；</w:t>
      </w:r>
    </w:p>
    <w:p w14:paraId="221C50B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协议可以进一步约定</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重大不利影响</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的判断标准、重新谈判的流程、重大不利影响的金额认定、不同情形法律变更的补偿方式和补偿比例等。】</w:t>
      </w:r>
    </w:p>
    <w:p w14:paraId="4D59340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【条款示例如下：】</w:t>
      </w:r>
    </w:p>
    <w:p w14:paraId="09DAE8BB">
      <w:pPr>
        <w:pStyle w:val="5"/>
        <w:keepNext w:val="0"/>
        <w:keepLines w:val="0"/>
        <w:pageBreakBefore w:val="0"/>
        <w:widowControl w:val="0"/>
        <w:numPr>
          <w:ilvl w:val="2"/>
          <w:numId w:val="89"/>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bookmarkStart w:id="705" w:name="_Toc30574638"/>
      <w:bookmarkStart w:id="706" w:name="_Toc30583191"/>
      <w:bookmarkStart w:id="707" w:name="_Toc30389517"/>
      <w:bookmarkStart w:id="708" w:name="_Toc30487748"/>
      <w:bookmarkStart w:id="709" w:name="_Toc30318432"/>
      <w:bookmarkStart w:id="710" w:name="_Toc30389759"/>
      <w:bookmarkStart w:id="711" w:name="_Toc30301247"/>
      <w:bookmarkStart w:id="712" w:name="_Toc55756920"/>
      <w:bookmarkStart w:id="713" w:name="_Toc30389958"/>
      <w:bookmarkStart w:id="714" w:name="_Toc30390183"/>
      <w:bookmarkStart w:id="715" w:name="_Toc30487958"/>
      <w:bookmarkStart w:id="716" w:name="_Toc30392059"/>
      <w:bookmarkStart w:id="717" w:name="_Toc30392298"/>
      <w:bookmarkStart w:id="718" w:name="_Toc55386702"/>
      <w:bookmarkStart w:id="719" w:name="_Toc30393017"/>
      <w:bookmarkStart w:id="720" w:name="_Toc30576873"/>
      <w:bookmarkStart w:id="721" w:name="_Toc30487537"/>
      <w:bookmarkStart w:id="722" w:name="_Toc30576259"/>
      <w:bookmarkStart w:id="723" w:name="_Toc30574427"/>
      <w:bookmarkStart w:id="724" w:name="_Toc30577086"/>
      <w:bookmarkStart w:id="725" w:name="_Toc30389021"/>
      <w:r>
        <w:rPr>
          <w:rFonts w:hint="eastAsia" w:ascii="宋体" w:hAnsi="宋体" w:eastAsia="宋体" w:cs="宋体"/>
          <w:b/>
          <w:caps w:val="0"/>
          <w:smallCaps w:val="0"/>
          <w:color w:val="auto"/>
          <w:highlight w:val="none"/>
        </w:rPr>
        <w:t>法律变更</w:t>
      </w:r>
    </w:p>
    <w:p w14:paraId="6C8848B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本协议所指的</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法律变更</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是指生效日期之后</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新颁布、修订、废止或重新解释任何适用于项目的法律、行政法规、司法解释、部门规章、</w:t>
      </w:r>
      <w:r>
        <w:rPr>
          <w:rFonts w:hint="eastAsia" w:ascii="宋体" w:hAnsi="宋体" w:eastAsia="宋体" w:cs="宋体"/>
          <w:caps w:val="0"/>
          <w:smallCaps w:val="0"/>
          <w:color w:val="auto"/>
          <w:highlight w:val="none"/>
          <w:lang w:eastAsia="zh-CN"/>
        </w:rPr>
        <w:t>地方性法规</w:t>
      </w:r>
      <w:r>
        <w:rPr>
          <w:rFonts w:hint="eastAsia" w:ascii="宋体" w:hAnsi="宋体" w:eastAsia="宋体" w:cs="宋体"/>
          <w:caps w:val="0"/>
          <w:smallCaps w:val="0"/>
          <w:color w:val="auto"/>
          <w:highlight w:val="none"/>
        </w:rPr>
        <w:t>、地方规章、规范性文件、政策，导致乙方的经济利益产生重大不利影响。【说明：此类重大不利影响包括导致项目会发生超出原有设计范围的额外建设（含技术改造、更新）费用或工期延误，或项目服务区域发生变化，甚至导致项目设施无法继续按照原有设计运行或协议继续履行在经济上不可行等。】</w:t>
      </w:r>
    </w:p>
    <w:p w14:paraId="7538E257">
      <w:pPr>
        <w:pStyle w:val="5"/>
        <w:keepNext w:val="0"/>
        <w:keepLines w:val="0"/>
        <w:pageBreakBefore w:val="0"/>
        <w:widowControl w:val="0"/>
        <w:numPr>
          <w:ilvl w:val="2"/>
          <w:numId w:val="89"/>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一般性法律变更</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7242ABB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lang w:val="en-GB"/>
        </w:rPr>
      </w:pPr>
      <w:r>
        <w:rPr>
          <w:rFonts w:hint="eastAsia" w:ascii="宋体" w:hAnsi="宋体" w:eastAsia="宋体" w:cs="宋体"/>
          <w:caps w:val="0"/>
          <w:smallCaps w:val="0"/>
          <w:color w:val="auto"/>
          <w:kern w:val="0"/>
          <w:highlight w:val="none"/>
          <w:lang w:val="en-GB"/>
        </w:rPr>
        <w:t>一般性法律变更指特定的法律变更以外情况的法律变更。在不违反特定的法律变更规定的情况下，如在本协议期间发生一般性法律变更，项目公司应自</w:t>
      </w:r>
      <w:r>
        <w:rPr>
          <w:rFonts w:hint="eastAsia" w:ascii="宋体" w:hAnsi="宋体" w:eastAsia="宋体" w:cs="宋体"/>
          <w:caps w:val="0"/>
          <w:smallCaps w:val="0"/>
          <w:color w:val="auto"/>
          <w:kern w:val="0"/>
          <w:highlight w:val="none"/>
          <w:lang w:val="en-GB" w:eastAsia="zh-CN"/>
        </w:rPr>
        <w:t>付费</w:t>
      </w:r>
      <w:r>
        <w:rPr>
          <w:rFonts w:hint="eastAsia" w:ascii="宋体" w:hAnsi="宋体" w:eastAsia="宋体" w:cs="宋体"/>
          <w:caps w:val="0"/>
          <w:smallCaps w:val="0"/>
          <w:color w:val="auto"/>
          <w:kern w:val="0"/>
          <w:highlight w:val="none"/>
          <w:lang w:val="en-GB"/>
        </w:rPr>
        <w:t>用遵守该一般性法律变更。</w:t>
      </w:r>
    </w:p>
    <w:p w14:paraId="6DED353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lang w:val="en-GB"/>
        </w:rPr>
      </w:pPr>
      <w:r>
        <w:rPr>
          <w:rFonts w:hint="eastAsia" w:ascii="宋体" w:hAnsi="宋体" w:eastAsia="宋体" w:cs="宋体"/>
          <w:caps w:val="0"/>
          <w:smallCaps w:val="0"/>
          <w:color w:val="auto"/>
          <w:kern w:val="0"/>
          <w:highlight w:val="none"/>
          <w:lang w:val="en-GB"/>
        </w:rPr>
        <w:t>但如下列情况的一般性法律变更对项目公司的经济地位造成严重不利影响，导致经营者对项目的投资、经营成本超过人民币【】万元，则乙方有权要求甲方通过价格调整或延长特许经营期等方式使乙方的经济地位恢复至如同未受到法律变更的影响一般：</w:t>
      </w:r>
    </w:p>
    <w:p w14:paraId="5CED632E">
      <w:pPr>
        <w:keepNext w:val="0"/>
        <w:keepLines w:val="0"/>
        <w:pageBreakBefore w:val="0"/>
        <w:widowControl w:val="0"/>
        <w:numPr>
          <w:ilvl w:val="0"/>
          <w:numId w:val="9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lang w:val="en-GB"/>
        </w:rPr>
      </w:pPr>
      <w:r>
        <w:rPr>
          <w:rFonts w:hint="eastAsia" w:ascii="宋体" w:hAnsi="宋体" w:eastAsia="宋体" w:cs="宋体"/>
          <w:bCs/>
          <w:caps w:val="0"/>
          <w:smallCaps w:val="0"/>
          <w:color w:val="auto"/>
          <w:highlight w:val="none"/>
          <w:lang w:val="en-GB"/>
        </w:rPr>
        <w:t>税收和补贴规则变更，即适用于项目的税收优惠</w:t>
      </w:r>
      <w:r>
        <w:rPr>
          <w:rFonts w:hint="eastAsia" w:ascii="宋体" w:hAnsi="宋体" w:eastAsia="宋体" w:cs="宋体"/>
          <w:bCs/>
          <w:caps w:val="0"/>
          <w:smallCaps w:val="0"/>
          <w:color w:val="auto"/>
          <w:highlight w:val="none"/>
          <w:lang w:val="en-GB" w:eastAsia="zh-CN"/>
        </w:rPr>
        <w:t>政策</w:t>
      </w:r>
      <w:r>
        <w:rPr>
          <w:rFonts w:hint="eastAsia" w:ascii="宋体" w:hAnsi="宋体" w:eastAsia="宋体" w:cs="宋体"/>
          <w:bCs/>
          <w:caps w:val="0"/>
          <w:smallCaps w:val="0"/>
          <w:color w:val="auto"/>
          <w:highlight w:val="none"/>
          <w:lang w:val="en-GB"/>
        </w:rPr>
        <w:t>和补贴利益改变；</w:t>
      </w:r>
    </w:p>
    <w:p w14:paraId="461D6600">
      <w:pPr>
        <w:keepNext w:val="0"/>
        <w:keepLines w:val="0"/>
        <w:pageBreakBefore w:val="0"/>
        <w:widowControl w:val="0"/>
        <w:numPr>
          <w:ilvl w:val="0"/>
          <w:numId w:val="9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lang w:val="en-GB"/>
        </w:rPr>
      </w:pPr>
      <w:r>
        <w:rPr>
          <w:rFonts w:hint="eastAsia" w:ascii="宋体" w:hAnsi="宋体" w:eastAsia="宋体" w:cs="宋体"/>
          <w:bCs/>
          <w:caps w:val="0"/>
          <w:smallCaps w:val="0"/>
          <w:color w:val="auto"/>
          <w:highlight w:val="none"/>
          <w:lang w:val="en-GB"/>
        </w:rPr>
        <w:t>环境保护、职业病防护和安全生产等相关规范变更，例如环</w:t>
      </w:r>
      <w:r>
        <w:rPr>
          <w:rFonts w:hint="eastAsia" w:ascii="宋体" w:hAnsi="宋体" w:eastAsia="宋体" w:cs="宋体"/>
          <w:caps w:val="0"/>
          <w:smallCaps w:val="0"/>
          <w:color w:val="auto"/>
          <w:kern w:val="0"/>
          <w:highlight w:val="none"/>
          <w:lang w:val="en-GB"/>
        </w:rPr>
        <w:t>保、劳工、技术标准、规范等变动；</w:t>
      </w:r>
    </w:p>
    <w:p w14:paraId="0A8F6A71">
      <w:pPr>
        <w:keepNext w:val="0"/>
        <w:keepLines w:val="0"/>
        <w:pageBreakBefore w:val="0"/>
        <w:widowControl w:val="0"/>
        <w:numPr>
          <w:ilvl w:val="0"/>
          <w:numId w:val="9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lang w:val="en-GB"/>
        </w:rPr>
      </w:pPr>
      <w:r>
        <w:rPr>
          <w:rFonts w:hint="eastAsia" w:ascii="宋体" w:hAnsi="宋体" w:eastAsia="宋体" w:cs="宋体"/>
          <w:caps w:val="0"/>
          <w:smallCaps w:val="0"/>
          <w:color w:val="auto"/>
          <w:kern w:val="0"/>
          <w:highlight w:val="none"/>
          <w:lang w:val="en-GB"/>
        </w:rPr>
        <w:t>【说明：</w:t>
      </w:r>
      <w:r>
        <w:rPr>
          <w:rFonts w:hint="eastAsia" w:ascii="宋体" w:hAnsi="宋体" w:eastAsia="宋体" w:cs="宋体"/>
          <w:bCs/>
          <w:caps w:val="0"/>
          <w:smallCaps w:val="0"/>
          <w:color w:val="auto"/>
          <w:highlight w:val="none"/>
          <w:lang w:val="en-GB"/>
        </w:rPr>
        <w:t>协议</w:t>
      </w:r>
      <w:r>
        <w:rPr>
          <w:rFonts w:hint="eastAsia" w:ascii="宋体" w:hAnsi="宋体" w:eastAsia="宋体" w:cs="宋体"/>
          <w:caps w:val="0"/>
          <w:smallCaps w:val="0"/>
          <w:color w:val="auto"/>
          <w:kern w:val="0"/>
          <w:highlight w:val="none"/>
          <w:lang w:val="en-GB"/>
        </w:rPr>
        <w:t>各方可以在此协商和补充列入其他会导致项目成本测算时的基本数据发生变化的情形】。</w:t>
      </w:r>
    </w:p>
    <w:p w14:paraId="4C70F95D">
      <w:pPr>
        <w:pStyle w:val="5"/>
        <w:keepNext w:val="0"/>
        <w:keepLines w:val="0"/>
        <w:pageBreakBefore w:val="0"/>
        <w:widowControl w:val="0"/>
        <w:numPr>
          <w:ilvl w:val="2"/>
          <w:numId w:val="89"/>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bookmarkStart w:id="726" w:name="_Toc30574428"/>
      <w:bookmarkStart w:id="727" w:name="_Toc30392299"/>
      <w:bookmarkStart w:id="728" w:name="_Toc30389022"/>
      <w:bookmarkStart w:id="729" w:name="_Toc30318433"/>
      <w:bookmarkStart w:id="730" w:name="_Toc30487959"/>
      <w:bookmarkStart w:id="731" w:name="_Toc30392060"/>
      <w:bookmarkStart w:id="732" w:name="_Toc30389959"/>
      <w:bookmarkStart w:id="733" w:name="_Toc30393018"/>
      <w:bookmarkStart w:id="734" w:name="_Toc30389760"/>
      <w:bookmarkStart w:id="735" w:name="_Toc30576260"/>
      <w:bookmarkStart w:id="736" w:name="_Toc30301248"/>
      <w:bookmarkStart w:id="737" w:name="_Toc30583192"/>
      <w:bookmarkStart w:id="738" w:name="_Toc30390184"/>
      <w:bookmarkStart w:id="739" w:name="_Toc55756921"/>
      <w:bookmarkStart w:id="740" w:name="_Toc30576874"/>
      <w:bookmarkStart w:id="741" w:name="_Toc30574639"/>
      <w:bookmarkStart w:id="742" w:name="_Toc30487749"/>
      <w:bookmarkStart w:id="743" w:name="_Toc30389518"/>
      <w:bookmarkStart w:id="744" w:name="_Toc30487538"/>
      <w:bookmarkStart w:id="745" w:name="_Toc30577087"/>
      <w:bookmarkStart w:id="746" w:name="_Toc55386703"/>
      <w:r>
        <w:rPr>
          <w:rFonts w:hint="eastAsia" w:ascii="宋体" w:hAnsi="宋体" w:eastAsia="宋体" w:cs="宋体"/>
          <w:b/>
          <w:caps w:val="0"/>
          <w:smallCaps w:val="0"/>
          <w:color w:val="auto"/>
          <w:highlight w:val="none"/>
        </w:rPr>
        <w:t>特定的法律变更</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02FFDE04">
      <w:pPr>
        <w:keepNext w:val="0"/>
        <w:keepLines w:val="0"/>
        <w:pageBreakBefore w:val="0"/>
        <w:widowControl w:val="0"/>
        <w:numPr>
          <w:ilvl w:val="0"/>
          <w:numId w:val="91"/>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lang w:val="en-GB"/>
        </w:rPr>
      </w:pPr>
      <w:r>
        <w:rPr>
          <w:rFonts w:hint="eastAsia" w:ascii="宋体" w:hAnsi="宋体" w:eastAsia="宋体" w:cs="宋体"/>
          <w:bCs/>
          <w:caps w:val="0"/>
          <w:smallCaps w:val="0"/>
          <w:color w:val="auto"/>
          <w:highlight w:val="none"/>
          <w:lang w:val="en-GB"/>
        </w:rPr>
        <w:t>特定的法律变更</w:t>
      </w:r>
    </w:p>
    <w:p w14:paraId="257B9D9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特定的法律变更指，相关条款属于以下情况的一项法律变更：</w:t>
      </w:r>
    </w:p>
    <w:p w14:paraId="576FB770">
      <w:pPr>
        <w:pStyle w:val="232"/>
        <w:keepNext w:val="0"/>
        <w:keepLines w:val="0"/>
        <w:pageBreakBefore w:val="0"/>
        <w:widowControl w:val="0"/>
        <w:numPr>
          <w:ilvl w:val="0"/>
          <w:numId w:val="9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适用于本项目，而非普遍适用于相关规则制定者所辖行政区内所有同类项目；和/或</w:t>
      </w:r>
    </w:p>
    <w:p w14:paraId="3E121FEF">
      <w:pPr>
        <w:pStyle w:val="232"/>
        <w:keepNext w:val="0"/>
        <w:keepLines w:val="0"/>
        <w:pageBreakBefore w:val="0"/>
        <w:widowControl w:val="0"/>
        <w:numPr>
          <w:ilvl w:val="0"/>
          <w:numId w:val="9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适用于本项目公司，而非普遍适用于相关规则制定者所辖行政区内所有同行业实体；和/或</w:t>
      </w:r>
    </w:p>
    <w:p w14:paraId="48824F01">
      <w:pPr>
        <w:pStyle w:val="232"/>
        <w:keepNext w:val="0"/>
        <w:keepLines w:val="0"/>
        <w:pageBreakBefore w:val="0"/>
        <w:widowControl w:val="0"/>
        <w:numPr>
          <w:ilvl w:val="0"/>
          <w:numId w:val="92"/>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系由政府方本级和/或下级政府部门及人民代表大会所颁布。</w:t>
      </w:r>
    </w:p>
    <w:p w14:paraId="14D9F4C4">
      <w:pPr>
        <w:keepNext w:val="0"/>
        <w:keepLines w:val="0"/>
        <w:pageBreakBefore w:val="0"/>
        <w:widowControl w:val="0"/>
        <w:tabs>
          <w:tab w:val="left" w:pos="993"/>
          <w:tab w:val="left" w:pos="1276"/>
        </w:tabs>
        <w:kinsoku/>
        <w:wordWrap/>
        <w:overflowPunct/>
        <w:topLinePunct w:val="0"/>
        <w:bidi w:val="0"/>
        <w:spacing w:before="0" w:beforeLines="0" w:beforeAutospacing="0" w:after="0" w:afterLines="0" w:afterAutospacing="0" w:line="360" w:lineRule="auto"/>
        <w:ind w:firstLine="567" w:firstLineChars="0"/>
        <w:rPr>
          <w:rFonts w:hint="eastAsia" w:ascii="宋体" w:hAnsi="宋体" w:eastAsia="宋体" w:cs="宋体"/>
          <w:caps w:val="0"/>
          <w:smallCaps w:val="0"/>
          <w:snapToGrid w:val="0"/>
          <w:color w:val="auto"/>
          <w:highlight w:val="none"/>
        </w:rPr>
      </w:pPr>
      <w:r>
        <w:rPr>
          <w:rFonts w:hint="eastAsia" w:ascii="宋体" w:hAnsi="宋体" w:eastAsia="宋体" w:cs="宋体"/>
          <w:caps w:val="0"/>
          <w:smallCaps w:val="0"/>
          <w:color w:val="auto"/>
          <w:highlight w:val="none"/>
        </w:rPr>
        <w:t>如已发生或即将发生特定的法律变更，则任何一方可致沟通函于另一方表明对其可能造成后果的意见，并详述其对下述各项的意见：</w:t>
      </w:r>
    </w:p>
    <w:p w14:paraId="65D597F9">
      <w:pPr>
        <w:pStyle w:val="232"/>
        <w:keepNext w:val="0"/>
        <w:keepLines w:val="0"/>
        <w:pageBreakBefore w:val="0"/>
        <w:widowControl w:val="0"/>
        <w:numPr>
          <w:ilvl w:val="0"/>
          <w:numId w:val="9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对项目运营的任何必要变动；</w:t>
      </w:r>
    </w:p>
    <w:p w14:paraId="1D2B1E31">
      <w:pPr>
        <w:pStyle w:val="232"/>
        <w:keepNext w:val="0"/>
        <w:keepLines w:val="0"/>
        <w:pageBreakBefore w:val="0"/>
        <w:widowControl w:val="0"/>
        <w:numPr>
          <w:ilvl w:val="0"/>
          <w:numId w:val="9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是否需对本协议的条款进行任何变更，以适应特定的法律变更；</w:t>
      </w:r>
    </w:p>
    <w:p w14:paraId="603AC23B">
      <w:pPr>
        <w:pStyle w:val="232"/>
        <w:keepNext w:val="0"/>
        <w:keepLines w:val="0"/>
        <w:pageBreakBefore w:val="0"/>
        <w:widowControl w:val="0"/>
        <w:numPr>
          <w:ilvl w:val="0"/>
          <w:numId w:val="9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在实施任何有关的特定的法律变更期间是否需解除对某些义务的遵守；</w:t>
      </w:r>
    </w:p>
    <w:p w14:paraId="4C21A884">
      <w:pPr>
        <w:pStyle w:val="232"/>
        <w:keepNext w:val="0"/>
        <w:keepLines w:val="0"/>
        <w:pageBreakBefore w:val="0"/>
        <w:widowControl w:val="0"/>
        <w:numPr>
          <w:ilvl w:val="0"/>
          <w:numId w:val="93"/>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因相关特定的法律变更导致的任何项目成本的预计变动、收益损失及资本支出的变化。</w:t>
      </w:r>
    </w:p>
    <w:p w14:paraId="0F46E97C">
      <w:pPr>
        <w:keepNext w:val="0"/>
        <w:keepLines w:val="0"/>
        <w:pageBreakBefore w:val="0"/>
        <w:widowControl w:val="0"/>
        <w:kinsoku/>
        <w:wordWrap/>
        <w:overflowPunct/>
        <w:topLinePunct w:val="0"/>
        <w:bidi w:val="0"/>
        <w:adjustRightInd/>
        <w:snapToGrid/>
        <w:spacing w:before="0" w:beforeLines="0" w:beforeAutospacing="0" w:after="0" w:afterLines="0" w:afterAutospacing="0" w:line="360" w:lineRule="auto"/>
        <w:ind w:firstLine="560"/>
        <w:jc w:val="both"/>
        <w:rPr>
          <w:rFonts w:hint="eastAsia" w:ascii="宋体" w:hAnsi="宋体" w:eastAsia="宋体" w:cs="宋体"/>
          <w:caps w:val="0"/>
          <w:smallCaps w:val="0"/>
          <w:snapToGrid w:val="0"/>
          <w:color w:val="auto"/>
          <w:kern w:val="2"/>
          <w:highlight w:val="none"/>
          <w:lang w:val="en-GB"/>
        </w:rPr>
      </w:pPr>
      <w:r>
        <w:rPr>
          <w:rFonts w:hint="eastAsia" w:ascii="宋体" w:hAnsi="宋体" w:eastAsia="宋体" w:cs="宋体"/>
          <w:caps w:val="0"/>
          <w:smallCaps w:val="0"/>
          <w:snapToGrid w:val="0"/>
          <w:color w:val="auto"/>
          <w:kern w:val="2"/>
          <w:highlight w:val="none"/>
          <w:lang w:val="en-GB"/>
        </w:rPr>
        <w:t>就每种情况，发出沟通函一方均应提出相关变动的全面具体的描述。</w:t>
      </w:r>
    </w:p>
    <w:p w14:paraId="085F445C">
      <w:pPr>
        <w:keepNext w:val="0"/>
        <w:keepLines w:val="0"/>
        <w:pageBreakBefore w:val="0"/>
        <w:widowControl w:val="0"/>
        <w:numPr>
          <w:ilvl w:val="0"/>
          <w:numId w:val="91"/>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lang w:val="en-GB"/>
        </w:rPr>
      </w:pPr>
      <w:r>
        <w:rPr>
          <w:rFonts w:hint="eastAsia" w:ascii="宋体" w:hAnsi="宋体" w:eastAsia="宋体" w:cs="宋体"/>
          <w:bCs/>
          <w:caps w:val="0"/>
          <w:smallCaps w:val="0"/>
          <w:color w:val="auto"/>
          <w:highlight w:val="none"/>
          <w:lang w:val="en-GB"/>
        </w:rPr>
        <w:t>特定法律变更的处理</w:t>
      </w:r>
    </w:p>
    <w:p w14:paraId="3847A430">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snapToGrid w:val="0"/>
          <w:color w:val="auto"/>
          <w:highlight w:val="none"/>
        </w:rPr>
      </w:pPr>
      <w:r>
        <w:rPr>
          <w:rFonts w:hint="eastAsia" w:ascii="宋体" w:hAnsi="宋体" w:eastAsia="宋体" w:cs="宋体"/>
          <w:caps w:val="0"/>
          <w:smallCaps w:val="0"/>
          <w:snapToGrid w:val="0"/>
          <w:color w:val="auto"/>
          <w:highlight w:val="none"/>
        </w:rPr>
        <w:t>在收到任何一方发出的关于发生特定法律变更事件的通知后，双方应在可能的情况下尽快就上述第（1）项所述的问题，以及</w:t>
      </w:r>
      <w:r>
        <w:rPr>
          <w:rFonts w:hint="eastAsia" w:ascii="宋体" w:hAnsi="宋体" w:eastAsia="宋体" w:cs="宋体"/>
          <w:caps w:val="0"/>
          <w:smallCaps w:val="0"/>
          <w:color w:val="auto"/>
          <w:kern w:val="28"/>
          <w:highlight w:val="none"/>
        </w:rPr>
        <w:t>项目公司</w:t>
      </w:r>
      <w:r>
        <w:rPr>
          <w:rFonts w:hint="eastAsia" w:ascii="宋体" w:hAnsi="宋体" w:eastAsia="宋体" w:cs="宋体"/>
          <w:caps w:val="0"/>
          <w:smallCaps w:val="0"/>
          <w:snapToGrid w:val="0"/>
          <w:color w:val="auto"/>
          <w:highlight w:val="none"/>
        </w:rPr>
        <w:t>可以减轻</w:t>
      </w:r>
      <w:r>
        <w:rPr>
          <w:rFonts w:hint="eastAsia" w:ascii="宋体" w:hAnsi="宋体" w:eastAsia="宋体" w:cs="宋体"/>
          <w:caps w:val="0"/>
          <w:smallCaps w:val="0"/>
          <w:color w:val="auto"/>
          <w:kern w:val="28"/>
          <w:highlight w:val="none"/>
        </w:rPr>
        <w:t>特定的法律变更</w:t>
      </w:r>
      <w:r>
        <w:rPr>
          <w:rFonts w:hint="eastAsia" w:ascii="宋体" w:hAnsi="宋体" w:eastAsia="宋体" w:cs="宋体"/>
          <w:caps w:val="0"/>
          <w:smallCaps w:val="0"/>
          <w:snapToGrid w:val="0"/>
          <w:color w:val="auto"/>
          <w:highlight w:val="none"/>
        </w:rPr>
        <w:t>所带来不利后果的任何方法进行讨论并达成协议。</w:t>
      </w:r>
    </w:p>
    <w:p w14:paraId="4F79810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lang w:val="en-GB"/>
        </w:rPr>
      </w:pPr>
      <w:r>
        <w:rPr>
          <w:rFonts w:hint="eastAsia" w:ascii="宋体" w:hAnsi="宋体" w:eastAsia="宋体" w:cs="宋体"/>
          <w:caps w:val="0"/>
          <w:smallCaps w:val="0"/>
          <w:snapToGrid w:val="0"/>
          <w:color w:val="auto"/>
          <w:highlight w:val="none"/>
        </w:rPr>
        <w:t>如双方均认可，或经争议解决程序确定项目公司因某一特定的法律变更须追加资本支出，则甲方应当</w:t>
      </w:r>
      <w:r>
        <w:rPr>
          <w:rFonts w:hint="eastAsia" w:ascii="宋体" w:hAnsi="宋体" w:eastAsia="宋体" w:cs="宋体"/>
          <w:caps w:val="0"/>
          <w:smallCaps w:val="0"/>
          <w:color w:val="auto"/>
          <w:highlight w:val="none"/>
          <w:lang w:val="en-GB"/>
        </w:rPr>
        <w:t>通过上调【】价格、延长特许经营期、给予项目扩建的优先权或执行行政复议决定或生效法院判决、仲裁裁决等方式使乙方的经济地位恢复至如同未发生该等变更一般。</w:t>
      </w:r>
      <w:r>
        <w:rPr>
          <w:rFonts w:hint="eastAsia" w:ascii="宋体" w:hAnsi="宋体" w:eastAsia="宋体" w:cs="宋体"/>
          <w:caps w:val="0"/>
          <w:smallCaps w:val="0"/>
          <w:color w:val="auto"/>
          <w:highlight w:val="none"/>
          <w:lang w:val="en-GB"/>
        </w:rPr>
        <w:br w:type="page"/>
      </w:r>
    </w:p>
    <w:p w14:paraId="3EC9F2B6">
      <w:pPr>
        <w:pStyle w:val="2"/>
        <w:keepNext w:val="0"/>
        <w:keepLines w:val="0"/>
        <w:pageBreakBefore w:val="0"/>
        <w:widowControl w:val="0"/>
        <w:kinsoku/>
        <w:wordWrap/>
        <w:overflowPunct/>
        <w:topLinePunct w:val="0"/>
        <w:bidi w:val="0"/>
        <w:spacing w:before="0" w:after="0" w:line="360" w:lineRule="auto"/>
        <w:rPr>
          <w:rFonts w:hint="eastAsia" w:ascii="宋体" w:hAnsi="宋体" w:eastAsia="宋体" w:cs="宋体"/>
          <w:caps w:val="0"/>
          <w:smallCaps w:val="0"/>
          <w:color w:val="auto"/>
          <w:sz w:val="28"/>
          <w:highlight w:val="none"/>
        </w:rPr>
      </w:pPr>
      <w:bookmarkStart w:id="747" w:name="_Toc536995538"/>
      <w:bookmarkStart w:id="748" w:name="_Toc405146884"/>
      <w:r>
        <w:rPr>
          <w:rFonts w:hint="eastAsia" w:ascii="宋体" w:hAnsi="宋体" w:eastAsia="宋体" w:cs="宋体"/>
          <w:caps w:val="0"/>
          <w:smallCaps w:val="0"/>
          <w:color w:val="auto"/>
          <w:sz w:val="28"/>
          <w:highlight w:val="none"/>
        </w:rPr>
        <w:t>特许经营协议解除</w:t>
      </w:r>
      <w:bookmarkEnd w:id="747"/>
      <w:bookmarkEnd w:id="748"/>
    </w:p>
    <w:p w14:paraId="29B2B40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【说明：本章重点约定协议解除事由、解除程序，以及协议解除后的财务安排、项目移交等事项，但不得以提前解除为由将特许经营转变为通过建设</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移交（BT）模式变相举债。】</w:t>
      </w:r>
    </w:p>
    <w:p w14:paraId="69E2C134">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49" w:name="_Toc402428971"/>
      <w:bookmarkStart w:id="750" w:name="_Toc405146885"/>
      <w:bookmarkStart w:id="751" w:name="_Toc1835968308"/>
      <w:r>
        <w:rPr>
          <w:rFonts w:hint="eastAsia" w:ascii="宋体" w:hAnsi="宋体" w:eastAsia="宋体" w:cs="宋体"/>
          <w:bCs/>
          <w:caps w:val="0"/>
          <w:smallCaps w:val="0"/>
          <w:color w:val="auto"/>
          <w:sz w:val="28"/>
          <w:highlight w:val="none"/>
        </w:rPr>
        <w:t>协议解除的事由</w:t>
      </w:r>
      <w:bookmarkEnd w:id="749"/>
      <w:bookmarkEnd w:id="750"/>
      <w:bookmarkEnd w:id="751"/>
    </w:p>
    <w:p w14:paraId="6B069D5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【说明：特许经营协议应约定各种可能导致协议解除的事由。示例如下：】</w:t>
      </w:r>
    </w:p>
    <w:p w14:paraId="47DA2E06">
      <w:pPr>
        <w:pStyle w:val="5"/>
        <w:keepNext w:val="0"/>
        <w:keepLines w:val="0"/>
        <w:pageBreakBefore w:val="0"/>
        <w:widowControl w:val="0"/>
        <w:numPr>
          <w:ilvl w:val="2"/>
          <w:numId w:val="94"/>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协议解除事由</w:t>
      </w:r>
    </w:p>
    <w:p w14:paraId="3723E8F7">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发生以下事件时，本协议可依法解除：</w:t>
      </w:r>
    </w:p>
    <w:p w14:paraId="65287DAE">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发生不可抗力事件，导致一方无法履行本协议下主要义务达到【】天或导致</w:t>
      </w:r>
      <w:r>
        <w:rPr>
          <w:rFonts w:hint="eastAsia" w:ascii="宋体" w:hAnsi="宋体" w:eastAsia="宋体" w:cs="宋体"/>
          <w:caps w:val="0"/>
          <w:smallCaps w:val="0"/>
          <w:color w:val="auto"/>
          <w:kern w:val="0"/>
          <w:highlight w:val="none"/>
        </w:rPr>
        <w:t>项目</w:t>
      </w:r>
      <w:r>
        <w:rPr>
          <w:rFonts w:hint="eastAsia" w:ascii="宋体" w:hAnsi="宋体" w:eastAsia="宋体" w:cs="宋体"/>
          <w:bCs/>
          <w:caps w:val="0"/>
          <w:smallCaps w:val="0"/>
          <w:color w:val="auto"/>
          <w:highlight w:val="none"/>
        </w:rPr>
        <w:t>资产无法修复，且各方在不可抗力事件发生后的【】天内不能就协议变更达成一致；</w:t>
      </w:r>
    </w:p>
    <w:p w14:paraId="3B9967A1">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发生</w:t>
      </w:r>
      <w:r>
        <w:rPr>
          <w:rFonts w:hint="eastAsia" w:ascii="宋体" w:hAnsi="宋体" w:eastAsia="宋体" w:cs="宋体"/>
          <w:caps w:val="0"/>
          <w:smallCaps w:val="0"/>
          <w:color w:val="auto"/>
          <w:kern w:val="0"/>
          <w:highlight w:val="none"/>
        </w:rPr>
        <w:t>情势</w:t>
      </w:r>
      <w:r>
        <w:rPr>
          <w:rFonts w:hint="eastAsia" w:ascii="宋体" w:hAnsi="宋体" w:eastAsia="宋体" w:cs="宋体"/>
          <w:bCs/>
          <w:caps w:val="0"/>
          <w:smallCaps w:val="0"/>
          <w:color w:val="auto"/>
          <w:highlight w:val="none"/>
        </w:rPr>
        <w:t>变更事件，各方不能就协议变更达成一致；</w:t>
      </w:r>
    </w:p>
    <w:p w14:paraId="0A32BA69">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发生法律变更对乙方造成重大不利影响，双方不能提出对乙方给予经济补偿的合理方案且双方不能就重新谈判达成一致，乙方订立协议的根本目的无法实现，乙方可以解除协议；</w:t>
      </w:r>
    </w:p>
    <w:p w14:paraId="47B09D9C">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项目实施所必</w:t>
      </w:r>
      <w:r>
        <w:rPr>
          <w:rFonts w:hint="eastAsia" w:ascii="宋体" w:hAnsi="宋体" w:eastAsia="宋体" w:cs="宋体"/>
          <w:bCs/>
          <w:caps w:val="0"/>
          <w:smallCaps w:val="0"/>
          <w:color w:val="auto"/>
          <w:highlight w:val="none"/>
          <w:lang w:eastAsia="zh-CN"/>
        </w:rPr>
        <w:t>需</w:t>
      </w:r>
      <w:r>
        <w:rPr>
          <w:rFonts w:hint="eastAsia" w:ascii="宋体" w:hAnsi="宋体" w:eastAsia="宋体" w:cs="宋体"/>
          <w:bCs/>
          <w:caps w:val="0"/>
          <w:smallCaps w:val="0"/>
          <w:color w:val="auto"/>
          <w:highlight w:val="none"/>
        </w:rPr>
        <w:t>的应由行政部门批准或备案的事项非因乙方原因而在合理时间内无法获得批准或完成备案，且双方在合理期限内未能协商一致的，乙方可以解除本协议；</w:t>
      </w:r>
    </w:p>
    <w:p w14:paraId="1B1491C7">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协议一方严重违约，导致协议目的无法实现；</w:t>
      </w:r>
    </w:p>
    <w:p w14:paraId="4DE976F3">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项目被征收、征用；</w:t>
      </w:r>
    </w:p>
    <w:p w14:paraId="195947E2">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bookmarkStart w:id="752" w:name="_Toc401128549"/>
      <w:r>
        <w:rPr>
          <w:rFonts w:hint="eastAsia" w:ascii="宋体" w:hAnsi="宋体" w:eastAsia="宋体" w:cs="宋体"/>
          <w:bCs/>
          <w:caps w:val="0"/>
          <w:smallCaps w:val="0"/>
          <w:color w:val="auto"/>
          <w:highlight w:val="none"/>
        </w:rPr>
        <w:t>项目公司进入破产清算程序，甲方可以解除本协议；【说明：双方也可在此条另行补充约定视同破产清算或实质等同于破产清算的其他情形。】</w:t>
      </w:r>
    </w:p>
    <w:p w14:paraId="2FB1AF0E">
      <w:pPr>
        <w:keepNext w:val="0"/>
        <w:keepLines w:val="0"/>
        <w:pageBreakBefore w:val="0"/>
        <w:widowControl w:val="0"/>
        <w:numPr>
          <w:ilvl w:val="0"/>
          <w:numId w:val="95"/>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法律、行政法规规定或</w:t>
      </w:r>
      <w:bookmarkEnd w:id="752"/>
      <w:r>
        <w:rPr>
          <w:rFonts w:hint="eastAsia" w:ascii="宋体" w:hAnsi="宋体" w:eastAsia="宋体" w:cs="宋体"/>
          <w:bCs/>
          <w:caps w:val="0"/>
          <w:smallCaps w:val="0"/>
          <w:color w:val="auto"/>
          <w:highlight w:val="none"/>
        </w:rPr>
        <w:t>协议各方约定的其他事由。</w:t>
      </w:r>
    </w:p>
    <w:p w14:paraId="17D98642">
      <w:pPr>
        <w:pStyle w:val="5"/>
        <w:keepNext w:val="0"/>
        <w:keepLines w:val="0"/>
        <w:pageBreakBefore w:val="0"/>
        <w:widowControl w:val="0"/>
        <w:numPr>
          <w:ilvl w:val="2"/>
          <w:numId w:val="94"/>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乙方违约导致的解除</w:t>
      </w:r>
    </w:p>
    <w:p w14:paraId="7A35315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下述每一条款所述事件，如果不是由于甲方或由于不可抗力、法律变更或情势变更所致，即构成乙方违约事件。如果在收到甲方发出的要求纠正违约的通知后【】天内乙方违约事件未得到纠正，甲方有权经书面通知解除本协议：</w:t>
      </w:r>
    </w:p>
    <w:p w14:paraId="4A1D99BC">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乙方放弃项目的建设；</w:t>
      </w:r>
    </w:p>
    <w:p w14:paraId="477B70CA">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乙方主动放弃对项目的运营超过【】天时间；</w:t>
      </w:r>
    </w:p>
    <w:p w14:paraId="29F090E2">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乙方被裁定进入破产程序，或资不抵债或停止对外支付，</w:t>
      </w:r>
      <w:r>
        <w:rPr>
          <w:rFonts w:hint="eastAsia" w:ascii="宋体" w:hAnsi="宋体" w:eastAsia="宋体" w:cs="宋体"/>
          <w:bCs/>
          <w:caps w:val="0"/>
          <w:smallCaps w:val="0"/>
          <w:color w:val="auto"/>
          <w:highlight w:val="none"/>
          <w:lang w:eastAsia="zh-CN"/>
        </w:rPr>
        <w:t>或其他</w:t>
      </w:r>
      <w:r>
        <w:rPr>
          <w:rFonts w:hint="eastAsia" w:ascii="宋体" w:hAnsi="宋体" w:eastAsia="宋体" w:cs="宋体"/>
          <w:bCs/>
          <w:caps w:val="0"/>
          <w:smallCaps w:val="0"/>
          <w:color w:val="auto"/>
          <w:highlight w:val="none"/>
        </w:rPr>
        <w:t>类似的情形；</w:t>
      </w:r>
    </w:p>
    <w:p w14:paraId="35E97CDC">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乙方发生根本违约导致本协议目的不能实现，且在甲方就此发出通知后的【】天内仍未对违约采取补救措施；</w:t>
      </w:r>
    </w:p>
    <w:p w14:paraId="04F4D1D4">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贷款人根据融资文件宣布乙方违约，并且根据融资文件采取了补救措施导致本协议无法继续履行的；</w:t>
      </w:r>
    </w:p>
    <w:p w14:paraId="48D9D3C2">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乙方在本协议所作的声明被证实在做出时存在实质方面的不属实，或在本协议中所做出的保证无法实现并且该等不属实声明和不能实现的保证严重影响本协议项下的项目的顺利进行，导致本协议的目的不能实现；</w:t>
      </w:r>
    </w:p>
    <w:p w14:paraId="64BF12B3">
      <w:pPr>
        <w:keepNext w:val="0"/>
        <w:keepLines w:val="0"/>
        <w:pageBreakBefore w:val="0"/>
        <w:widowControl w:val="0"/>
        <w:numPr>
          <w:ilvl w:val="0"/>
          <w:numId w:val="96"/>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【其他】；</w:t>
      </w:r>
    </w:p>
    <w:p w14:paraId="3C3EC7BA">
      <w:pPr>
        <w:pStyle w:val="5"/>
        <w:keepNext w:val="0"/>
        <w:keepLines w:val="0"/>
        <w:pageBreakBefore w:val="0"/>
        <w:widowControl w:val="0"/>
        <w:numPr>
          <w:ilvl w:val="2"/>
          <w:numId w:val="94"/>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甲方违约导致的解除</w:t>
      </w:r>
    </w:p>
    <w:p w14:paraId="3F263502">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1）如果不是由于乙方违约或由于不可抗力、法律变更、情势变更，甲方发生对本协议的实质性违约导致乙方签署本协议的目的无法实现，即构成甲方违约事件。如果在收到乙方发出的要求纠正违约的通知后【】天内甲方违约事件未得到纠正，则乙方有权经书面通知解除本协议。</w:t>
      </w:r>
    </w:p>
    <w:p w14:paraId="143C02FE">
      <w:pPr>
        <w:keepNext w:val="0"/>
        <w:keepLines w:val="0"/>
        <w:pageBreakBefore w:val="0"/>
        <w:widowControl w:val="0"/>
        <w:kinsoku/>
        <w:wordWrap/>
        <w:overflowPunct/>
        <w:topLinePunct w:val="0"/>
        <w:bidi w:val="0"/>
        <w:spacing w:before="0" w:beforeLines="0" w:beforeAutospacing="0" w:after="0" w:afterLines="0" w:afterAutospacing="0" w:line="360" w:lineRule="auto"/>
        <w:ind w:firstLine="600"/>
        <w:rPr>
          <w:rFonts w:hint="eastAsia" w:ascii="宋体" w:hAnsi="宋体" w:eastAsia="宋体" w:cs="宋体"/>
          <w:caps w:val="0"/>
          <w:smallCaps w:val="0"/>
          <w:color w:val="auto"/>
          <w:kern w:val="0"/>
          <w:sz w:val="28"/>
          <w:szCs w:val="28"/>
          <w:highlight w:val="none"/>
        </w:rPr>
      </w:pPr>
      <w:r>
        <w:rPr>
          <w:rFonts w:hint="eastAsia" w:ascii="宋体" w:hAnsi="宋体" w:eastAsia="宋体" w:cs="宋体"/>
          <w:caps w:val="0"/>
          <w:smallCaps w:val="0"/>
          <w:color w:val="auto"/>
          <w:kern w:val="0"/>
          <w:sz w:val="28"/>
          <w:szCs w:val="28"/>
          <w:highlight w:val="none"/>
        </w:rPr>
        <w:t>（2）甲方在本协议项下的实质性违约情形，包括但不限于：</w:t>
      </w:r>
    </w:p>
    <w:p w14:paraId="34B80F3A">
      <w:pPr>
        <w:pStyle w:val="232"/>
        <w:keepNext w:val="0"/>
        <w:keepLines w:val="0"/>
        <w:pageBreakBefore w:val="0"/>
        <w:widowControl w:val="0"/>
        <w:numPr>
          <w:ilvl w:val="1"/>
          <w:numId w:val="9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甲方擅自撤销已授予乙方的特许经营相关权利或将乙方已获授权的特许经营相关权利重复授予第三方，或其他实质性违反本协议排他性约定的情形；</w:t>
      </w:r>
    </w:p>
    <w:p w14:paraId="13731E4A">
      <w:pPr>
        <w:pStyle w:val="232"/>
        <w:keepNext w:val="0"/>
        <w:keepLines w:val="0"/>
        <w:pageBreakBefore w:val="0"/>
        <w:widowControl w:val="0"/>
        <w:numPr>
          <w:ilvl w:val="1"/>
          <w:numId w:val="9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采用由政府或其依法授权机构向最终用户收费并向乙方支付项目经营性收入的，甲方或甲方指定主体延期付费超过180日；</w:t>
      </w:r>
    </w:p>
    <w:p w14:paraId="2ED2A2D3">
      <w:pPr>
        <w:pStyle w:val="232"/>
        <w:keepNext w:val="0"/>
        <w:keepLines w:val="0"/>
        <w:pageBreakBefore w:val="0"/>
        <w:widowControl w:val="0"/>
        <w:numPr>
          <w:ilvl w:val="1"/>
          <w:numId w:val="9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在本协议所作的声明被证实在做出时存在实质方面的不属实，或在本协议中所做出的保证无法实现并且该等不属实声明和不能实现的保证严重影响本协议项下的项目的顺利进行，导致乙方签订本协议的目的不能实现；</w:t>
      </w:r>
    </w:p>
    <w:p w14:paraId="1D95AE95">
      <w:pPr>
        <w:pStyle w:val="232"/>
        <w:keepNext w:val="0"/>
        <w:keepLines w:val="0"/>
        <w:pageBreakBefore w:val="0"/>
        <w:widowControl w:val="0"/>
        <w:numPr>
          <w:ilvl w:val="1"/>
          <w:numId w:val="97"/>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双方可根据实际情况，将甲方的其他实质性违约情形列入本款，例如由甲方控制或指定对乙方支付项目运营收入的主体（例如垃圾处理项目中签署垃圾处理服务协议并支付垃圾处理费用的机构）对该等付费协议的根本违约导致的付费协议解除作为本协议解除的情形。】</w:t>
      </w:r>
    </w:p>
    <w:p w14:paraId="5CC0C560">
      <w:pPr>
        <w:pStyle w:val="5"/>
        <w:keepNext w:val="0"/>
        <w:keepLines w:val="0"/>
        <w:pageBreakBefore w:val="0"/>
        <w:widowControl w:val="0"/>
        <w:numPr>
          <w:ilvl w:val="2"/>
          <w:numId w:val="94"/>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不可抗力导致的解除</w:t>
      </w:r>
    </w:p>
    <w:p w14:paraId="3F0A178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本协议生效后，如果</w:t>
      </w:r>
      <w:r>
        <w:rPr>
          <w:rFonts w:hint="eastAsia" w:ascii="宋体" w:hAnsi="宋体" w:eastAsia="宋体" w:cs="宋体"/>
          <w:bCs/>
          <w:caps w:val="0"/>
          <w:smallCaps w:val="0"/>
          <w:color w:val="auto"/>
          <w:highlight w:val="none"/>
        </w:rPr>
        <w:t>发生不可抗力事件，导致一方无法履行本协议下主要义务，且各方不能就协议变更达成一致，则任何</w:t>
      </w:r>
      <w:r>
        <w:rPr>
          <w:rFonts w:hint="eastAsia" w:ascii="宋体" w:hAnsi="宋体" w:eastAsia="宋体" w:cs="宋体"/>
          <w:caps w:val="0"/>
          <w:smallCaps w:val="0"/>
          <w:color w:val="auto"/>
          <w:kern w:val="0"/>
          <w:highlight w:val="none"/>
        </w:rPr>
        <w:t>一方有权解除本协议，且有权解除协议的一方应向另一方送达因不可抗力事件解除本协议的通知，届时本协议应在本协议约定的不可抗力解除通知期限届满之时终止。</w:t>
      </w:r>
    </w:p>
    <w:p w14:paraId="0B619D6F">
      <w:pPr>
        <w:pStyle w:val="5"/>
        <w:keepNext w:val="0"/>
        <w:keepLines w:val="0"/>
        <w:pageBreakBefore w:val="0"/>
        <w:widowControl w:val="0"/>
        <w:numPr>
          <w:ilvl w:val="2"/>
          <w:numId w:val="94"/>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法律变更导致的解除</w:t>
      </w:r>
    </w:p>
    <w:p w14:paraId="577FCE1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kern w:val="0"/>
          <w:highlight w:val="none"/>
        </w:rPr>
        <w:t>如果因法律变更导致本协议履行的可行性受到严重不利影响，双方应就如何继续履行本协议进行协商。如果双方无法在【】日内或双方同意的更长时间内就如何继续履行本协议达成一致意见，乙方有权就该等不利影响进行评估，并向甲方提交评估报告。乙方提交评估报告后明确提出要求解除本协议的情况下，甲方应于收到乙方的评估报告之日起【】日内或双方同意的更长时间内给予同意或提出反对意见。在甲方不同意解除协议但双方未能在后续的【】日内达成继续履行本协议方案的情况下，乙方有权发出解除通知解除本协议</w:t>
      </w:r>
      <w:r>
        <w:rPr>
          <w:rFonts w:hint="eastAsia" w:ascii="宋体" w:hAnsi="宋体" w:eastAsia="宋体" w:cs="宋体"/>
          <w:caps w:val="0"/>
          <w:smallCaps w:val="0"/>
          <w:color w:val="auto"/>
          <w:highlight w:val="none"/>
        </w:rPr>
        <w:t>。</w:t>
      </w:r>
    </w:p>
    <w:p w14:paraId="7BB85F2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53" w:name="_Toc405146886"/>
      <w:bookmarkStart w:id="754" w:name="_Toc108514076"/>
      <w:r>
        <w:rPr>
          <w:rFonts w:hint="eastAsia" w:ascii="宋体" w:hAnsi="宋体" w:eastAsia="宋体" w:cs="宋体"/>
          <w:bCs/>
          <w:caps w:val="0"/>
          <w:smallCaps w:val="0"/>
          <w:color w:val="auto"/>
          <w:sz w:val="28"/>
          <w:highlight w:val="none"/>
        </w:rPr>
        <w:t>协议的解除程序</w:t>
      </w:r>
      <w:bookmarkEnd w:id="753"/>
      <w:bookmarkEnd w:id="754"/>
    </w:p>
    <w:p w14:paraId="2375393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【说明：本条应约定各种解除情形的程序性安排。根据项目具体情形，双方也可约定本协议解除后同时解除其他项目协议的安排。】</w:t>
      </w:r>
    </w:p>
    <w:p w14:paraId="02C740F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【示例如下】</w:t>
      </w:r>
    </w:p>
    <w:p w14:paraId="6DF84287">
      <w:pPr>
        <w:pStyle w:val="5"/>
        <w:keepNext w:val="0"/>
        <w:keepLines w:val="0"/>
        <w:pageBreakBefore w:val="0"/>
        <w:widowControl w:val="0"/>
        <w:numPr>
          <w:ilvl w:val="2"/>
          <w:numId w:val="98"/>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bookmarkStart w:id="755" w:name="_Toc149470792"/>
      <w:r>
        <w:rPr>
          <w:rFonts w:hint="eastAsia" w:ascii="宋体" w:hAnsi="宋体" w:eastAsia="宋体" w:cs="宋体"/>
          <w:b/>
          <w:caps w:val="0"/>
          <w:smallCaps w:val="0"/>
          <w:color w:val="auto"/>
          <w:highlight w:val="none"/>
        </w:rPr>
        <w:t>解除协议的意向通知</w:t>
      </w:r>
      <w:bookmarkEnd w:id="755"/>
    </w:p>
    <w:p w14:paraId="59F58144">
      <w:pPr>
        <w:keepNext w:val="0"/>
        <w:keepLines w:val="0"/>
        <w:pageBreakBefore w:val="0"/>
        <w:widowControl w:val="0"/>
        <w:numPr>
          <w:ilvl w:val="0"/>
          <w:numId w:val="99"/>
        </w:numPr>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甲方或乙方按照本协议上述约定有权解除本协议时，应首先发出意向通知，应表述引起发出该通知的对方违约事件的合理详细的情况及拟提前解除本协议的原因。</w:t>
      </w:r>
    </w:p>
    <w:p w14:paraId="3E6B52F5">
      <w:pPr>
        <w:keepNext w:val="0"/>
        <w:keepLines w:val="0"/>
        <w:pageBreakBefore w:val="0"/>
        <w:widowControl w:val="0"/>
        <w:numPr>
          <w:ilvl w:val="0"/>
          <w:numId w:val="99"/>
        </w:numPr>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在解除协议的意向通知发出之后，甲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乙双方应在【】日之内或双方同意的更长时间内</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以下简称</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协商期</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协商避免本协议终止的措施。</w:t>
      </w:r>
    </w:p>
    <w:p w14:paraId="29A07E83">
      <w:pPr>
        <w:keepNext w:val="0"/>
        <w:keepLines w:val="0"/>
        <w:pageBreakBefore w:val="0"/>
        <w:widowControl w:val="0"/>
        <w:numPr>
          <w:ilvl w:val="0"/>
          <w:numId w:val="99"/>
        </w:numPr>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如果甲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乙双方就将要采取的措施达成一致意见，并且/或者违约方在协商期内纠正了违约事件，终止意向通知应立即自动失效。</w:t>
      </w:r>
    </w:p>
    <w:p w14:paraId="01F65160">
      <w:pPr>
        <w:pStyle w:val="5"/>
        <w:keepNext w:val="0"/>
        <w:keepLines w:val="0"/>
        <w:pageBreakBefore w:val="0"/>
        <w:widowControl w:val="0"/>
        <w:numPr>
          <w:ilvl w:val="2"/>
          <w:numId w:val="98"/>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bookmarkStart w:id="756" w:name="_bookmark191"/>
      <w:bookmarkEnd w:id="756"/>
      <w:bookmarkStart w:id="757" w:name="_bookmark134"/>
      <w:bookmarkEnd w:id="757"/>
      <w:bookmarkStart w:id="758" w:name="_Toc149470793"/>
      <w:r>
        <w:rPr>
          <w:rFonts w:hint="eastAsia" w:ascii="宋体" w:hAnsi="宋体" w:eastAsia="宋体" w:cs="宋体"/>
          <w:b/>
          <w:caps w:val="0"/>
          <w:smallCaps w:val="0"/>
          <w:color w:val="auto"/>
          <w:highlight w:val="none"/>
        </w:rPr>
        <w:t>解除协议的通知</w:t>
      </w:r>
      <w:bookmarkEnd w:id="758"/>
    </w:p>
    <w:p w14:paraId="4A890B9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在终止意向通知发出后，在协商期满时，除非甲</w:t>
      </w:r>
      <w:r>
        <w:rPr>
          <w:rFonts w:hint="eastAsia" w:ascii="宋体" w:hAnsi="宋体" w:eastAsia="宋体" w:cs="宋体"/>
          <w:caps w:val="0"/>
          <w:smallCaps w:val="0"/>
          <w:color w:val="auto"/>
          <w:highlight w:val="none"/>
          <w:lang w:eastAsia="zh-CN"/>
        </w:rPr>
        <w:t>、</w:t>
      </w:r>
      <w:r>
        <w:rPr>
          <w:rFonts w:hint="eastAsia" w:ascii="宋体" w:hAnsi="宋体" w:eastAsia="宋体" w:cs="宋体"/>
          <w:caps w:val="0"/>
          <w:smallCaps w:val="0"/>
          <w:color w:val="auto"/>
          <w:highlight w:val="none"/>
        </w:rPr>
        <w:t>乙双方达成继续履行本协议的一致意见或导致发出终止意向通知的违约事件得到纠正，否则发出终止意向通知的一方有权发出终止通知，本协议按照终止通知中载明的日期终止。</w:t>
      </w:r>
    </w:p>
    <w:p w14:paraId="676A8CA1">
      <w:pPr>
        <w:pStyle w:val="5"/>
        <w:keepNext w:val="0"/>
        <w:keepLines w:val="0"/>
        <w:pageBreakBefore w:val="0"/>
        <w:widowControl w:val="0"/>
        <w:numPr>
          <w:ilvl w:val="2"/>
          <w:numId w:val="98"/>
        </w:numPr>
        <w:tabs>
          <w:tab w:val="left" w:pos="993"/>
        </w:tabs>
        <w:kinsoku/>
        <w:wordWrap/>
        <w:overflowPunct/>
        <w:topLinePunct w:val="0"/>
        <w:bidi w:val="0"/>
        <w:spacing w:before="0" w:beforeLines="0" w:after="0" w:afterLines="0" w:line="360" w:lineRule="auto"/>
        <w:rPr>
          <w:rFonts w:hint="eastAsia" w:ascii="宋体" w:hAnsi="宋体" w:eastAsia="宋体" w:cs="宋体"/>
          <w:b/>
          <w:caps w:val="0"/>
          <w:smallCaps w:val="0"/>
          <w:color w:val="auto"/>
          <w:highlight w:val="none"/>
        </w:rPr>
      </w:pPr>
      <w:r>
        <w:rPr>
          <w:rFonts w:hint="eastAsia" w:ascii="宋体" w:hAnsi="宋体" w:eastAsia="宋体" w:cs="宋体"/>
          <w:b/>
          <w:caps w:val="0"/>
          <w:smallCaps w:val="0"/>
          <w:color w:val="auto"/>
          <w:highlight w:val="none"/>
        </w:rPr>
        <w:t>解除后果</w:t>
      </w:r>
    </w:p>
    <w:p w14:paraId="309B3D1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协议解除后，双方应根据本协议第【】条的约定进行项目的移交，乙方有权根据第【】条的约定获得补偿。在项目移交前，乙方有权继续按照本协议的约定标准运营项目并按照本协议的约定标准获得收益，或在项目已无法运营的情况下</w:t>
      </w:r>
      <w:r>
        <w:rPr>
          <w:rFonts w:hint="eastAsia" w:ascii="宋体" w:hAnsi="宋体" w:eastAsia="宋体" w:cs="宋体"/>
          <w:bCs w:val="0"/>
          <w:caps w:val="0"/>
          <w:smallCaps w:val="0"/>
          <w:color w:val="auto"/>
          <w:sz w:val="28"/>
          <w:szCs w:val="28"/>
          <w:highlight w:val="none"/>
        </w:rPr>
        <w:t>基于诚实信用原则和谨慎运营惯例合理地对项目资产进行保管、维护和运行并自解除日由甲方承担此期间保管、维护和运行的合理成本和乙方的合理收益</w:t>
      </w:r>
      <w:r>
        <w:rPr>
          <w:rFonts w:hint="eastAsia" w:ascii="宋体" w:hAnsi="宋体" w:eastAsia="宋体" w:cs="宋体"/>
          <w:caps w:val="0"/>
          <w:smallCaps w:val="0"/>
          <w:color w:val="auto"/>
          <w:highlight w:val="none"/>
        </w:rPr>
        <w:t>。甲方在支付补偿时，有权将乙方应当根据本协议承担的违约责任金额从应支付的补偿中进行扣除。</w:t>
      </w:r>
    </w:p>
    <w:p w14:paraId="175A67D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59" w:name="_Toc33530441"/>
      <w:bookmarkStart w:id="760" w:name="_Toc405146887"/>
      <w:r>
        <w:rPr>
          <w:rFonts w:hint="eastAsia" w:ascii="宋体" w:hAnsi="宋体" w:eastAsia="宋体" w:cs="宋体"/>
          <w:bCs/>
          <w:caps w:val="0"/>
          <w:smallCaps w:val="0"/>
          <w:color w:val="auto"/>
          <w:sz w:val="28"/>
          <w:highlight w:val="none"/>
        </w:rPr>
        <w:t>协议解除后的财务安排</w:t>
      </w:r>
      <w:bookmarkEnd w:id="759"/>
      <w:bookmarkEnd w:id="760"/>
    </w:p>
    <w:p w14:paraId="5754303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bookmarkStart w:id="761" w:name="_Hlk152430840"/>
      <w:bookmarkStart w:id="762" w:name="_Toc405146888"/>
      <w:r>
        <w:rPr>
          <w:rFonts w:hint="eastAsia" w:ascii="宋体" w:hAnsi="宋体" w:eastAsia="宋体" w:cs="宋体"/>
          <w:caps w:val="0"/>
          <w:smallCaps w:val="0"/>
          <w:color w:val="auto"/>
          <w:kern w:val="0"/>
          <w:highlight w:val="none"/>
        </w:rPr>
        <w:t>【说明：按照公平合理的原则，在特许经营协议中具体约定各种协议解除情形时的财务安排，以及相应的处理程序。无论何等原因导致本协议被提前终止的，基于公平原则，甲方均应当给予社会资本补偿，但补偿范围和金额应考虑过错、保险等因素有所不同。协议解除后的财务安排包括：</w:t>
      </w:r>
    </w:p>
    <w:p w14:paraId="7DD6D5B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（1）明确各种协议解除情形下，补偿或赔偿的计算方法，赔偿应体现违约责任及向无过错方的利益让渡。补偿或赔偿额度的评估要坚持公平合理、维护公益性原则，可设计具有可操作性的补偿或赔偿计算公式。</w:t>
      </w:r>
    </w:p>
    <w:p w14:paraId="4EF0698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（2）明确各方对补偿或赔偿计算成果的审核、认定和支付程序。】</w:t>
      </w:r>
    </w:p>
    <w:p w14:paraId="193A2FF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jc w:val="left"/>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【示例如下：】</w:t>
      </w:r>
    </w:p>
    <w:p w14:paraId="5EAC6CF9">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乙方违约导致的终止</w:t>
      </w:r>
    </w:p>
    <w:p w14:paraId="14B9A761">
      <w:pPr>
        <w:keepNext w:val="0"/>
        <w:keepLines w:val="0"/>
        <w:pageBreakBefore w:val="0"/>
        <w:widowControl w:val="0"/>
        <w:numPr>
          <w:ilvl w:val="0"/>
          <w:numId w:val="101"/>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如果甲方由于乙方未能按照【】提交履约保证金而终止本协议，则甲方有权没收投标保证金的全部金额。</w:t>
      </w:r>
    </w:p>
    <w:p w14:paraId="160BEEC6">
      <w:pPr>
        <w:keepNext w:val="0"/>
        <w:keepLines w:val="0"/>
        <w:pageBreakBefore w:val="0"/>
        <w:widowControl w:val="0"/>
        <w:numPr>
          <w:ilvl w:val="0"/>
          <w:numId w:val="101"/>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如果甲方因第</w:t>
      </w:r>
      <w:r>
        <w:rPr>
          <w:rFonts w:hint="eastAsia" w:ascii="宋体" w:hAnsi="宋体" w:eastAsia="宋体" w:cs="宋体"/>
          <w:caps w:val="0"/>
          <w:smallCaps w:val="0"/>
          <w:color w:val="auto"/>
          <w:kern w:val="0"/>
          <w:highlight w:val="none"/>
        </w:rPr>
        <w:t>【】</w:t>
      </w:r>
      <w:r>
        <w:rPr>
          <w:rFonts w:hint="eastAsia" w:ascii="宋体" w:hAnsi="宋体" w:eastAsia="宋体" w:cs="宋体"/>
          <w:bCs/>
          <w:caps w:val="0"/>
          <w:smallCaps w:val="0"/>
          <w:color w:val="auto"/>
          <w:highlight w:val="none"/>
        </w:rPr>
        <w:t>条规定的乙方的其他违约事件而终止本协议，则甲方或其指定的执行机构应获得乙方对项目的所有权利、所有权和利益，但甲方或其指定的执行机构应按本协议约定向乙方支付相应的补偿金额。</w:t>
      </w:r>
    </w:p>
    <w:p w14:paraId="22C86E5C">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甲方违约导致的终止</w:t>
      </w:r>
    </w:p>
    <w:p w14:paraId="2DB099E1">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乙方因第【】条规定的甲方违约事件终止本协议，则乙方有权要求将项目运营移交至甲方或其指定的执行机构，且甲方届时有义务接收项目运营。如发生此种情形，甲方或其指定的执行机构应向乙方支付相应的补偿金额。</w:t>
      </w:r>
    </w:p>
    <w:p w14:paraId="18F1A360">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因不可抗力导致的终止</w:t>
      </w:r>
    </w:p>
    <w:p w14:paraId="513199D0">
      <w:pPr>
        <w:keepNext w:val="0"/>
        <w:keepLines w:val="0"/>
        <w:pageBreakBefore w:val="0"/>
        <w:widowControl w:val="0"/>
        <w:numPr>
          <w:ilvl w:val="0"/>
          <w:numId w:val="102"/>
        </w:numPr>
        <w:tabs>
          <w:tab w:val="left" w:pos="1421"/>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如果出现不可抗力事件之后，任何一方选择终止本协议，则甲方应向乙方支付相应的补偿金额。甲方支付上述金额前，乙方有权但无义务向甲方或其指定的执行机构移交项目。</w:t>
      </w:r>
    </w:p>
    <w:p w14:paraId="7B2768B8">
      <w:pPr>
        <w:keepNext w:val="0"/>
        <w:keepLines w:val="0"/>
        <w:pageBreakBefore w:val="0"/>
        <w:widowControl w:val="0"/>
        <w:numPr>
          <w:ilvl w:val="0"/>
          <w:numId w:val="102"/>
        </w:numPr>
        <w:tabs>
          <w:tab w:val="left" w:pos="1421"/>
        </w:tabs>
        <w:kinsoku/>
        <w:wordWrap/>
        <w:overflowPunct/>
        <w:topLinePunct w:val="0"/>
        <w:bidi w:val="0"/>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如果出现不可抗力事件之后，由于乙方的过错不能完成项目的恢复导致甲方终止本协议，则甲方或其指定的执行机构应立即获得对项目资产的所有</w:t>
      </w:r>
      <w:r>
        <w:rPr>
          <w:rFonts w:hint="eastAsia" w:ascii="宋体" w:hAnsi="宋体" w:eastAsia="宋体" w:cs="宋体"/>
          <w:bCs/>
          <w:caps w:val="0"/>
          <w:smallCaps w:val="0"/>
          <w:color w:val="auto"/>
          <w:highlight w:val="none"/>
          <w:lang w:eastAsia="zh-CN"/>
        </w:rPr>
        <w:t>权力和利益</w:t>
      </w:r>
      <w:r>
        <w:rPr>
          <w:rFonts w:hint="eastAsia" w:ascii="宋体" w:hAnsi="宋体" w:eastAsia="宋体" w:cs="宋体"/>
          <w:bCs/>
          <w:caps w:val="0"/>
          <w:smallCaps w:val="0"/>
          <w:color w:val="auto"/>
          <w:highlight w:val="none"/>
        </w:rPr>
        <w:t>，且甲方或其指定的执行机构应向乙方支付相应的补偿金额并扣除甲方为恢复项目运行而需支付的合理费用的【%】，或在修复已经属于不经济或不现实的情况下，扣除因乙方过错造成的损失扩大的金额。甲方支付上述金额之后，乙方和项目公司应向甲方或其指定的执行机构移交项目。</w:t>
      </w:r>
    </w:p>
    <w:p w14:paraId="629695E8">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其他</w:t>
      </w:r>
      <w:r>
        <w:rPr>
          <w:rFonts w:hint="eastAsia" w:ascii="宋体" w:hAnsi="宋体" w:eastAsia="宋体" w:cs="宋体"/>
          <w:bCs/>
          <w:caps w:val="0"/>
          <w:smallCaps w:val="0"/>
          <w:color w:val="auto"/>
          <w:highlight w:val="none"/>
        </w:rPr>
        <w:t>事件</w:t>
      </w:r>
      <w:r>
        <w:rPr>
          <w:rFonts w:hint="eastAsia" w:ascii="宋体" w:hAnsi="宋体" w:eastAsia="宋体" w:cs="宋体"/>
          <w:caps w:val="0"/>
          <w:smallCaps w:val="0"/>
          <w:color w:val="auto"/>
          <w:highlight w:val="none"/>
        </w:rPr>
        <w:t>导致的终止</w:t>
      </w:r>
    </w:p>
    <w:p w14:paraId="5B82068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如果因第【】条所述事件导致本协议终止，甲方应向乙方支付相应的补偿金额，乙方向甲方或其指定的执行机构移交项目。</w:t>
      </w:r>
    </w:p>
    <w:p w14:paraId="411D890D">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bookmarkStart w:id="763" w:name="_Toc100461260"/>
      <w:r>
        <w:rPr>
          <w:rFonts w:hint="eastAsia" w:ascii="宋体" w:hAnsi="宋体" w:eastAsia="宋体" w:cs="宋体"/>
          <w:caps w:val="0"/>
          <w:smallCaps w:val="0"/>
          <w:color w:val="auto"/>
          <w:highlight w:val="none"/>
        </w:rPr>
        <w:t>保险赔款的使用</w:t>
      </w:r>
      <w:bookmarkEnd w:id="763"/>
    </w:p>
    <w:p w14:paraId="2176200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无论何时，由于不可抗力致使本协议终止，乙方有权根据保险合同得到项目保险的保单项下的付款，如果该保险赔款不被用于项目的恢复或修理，则除非法律、行政法规另有规定，乙方应将该保险赔款优先按照下述顺序进行使用：</w:t>
      </w:r>
    </w:p>
    <w:p w14:paraId="382ECA49">
      <w:pPr>
        <w:keepNext w:val="0"/>
        <w:keepLines w:val="0"/>
        <w:pageBreakBefore w:val="0"/>
        <w:widowControl w:val="0"/>
        <w:numPr>
          <w:ilvl w:val="0"/>
          <w:numId w:val="103"/>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支付农民工工资；</w:t>
      </w:r>
    </w:p>
    <w:p w14:paraId="2CFE3BFD">
      <w:pPr>
        <w:keepNext w:val="0"/>
        <w:keepLines w:val="0"/>
        <w:pageBreakBefore w:val="0"/>
        <w:widowControl w:val="0"/>
        <w:numPr>
          <w:ilvl w:val="0"/>
          <w:numId w:val="103"/>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偿还乙方欠付的非其关联方的合同款项；</w:t>
      </w:r>
    </w:p>
    <w:p w14:paraId="35AFD4C0">
      <w:pPr>
        <w:keepNext w:val="0"/>
        <w:keepLines w:val="0"/>
        <w:pageBreakBefore w:val="0"/>
        <w:widowControl w:val="0"/>
        <w:numPr>
          <w:ilvl w:val="0"/>
          <w:numId w:val="103"/>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偿还银行贷款；</w:t>
      </w:r>
    </w:p>
    <w:p w14:paraId="6872BB3C">
      <w:pPr>
        <w:keepNext w:val="0"/>
        <w:keepLines w:val="0"/>
        <w:pageBreakBefore w:val="0"/>
        <w:widowControl w:val="0"/>
        <w:numPr>
          <w:ilvl w:val="0"/>
          <w:numId w:val="103"/>
        </w:numPr>
        <w:kinsoku/>
        <w:wordWrap/>
        <w:overflowPunct/>
        <w:topLinePunct w:val="0"/>
        <w:bidi w:val="0"/>
        <w:adjustRightInd/>
        <w:snapToGrid/>
        <w:spacing w:before="0" w:beforeLines="0" w:after="0" w:afterLines="0" w:line="360" w:lineRule="auto"/>
        <w:ind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减少根据本协议补偿表应由甲方向乙方支付的补偿。</w:t>
      </w:r>
    </w:p>
    <w:p w14:paraId="486D2F6E">
      <w:pPr>
        <w:pStyle w:val="5"/>
        <w:keepNext w:val="0"/>
        <w:keepLines w:val="0"/>
        <w:pageBreakBefore w:val="0"/>
        <w:widowControl w:val="0"/>
        <w:numPr>
          <w:ilvl w:val="2"/>
          <w:numId w:val="100"/>
        </w:numPr>
        <w:tabs>
          <w:tab w:val="left" w:pos="993"/>
        </w:tabs>
        <w:kinsoku/>
        <w:wordWrap/>
        <w:overflowPunct/>
        <w:topLinePunct w:val="0"/>
        <w:bidi w:val="0"/>
        <w:spacing w:before="0" w:beforeLines="0" w:after="0" w:afterLines="0" w:line="360" w:lineRule="auto"/>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补偿金额和补偿表</w:t>
      </w:r>
    </w:p>
    <w:p w14:paraId="08644CE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说明：双方应就每种提前解除协议的情况及其对应的补偿计算公式进行设计、协商和约定，并在协议正文或附件中体现。本示范文本中的补偿计算公式、影响参数和补偿表仅是示例，正式协议中双方应当根据具体项目的实际情况制定。】</w:t>
      </w:r>
    </w:p>
    <w:p w14:paraId="0A3070B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【示例如下：】</w:t>
      </w:r>
    </w:p>
    <w:p w14:paraId="1FE5FDA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甲</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乙双方同意按以下约定</w:t>
      </w:r>
      <w:r>
        <w:rPr>
          <w:rFonts w:hint="eastAsia" w:ascii="宋体" w:hAnsi="宋体" w:eastAsia="宋体" w:cs="宋体"/>
          <w:bCs/>
          <w:caps w:val="0"/>
          <w:smallCaps w:val="0"/>
          <w:color w:val="auto"/>
          <w:highlight w:val="none"/>
          <w:lang w:eastAsia="zh-CN"/>
        </w:rPr>
        <w:t>的</w:t>
      </w:r>
      <w:r>
        <w:rPr>
          <w:rFonts w:hint="eastAsia" w:ascii="宋体" w:hAnsi="宋体" w:eastAsia="宋体" w:cs="宋体"/>
          <w:bCs/>
          <w:caps w:val="0"/>
          <w:smallCaps w:val="0"/>
          <w:color w:val="auto"/>
          <w:highlight w:val="none"/>
        </w:rPr>
        <w:t>协议解除终止补偿表计算补偿金额。补偿表中，字母A、A’、B、C、D、E、X和Y用于表示在不同情况下特许经营协议提前解除时，作为应付的终止补偿总额中的不同组成部分。这些字母代表下列金额：</w:t>
      </w:r>
    </w:p>
    <w:tbl>
      <w:tblPr>
        <w:tblStyle w:val="52"/>
        <w:tblW w:w="4999" w:type="pct"/>
        <w:tblInd w:w="0" w:type="dxa"/>
        <w:tblLayout w:type="autofit"/>
        <w:tblCellMar>
          <w:top w:w="0" w:type="dxa"/>
          <w:left w:w="108" w:type="dxa"/>
          <w:bottom w:w="0" w:type="dxa"/>
          <w:right w:w="108" w:type="dxa"/>
        </w:tblCellMar>
      </w:tblPr>
      <w:tblGrid>
        <w:gridCol w:w="782"/>
        <w:gridCol w:w="8735"/>
      </w:tblGrid>
      <w:tr w14:paraId="256D0EB5">
        <w:tblPrEx>
          <w:tblCellMar>
            <w:top w:w="0" w:type="dxa"/>
            <w:left w:w="108" w:type="dxa"/>
            <w:bottom w:w="0" w:type="dxa"/>
            <w:right w:w="108" w:type="dxa"/>
          </w:tblCellMar>
        </w:tblPrEx>
        <w:trPr>
          <w:trHeight w:val="567" w:hRule="atLeast"/>
        </w:trPr>
        <w:tc>
          <w:tcPr>
            <w:tcW w:w="411" w:type="pct"/>
          </w:tcPr>
          <w:p w14:paraId="3F5E4F4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A=</w:t>
            </w:r>
          </w:p>
        </w:tc>
        <w:tc>
          <w:tcPr>
            <w:tcW w:w="4588" w:type="pct"/>
          </w:tcPr>
          <w:p w14:paraId="24018E41">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融资文件项下应支付贷款人的未偿债余额，其中包括按融资文件规定，基于项目审批、核准、备案文件和适用法律的规定确定的投资总额与资本金差额内所有未付的融资本金加累计的利息，以及在特许经营协议终止之日，应支付贷款人的提前还款的罚款、收费、中介费、成本与费用。</w:t>
            </w:r>
          </w:p>
        </w:tc>
      </w:tr>
      <w:tr w14:paraId="7AB62412">
        <w:tblPrEx>
          <w:tblCellMar>
            <w:top w:w="0" w:type="dxa"/>
            <w:left w:w="108" w:type="dxa"/>
            <w:bottom w:w="0" w:type="dxa"/>
            <w:right w:w="108" w:type="dxa"/>
          </w:tblCellMar>
        </w:tblPrEx>
        <w:trPr>
          <w:trHeight w:val="558" w:hRule="atLeast"/>
        </w:trPr>
        <w:tc>
          <w:tcPr>
            <w:tcW w:w="411" w:type="pct"/>
          </w:tcPr>
          <w:p w14:paraId="594075F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A’=</w:t>
            </w:r>
          </w:p>
        </w:tc>
        <w:tc>
          <w:tcPr>
            <w:tcW w:w="4588" w:type="pct"/>
          </w:tcPr>
          <w:p w14:paraId="2B11CAE4">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按融资文件规定，基于项目审批、核准、备案文件和适用法律的规定确定的投资总额与资本金差额内所有未付的融资本金对应的本协议被解除后期间的利息，以及在特许经营协议终止之日，乙方应支付贷款人的提前还款的罚款、收费、中介费、成本与费用。</w:t>
            </w:r>
          </w:p>
        </w:tc>
      </w:tr>
      <w:tr w14:paraId="21CF693C">
        <w:tblPrEx>
          <w:tblCellMar>
            <w:top w:w="0" w:type="dxa"/>
            <w:left w:w="108" w:type="dxa"/>
            <w:bottom w:w="0" w:type="dxa"/>
            <w:right w:w="108" w:type="dxa"/>
          </w:tblCellMar>
        </w:tblPrEx>
        <w:trPr>
          <w:trHeight w:val="993" w:hRule="atLeast"/>
        </w:trPr>
        <w:tc>
          <w:tcPr>
            <w:tcW w:w="411" w:type="pct"/>
          </w:tcPr>
          <w:p w14:paraId="543990D9">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B=</w:t>
            </w:r>
          </w:p>
        </w:tc>
        <w:tc>
          <w:tcPr>
            <w:tcW w:w="4588" w:type="pct"/>
          </w:tcPr>
          <w:p w14:paraId="3B4E42DA">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乙方股东的原始股本投资额加上在终止日乙方股东的存留收益。</w:t>
            </w:r>
          </w:p>
        </w:tc>
      </w:tr>
      <w:tr w14:paraId="006D70DF">
        <w:tblPrEx>
          <w:tblCellMar>
            <w:top w:w="0" w:type="dxa"/>
            <w:left w:w="108" w:type="dxa"/>
            <w:bottom w:w="0" w:type="dxa"/>
            <w:right w:w="108" w:type="dxa"/>
          </w:tblCellMar>
        </w:tblPrEx>
        <w:trPr>
          <w:trHeight w:val="1242" w:hRule="atLeast"/>
        </w:trPr>
        <w:tc>
          <w:tcPr>
            <w:tcW w:w="411" w:type="pct"/>
          </w:tcPr>
          <w:p w14:paraId="2037A166">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C=</w:t>
            </w:r>
          </w:p>
        </w:tc>
        <w:tc>
          <w:tcPr>
            <w:tcW w:w="4588" w:type="pct"/>
          </w:tcPr>
          <w:p w14:paraId="1AB181D4">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乙方股东为不可抗力事件的补救而对乙方追加投入的资金，加上此前乙方股东经过甲方同意而对乙方的增资。</w:t>
            </w:r>
          </w:p>
        </w:tc>
      </w:tr>
      <w:tr w14:paraId="67EDE598">
        <w:tblPrEx>
          <w:tblCellMar>
            <w:top w:w="0" w:type="dxa"/>
            <w:left w:w="108" w:type="dxa"/>
            <w:bottom w:w="0" w:type="dxa"/>
            <w:right w:w="108" w:type="dxa"/>
          </w:tblCellMar>
        </w:tblPrEx>
        <w:tc>
          <w:tcPr>
            <w:tcW w:w="411" w:type="pct"/>
          </w:tcPr>
          <w:p w14:paraId="6EB48EDE">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D=</w:t>
            </w:r>
          </w:p>
        </w:tc>
        <w:tc>
          <w:tcPr>
            <w:tcW w:w="4588" w:type="pct"/>
          </w:tcPr>
          <w:p w14:paraId="13933B30">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在下述两个时期中较短的一个时期内：1．【】年；2．原定特许经营期限中剩余期限（该原定期限可能由于一项不可抗力事件而已被延长）</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净预期利润</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的现值。折现率用【】％。</w:t>
            </w:r>
          </w:p>
        </w:tc>
      </w:tr>
      <w:tr w14:paraId="3CAAC572">
        <w:tblPrEx>
          <w:tblCellMar>
            <w:top w:w="0" w:type="dxa"/>
            <w:left w:w="108" w:type="dxa"/>
            <w:bottom w:w="0" w:type="dxa"/>
            <w:right w:w="108" w:type="dxa"/>
          </w:tblCellMar>
        </w:tblPrEx>
        <w:tc>
          <w:tcPr>
            <w:tcW w:w="411" w:type="pct"/>
          </w:tcPr>
          <w:p w14:paraId="04961CB6">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E=</w:t>
            </w:r>
          </w:p>
        </w:tc>
        <w:tc>
          <w:tcPr>
            <w:tcW w:w="4588" w:type="pct"/>
          </w:tcPr>
          <w:p w14:paraId="63462CF7">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乙方向甲方或其指定机构移交的零部件、备品备件和化学品的成本值。</w:t>
            </w:r>
          </w:p>
        </w:tc>
      </w:tr>
      <w:tr w14:paraId="200532F6">
        <w:tblPrEx>
          <w:tblCellMar>
            <w:top w:w="0" w:type="dxa"/>
            <w:left w:w="108" w:type="dxa"/>
            <w:bottom w:w="0" w:type="dxa"/>
            <w:right w:w="108" w:type="dxa"/>
          </w:tblCellMar>
        </w:tblPrEx>
        <w:tc>
          <w:tcPr>
            <w:tcW w:w="411" w:type="pct"/>
          </w:tcPr>
          <w:p w14:paraId="19C76C1C">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lang w:eastAsia="zh-CN"/>
              </w:rPr>
            </w:pPr>
            <w:r>
              <w:rPr>
                <w:rFonts w:hint="eastAsia" w:ascii="宋体" w:hAnsi="宋体" w:eastAsia="宋体" w:cs="宋体"/>
                <w:bCs/>
                <w:caps w:val="0"/>
                <w:smallCaps w:val="0"/>
                <w:color w:val="auto"/>
                <w:highlight w:val="none"/>
              </w:rPr>
              <w:t>X=</w:t>
            </w:r>
          </w:p>
        </w:tc>
        <w:tc>
          <w:tcPr>
            <w:tcW w:w="4588" w:type="pct"/>
          </w:tcPr>
          <w:p w14:paraId="1D659013">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其他协议双方认为需要增加的科目。</w:t>
            </w:r>
          </w:p>
        </w:tc>
      </w:tr>
      <w:tr w14:paraId="641B9925">
        <w:tblPrEx>
          <w:tblCellMar>
            <w:top w:w="0" w:type="dxa"/>
            <w:left w:w="108" w:type="dxa"/>
            <w:bottom w:w="0" w:type="dxa"/>
            <w:right w:w="108" w:type="dxa"/>
          </w:tblCellMar>
        </w:tblPrEx>
        <w:tc>
          <w:tcPr>
            <w:tcW w:w="411" w:type="pct"/>
          </w:tcPr>
          <w:p w14:paraId="5BA371C1">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Y=</w:t>
            </w:r>
          </w:p>
        </w:tc>
        <w:tc>
          <w:tcPr>
            <w:tcW w:w="4588" w:type="pct"/>
          </w:tcPr>
          <w:p w14:paraId="3659D2CD">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其他协议双方认为需要扣减的科目。</w:t>
            </w:r>
          </w:p>
        </w:tc>
      </w:tr>
    </w:tbl>
    <w:p w14:paraId="2B7FD72B">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R1</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表示特许经营期剩余期限（分子）与特许经营期（分母）之比。</w:t>
      </w:r>
    </w:p>
    <w:p w14:paraId="10DF30C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R2</w:t>
      </w:r>
      <w:r>
        <w:rPr>
          <w:rFonts w:hint="eastAsia" w:ascii="宋体" w:hAnsi="宋体" w:eastAsia="宋体" w:cs="宋体"/>
          <w:bCs/>
          <w:caps w:val="0"/>
          <w:smallCaps w:val="0"/>
          <w:color w:val="auto"/>
          <w:highlight w:val="none"/>
          <w:lang w:eastAsia="zh-CN"/>
        </w:rPr>
        <w:t>”</w:t>
      </w:r>
      <w:r>
        <w:rPr>
          <w:rFonts w:hint="eastAsia" w:ascii="宋体" w:hAnsi="宋体" w:eastAsia="宋体" w:cs="宋体"/>
          <w:bCs/>
          <w:caps w:val="0"/>
          <w:smallCaps w:val="0"/>
          <w:color w:val="auto"/>
          <w:highlight w:val="none"/>
        </w:rPr>
        <w:t>表示剩余特许经营期期限（分子）与在补救工作完成之后的特许经营期剩余期限（分母）之比。</w:t>
      </w:r>
    </w:p>
    <w:p w14:paraId="61CFD7A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每项补偿因素的计算须由各方共同选定的一家具有相应资质且信誉良好的独立第三方机构进行审核。若有争议，则适用争议解决条款。</w:t>
      </w:r>
    </w:p>
    <w:p w14:paraId="384428A1">
      <w:pPr>
        <w:keepNext w:val="0"/>
        <w:keepLines w:val="0"/>
        <w:pageBreakBefore w:val="0"/>
        <w:widowControl w:val="0"/>
        <w:kinsoku/>
        <w:wordWrap/>
        <w:overflowPunct/>
        <w:topLinePunct w:val="0"/>
        <w:autoSpaceDE w:val="0"/>
        <w:autoSpaceDN w:val="0"/>
        <w:bidi w:val="0"/>
        <w:spacing w:before="0" w:beforeLines="0" w:beforeAutospacing="0" w:after="0" w:afterLines="0" w:afterAutospacing="0" w:line="360" w:lineRule="auto"/>
        <w:ind w:firstLine="0" w:firstLineChars="0"/>
        <w:jc w:val="left"/>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协议解除终止补偿表</w:t>
      </w:r>
    </w:p>
    <w:p w14:paraId="3DBF09D3">
      <w:pPr>
        <w:keepNext w:val="0"/>
        <w:keepLines w:val="0"/>
        <w:pageBreakBefore w:val="0"/>
        <w:widowControl w:val="0"/>
        <w:kinsoku/>
        <w:wordWrap/>
        <w:overflowPunct/>
        <w:topLinePunct w:val="0"/>
        <w:autoSpaceDE w:val="0"/>
        <w:autoSpaceDN w:val="0"/>
        <w:bidi w:val="0"/>
        <w:spacing w:before="0" w:beforeLines="0" w:beforeAutospacing="0" w:after="0" w:afterLines="0" w:afterAutospacing="0" w:line="360" w:lineRule="auto"/>
        <w:ind w:firstLine="560"/>
        <w:jc w:val="left"/>
        <w:rPr>
          <w:rFonts w:hint="eastAsia" w:ascii="宋体" w:hAnsi="宋体" w:eastAsia="宋体" w:cs="宋体"/>
          <w:bCs/>
          <w:caps w:val="0"/>
          <w:smallCaps w:val="0"/>
          <w:color w:val="auto"/>
          <w:highlight w:val="none"/>
        </w:rPr>
      </w:pPr>
      <w:r>
        <w:rPr>
          <w:rFonts w:hint="eastAsia" w:ascii="宋体" w:hAnsi="宋体" w:eastAsia="宋体" w:cs="宋体"/>
          <w:bCs/>
          <w:caps w:val="0"/>
          <w:smallCaps w:val="0"/>
          <w:color w:val="auto"/>
          <w:highlight w:val="none"/>
        </w:rPr>
        <w:t>【说明：本表格仅供参考，实践中应根据具体项目的实际情况和公平原则讨论、制定需考虑因素和权重】</w:t>
      </w:r>
    </w:p>
    <w:tbl>
      <w:tblPr>
        <w:tblStyle w:val="52"/>
        <w:tblW w:w="5257" w:type="pct"/>
        <w:jc w:val="center"/>
        <w:tblLayout w:type="autofit"/>
        <w:tblCellMar>
          <w:top w:w="0" w:type="dxa"/>
          <w:left w:w="108" w:type="dxa"/>
          <w:bottom w:w="0" w:type="dxa"/>
          <w:right w:w="108" w:type="dxa"/>
        </w:tblCellMar>
      </w:tblPr>
      <w:tblGrid>
        <w:gridCol w:w="1001"/>
        <w:gridCol w:w="1528"/>
        <w:gridCol w:w="3221"/>
        <w:gridCol w:w="4258"/>
      </w:tblGrid>
      <w:tr w14:paraId="70EF1B20">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1ED68FD4">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center"/>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序号</w:t>
            </w:r>
          </w:p>
        </w:tc>
        <w:tc>
          <w:tcPr>
            <w:tcW w:w="763" w:type="pct"/>
            <w:tcBorders>
              <w:top w:val="single" w:color="auto" w:sz="6" w:space="0"/>
              <w:left w:val="single" w:color="auto" w:sz="6" w:space="0"/>
              <w:bottom w:val="single" w:color="auto" w:sz="6" w:space="0"/>
              <w:right w:val="single" w:color="auto" w:sz="6" w:space="0"/>
            </w:tcBorders>
            <w:vAlign w:val="center"/>
          </w:tcPr>
          <w:p w14:paraId="4756EA6D">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center"/>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对应条款</w:t>
            </w:r>
          </w:p>
        </w:tc>
        <w:tc>
          <w:tcPr>
            <w:tcW w:w="1609" w:type="pct"/>
            <w:tcBorders>
              <w:top w:val="single" w:color="auto" w:sz="6" w:space="0"/>
              <w:left w:val="single" w:color="auto" w:sz="6" w:space="0"/>
              <w:bottom w:val="single" w:color="auto" w:sz="6" w:space="0"/>
              <w:right w:val="single" w:color="auto" w:sz="6" w:space="0"/>
            </w:tcBorders>
            <w:vAlign w:val="center"/>
          </w:tcPr>
          <w:p w14:paraId="39A204B6">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center"/>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协议解除情形</w:t>
            </w:r>
          </w:p>
        </w:tc>
        <w:tc>
          <w:tcPr>
            <w:tcW w:w="2127" w:type="pct"/>
            <w:tcBorders>
              <w:top w:val="single" w:color="auto" w:sz="6" w:space="0"/>
              <w:left w:val="single" w:color="auto" w:sz="6" w:space="0"/>
              <w:bottom w:val="single" w:color="auto" w:sz="6" w:space="0"/>
              <w:right w:val="single" w:color="auto" w:sz="6" w:space="0"/>
            </w:tcBorders>
            <w:vAlign w:val="center"/>
          </w:tcPr>
          <w:p w14:paraId="6C328A01">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center"/>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政府应付补偿金额计算</w:t>
            </w:r>
          </w:p>
        </w:tc>
      </w:tr>
      <w:tr w14:paraId="235B245B">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18AD34AE">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jc w:val="both"/>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533ABD85">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rPr>
                <w:rFonts w:hint="eastAsia" w:ascii="宋体" w:hAnsi="宋体" w:eastAsia="宋体" w:cs="宋体"/>
                <w:bCs/>
                <w:caps w:val="0"/>
                <w:smallCaps w:val="0"/>
                <w:color w:val="auto"/>
                <w:sz w:val="24"/>
                <w:szCs w:val="24"/>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1B40355F">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4"/>
                <w:szCs w:val="24"/>
                <w:highlight w:val="none"/>
              </w:rPr>
            </w:pPr>
            <w:r>
              <w:rPr>
                <w:rFonts w:hint="eastAsia" w:ascii="宋体" w:hAnsi="宋体" w:eastAsia="宋体" w:cs="宋体"/>
                <w:bCs/>
                <w:caps w:val="0"/>
                <w:smallCaps w:val="0"/>
                <w:color w:val="auto"/>
                <w:sz w:val="24"/>
                <w:szCs w:val="24"/>
                <w:highlight w:val="none"/>
              </w:rPr>
              <w:t>因乙方违约事件导致协议终止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02A334F0">
            <w:pPr>
              <w:keepNext w:val="0"/>
              <w:keepLines w:val="0"/>
              <w:pageBreakBefore w:val="0"/>
              <w:widowControl w:val="0"/>
              <w:kinsoku/>
              <w:wordWrap/>
              <w:overflowPunct/>
              <w:topLinePunct w:val="0"/>
              <w:bidi w:val="0"/>
              <w:spacing w:before="0" w:beforeLines="0" w:beforeAutospacing="0" w:after="0" w:afterLines="0" w:afterAutospacing="0" w:line="360" w:lineRule="auto"/>
              <w:ind w:firstLine="100" w:firstLineChars="42"/>
              <w:contextualSpacing/>
              <w:jc w:val="left"/>
              <w:textAlignment w:val="baseline"/>
              <w:outlineLvl w:val="4"/>
              <w:rPr>
                <w:rFonts w:hint="eastAsia" w:ascii="宋体" w:hAnsi="宋体" w:eastAsia="宋体" w:cs="宋体"/>
                <w:caps w:val="0"/>
                <w:smallCaps w:val="0"/>
                <w:color w:val="auto"/>
                <w:sz w:val="24"/>
                <w:szCs w:val="24"/>
                <w:highlight w:val="none"/>
              </w:rPr>
            </w:pPr>
            <w:r>
              <w:rPr>
                <w:rFonts w:hint="eastAsia" w:ascii="宋体" w:hAnsi="宋体" w:eastAsia="宋体" w:cs="宋体"/>
                <w:caps w:val="0"/>
                <w:smallCaps w:val="0"/>
                <w:color w:val="auto"/>
                <w:sz w:val="24"/>
                <w:szCs w:val="24"/>
                <w:highlight w:val="none"/>
              </w:rPr>
              <w:t>A-A’+E+X+Y</w:t>
            </w:r>
          </w:p>
        </w:tc>
      </w:tr>
      <w:tr w14:paraId="7676827B">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078CC7AD">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21A4357D">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rPr>
                <w:rFonts w:hint="eastAsia" w:ascii="宋体" w:hAnsi="宋体" w:eastAsia="宋体" w:cs="宋体"/>
                <w:bCs/>
                <w:caps w:val="0"/>
                <w:smallCaps w:val="0"/>
                <w:color w:val="auto"/>
                <w:sz w:val="24"/>
                <w:szCs w:val="24"/>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072B1D57">
            <w:pPr>
              <w:keepNext w:val="0"/>
              <w:keepLines w:val="0"/>
              <w:pageBreakBefore w:val="0"/>
              <w:widowControl w:val="0"/>
              <w:kinsoku/>
              <w:wordWrap/>
              <w:overflowPunct/>
              <w:topLinePunct w:val="0"/>
              <w:bidi w:val="0"/>
              <w:spacing w:before="0" w:beforeLines="0" w:beforeAutospacing="0" w:after="0" w:afterLines="0" w:afterAutospacing="0" w:line="240" w:lineRule="auto"/>
              <w:ind w:left="0" w:leftChars="0" w:firstLine="0" w:firstLineChars="0"/>
              <w:rPr>
                <w:rFonts w:hint="eastAsia" w:ascii="宋体" w:hAnsi="宋体" w:eastAsia="宋体" w:cs="宋体"/>
                <w:bCs/>
                <w:caps w:val="0"/>
                <w:smallCaps w:val="0"/>
                <w:color w:val="auto"/>
                <w:sz w:val="24"/>
                <w:szCs w:val="24"/>
                <w:highlight w:val="none"/>
              </w:rPr>
            </w:pPr>
            <w:r>
              <w:rPr>
                <w:rFonts w:hint="eastAsia" w:ascii="宋体" w:hAnsi="宋体" w:eastAsia="宋体" w:cs="宋体"/>
                <w:bCs/>
                <w:caps w:val="0"/>
                <w:smallCaps w:val="0"/>
                <w:color w:val="auto"/>
                <w:sz w:val="24"/>
                <w:szCs w:val="24"/>
                <w:highlight w:val="none"/>
              </w:rPr>
              <w:t>甲方违约事件协议终止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56C6362D">
            <w:pPr>
              <w:keepNext w:val="0"/>
              <w:keepLines w:val="0"/>
              <w:pageBreakBefore w:val="0"/>
              <w:widowControl w:val="0"/>
              <w:kinsoku/>
              <w:wordWrap/>
              <w:overflowPunct/>
              <w:topLinePunct w:val="0"/>
              <w:bidi w:val="0"/>
              <w:spacing w:before="0" w:beforeLines="0" w:beforeAutospacing="0" w:after="0" w:afterLines="0" w:afterAutospacing="0" w:line="240" w:lineRule="auto"/>
              <w:ind w:left="-90" w:firstLine="100" w:firstLineChars="42"/>
              <w:jc w:val="left"/>
              <w:rPr>
                <w:rFonts w:hint="eastAsia" w:ascii="宋体" w:hAnsi="宋体" w:eastAsia="宋体" w:cs="宋体"/>
                <w:bCs/>
                <w:caps w:val="0"/>
                <w:smallCaps w:val="0"/>
                <w:color w:val="auto"/>
                <w:sz w:val="24"/>
                <w:szCs w:val="24"/>
                <w:highlight w:val="none"/>
              </w:rPr>
            </w:pPr>
            <w:r>
              <w:rPr>
                <w:rFonts w:hint="eastAsia" w:ascii="宋体" w:hAnsi="宋体" w:eastAsia="宋体" w:cs="宋体"/>
                <w:bCs/>
                <w:caps w:val="0"/>
                <w:smallCaps w:val="0"/>
                <w:color w:val="auto"/>
                <w:sz w:val="24"/>
                <w:szCs w:val="24"/>
                <w:highlight w:val="none"/>
              </w:rPr>
              <w:t>A+B+C+D+E+X+Y</w:t>
            </w:r>
          </w:p>
        </w:tc>
      </w:tr>
      <w:tr w14:paraId="054AD2B6">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47E50A49">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25411A17">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rPr>
                <w:rFonts w:hint="eastAsia" w:ascii="宋体" w:hAnsi="宋体" w:eastAsia="宋体" w:cs="宋体"/>
                <w:bCs/>
                <w:caps w:val="0"/>
                <w:smallCaps w:val="0"/>
                <w:color w:val="auto"/>
                <w:sz w:val="24"/>
                <w:szCs w:val="24"/>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58927AB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4"/>
                <w:szCs w:val="24"/>
                <w:highlight w:val="none"/>
              </w:rPr>
            </w:pPr>
            <w:r>
              <w:rPr>
                <w:rFonts w:hint="eastAsia" w:ascii="宋体" w:hAnsi="宋体" w:eastAsia="宋体" w:cs="宋体"/>
                <w:bCs/>
                <w:caps w:val="0"/>
                <w:smallCaps w:val="0"/>
                <w:color w:val="auto"/>
                <w:sz w:val="24"/>
                <w:szCs w:val="24"/>
                <w:highlight w:val="none"/>
                <w:lang w:eastAsia="zh-CN"/>
              </w:rPr>
              <w:t>“</w:t>
            </w:r>
            <w:r>
              <w:rPr>
                <w:rFonts w:hint="eastAsia" w:ascii="宋体" w:hAnsi="宋体" w:eastAsia="宋体" w:cs="宋体"/>
                <w:bCs/>
                <w:caps w:val="0"/>
                <w:smallCaps w:val="0"/>
                <w:color w:val="auto"/>
                <w:sz w:val="24"/>
                <w:szCs w:val="24"/>
                <w:highlight w:val="none"/>
              </w:rPr>
              <w:t>对甲方的例外</w:t>
            </w:r>
            <w:r>
              <w:rPr>
                <w:rFonts w:hint="eastAsia" w:ascii="宋体" w:hAnsi="宋体" w:eastAsia="宋体" w:cs="宋体"/>
                <w:bCs/>
                <w:caps w:val="0"/>
                <w:smallCaps w:val="0"/>
                <w:color w:val="auto"/>
                <w:sz w:val="24"/>
                <w:szCs w:val="24"/>
                <w:highlight w:val="none"/>
                <w:lang w:eastAsia="zh-CN"/>
              </w:rPr>
              <w:t>”</w:t>
            </w:r>
            <w:r>
              <w:rPr>
                <w:rFonts w:hint="eastAsia" w:ascii="宋体" w:hAnsi="宋体" w:eastAsia="宋体" w:cs="宋体"/>
                <w:bCs/>
                <w:caps w:val="0"/>
                <w:smallCaps w:val="0"/>
                <w:color w:val="auto"/>
                <w:sz w:val="24"/>
                <w:szCs w:val="24"/>
                <w:highlight w:val="none"/>
              </w:rPr>
              <w:t>的不可抗力（第【】款）所述事件导致协议终止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4E774FFF">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left"/>
              <w:rPr>
                <w:rFonts w:hint="eastAsia" w:ascii="宋体" w:hAnsi="宋体" w:eastAsia="宋体" w:cs="宋体"/>
                <w:bCs/>
                <w:caps w:val="0"/>
                <w:smallCaps w:val="0"/>
                <w:color w:val="auto"/>
                <w:sz w:val="24"/>
                <w:szCs w:val="24"/>
                <w:highlight w:val="none"/>
              </w:rPr>
            </w:pPr>
            <w:r>
              <w:rPr>
                <w:rFonts w:hint="eastAsia" w:ascii="宋体" w:hAnsi="宋体" w:eastAsia="宋体" w:cs="宋体"/>
                <w:bCs/>
                <w:caps w:val="0"/>
                <w:smallCaps w:val="0"/>
                <w:color w:val="auto"/>
                <w:sz w:val="24"/>
                <w:szCs w:val="24"/>
                <w:highlight w:val="none"/>
              </w:rPr>
              <w:t>A+B+C+D+E+X+Y</w:t>
            </w:r>
          </w:p>
        </w:tc>
      </w:tr>
      <w:tr w14:paraId="296F921B">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0B4942BE">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21829206">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rPr>
                <w:rFonts w:hint="eastAsia" w:ascii="宋体" w:hAnsi="宋体" w:eastAsia="宋体" w:cs="宋体"/>
                <w:bCs/>
                <w:caps w:val="0"/>
                <w:smallCaps w:val="0"/>
                <w:color w:val="auto"/>
                <w:sz w:val="22"/>
                <w:szCs w:val="22"/>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2F48FBCB">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因不可抗力事件导致协议终止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2AFDC899">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left"/>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A+</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B×R1</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C×R2</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+E</w:t>
            </w:r>
            <w:r>
              <w:rPr>
                <w:rFonts w:hint="eastAsia" w:ascii="宋体" w:hAnsi="宋体" w:eastAsia="宋体" w:cs="宋体"/>
                <w:caps w:val="0"/>
                <w:smallCaps w:val="0"/>
                <w:color w:val="auto"/>
                <w:sz w:val="22"/>
                <w:szCs w:val="22"/>
                <w:highlight w:val="none"/>
              </w:rPr>
              <w:t>+X+Y</w:t>
            </w:r>
          </w:p>
        </w:tc>
      </w:tr>
      <w:tr w14:paraId="76D86699">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2FBA11FC">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0DF2112E">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rPr>
                <w:rFonts w:hint="eastAsia" w:ascii="宋体" w:hAnsi="宋体" w:eastAsia="宋体" w:cs="宋体"/>
                <w:bCs/>
                <w:caps w:val="0"/>
                <w:smallCaps w:val="0"/>
                <w:color w:val="auto"/>
                <w:sz w:val="22"/>
                <w:szCs w:val="22"/>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14D10E2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不可抗力事件发生后因乙方过错不能修复项目导致协议终止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654BF57E">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left"/>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A-A’+</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B×Rl</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C×R2</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+E</w:t>
            </w:r>
            <w:r>
              <w:rPr>
                <w:rFonts w:hint="eastAsia" w:ascii="宋体" w:hAnsi="宋体" w:eastAsia="宋体" w:cs="宋体"/>
                <w:caps w:val="0"/>
                <w:smallCaps w:val="0"/>
                <w:color w:val="auto"/>
                <w:sz w:val="22"/>
                <w:szCs w:val="22"/>
                <w:highlight w:val="none"/>
              </w:rPr>
              <w:t>+X+Y</w:t>
            </w:r>
          </w:p>
        </w:tc>
      </w:tr>
      <w:tr w14:paraId="7A88C532">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32721D60">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2F67AAA9">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rPr>
                <w:rFonts w:hint="eastAsia" w:ascii="宋体" w:hAnsi="宋体" w:eastAsia="宋体" w:cs="宋体"/>
                <w:bCs/>
                <w:caps w:val="0"/>
                <w:smallCaps w:val="0"/>
                <w:color w:val="auto"/>
                <w:sz w:val="22"/>
                <w:szCs w:val="22"/>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0DACB160">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特定的法律变更事件导致协议终止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7F688DAA">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left"/>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A+B+C+D+E</w:t>
            </w:r>
            <w:r>
              <w:rPr>
                <w:rFonts w:hint="eastAsia" w:ascii="宋体" w:hAnsi="宋体" w:eastAsia="宋体" w:cs="宋体"/>
                <w:caps w:val="0"/>
                <w:smallCaps w:val="0"/>
                <w:color w:val="auto"/>
                <w:sz w:val="22"/>
                <w:szCs w:val="22"/>
                <w:highlight w:val="none"/>
              </w:rPr>
              <w:t>+X+Y</w:t>
            </w:r>
          </w:p>
        </w:tc>
      </w:tr>
      <w:tr w14:paraId="6C8B6DE7">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477D6103">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0" w:firstLineChars="42"/>
              <w:jc w:val="center"/>
              <w:rPr>
                <w:rFonts w:hint="eastAsia" w:ascii="宋体" w:hAnsi="宋体" w:eastAsia="宋体" w:cs="宋体"/>
                <w:bCs/>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30458C57">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rPr>
                <w:rFonts w:hint="eastAsia" w:ascii="宋体" w:hAnsi="宋体" w:eastAsia="宋体" w:cs="宋体"/>
                <w:bCs/>
                <w:caps w:val="0"/>
                <w:smallCaps w:val="0"/>
                <w:color w:val="auto"/>
                <w:sz w:val="22"/>
                <w:szCs w:val="22"/>
                <w:highlight w:val="none"/>
              </w:rPr>
            </w:pPr>
          </w:p>
        </w:tc>
        <w:tc>
          <w:tcPr>
            <w:tcW w:w="1609" w:type="pct"/>
            <w:tcBorders>
              <w:top w:val="single" w:color="auto" w:sz="6" w:space="0"/>
              <w:left w:val="single" w:color="auto" w:sz="6" w:space="0"/>
              <w:bottom w:val="single" w:color="auto" w:sz="6" w:space="0"/>
              <w:right w:val="single" w:color="auto" w:sz="6" w:space="0"/>
            </w:tcBorders>
            <w:vAlign w:val="center"/>
          </w:tcPr>
          <w:p w14:paraId="47472E98">
            <w:pPr>
              <w:keepNext w:val="0"/>
              <w:keepLines w:val="0"/>
              <w:pageBreakBefore w:val="0"/>
              <w:widowControl w:val="0"/>
              <w:kinsoku/>
              <w:wordWrap/>
              <w:overflowPunct/>
              <w:topLinePunct w:val="0"/>
              <w:bidi w:val="0"/>
              <w:spacing w:before="0" w:beforeLines="0" w:beforeAutospacing="0" w:after="0" w:afterLines="0" w:afterAutospacing="0" w:line="360" w:lineRule="auto"/>
              <w:ind w:left="0" w:leftChars="0" w:firstLine="0" w:firstLineChars="0"/>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一般的法律变更事件导致协议终止</w:t>
            </w:r>
          </w:p>
        </w:tc>
        <w:tc>
          <w:tcPr>
            <w:tcW w:w="2127" w:type="pct"/>
            <w:tcBorders>
              <w:top w:val="single" w:color="auto" w:sz="6" w:space="0"/>
              <w:left w:val="single" w:color="auto" w:sz="6" w:space="0"/>
              <w:bottom w:val="single" w:color="auto" w:sz="6" w:space="0"/>
              <w:right w:val="single" w:color="auto" w:sz="6" w:space="0"/>
            </w:tcBorders>
            <w:vAlign w:val="center"/>
          </w:tcPr>
          <w:p w14:paraId="3E1DA2D8">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92" w:firstLineChars="42"/>
              <w:jc w:val="left"/>
              <w:rPr>
                <w:rFonts w:hint="eastAsia" w:ascii="宋体" w:hAnsi="宋体" w:eastAsia="宋体" w:cs="宋体"/>
                <w:bCs/>
                <w:caps w:val="0"/>
                <w:smallCaps w:val="0"/>
                <w:color w:val="auto"/>
                <w:sz w:val="22"/>
                <w:szCs w:val="22"/>
                <w:highlight w:val="none"/>
              </w:rPr>
            </w:pPr>
            <w:r>
              <w:rPr>
                <w:rFonts w:hint="eastAsia" w:ascii="宋体" w:hAnsi="宋体" w:eastAsia="宋体" w:cs="宋体"/>
                <w:bCs/>
                <w:caps w:val="0"/>
                <w:smallCaps w:val="0"/>
                <w:color w:val="auto"/>
                <w:sz w:val="22"/>
                <w:szCs w:val="22"/>
                <w:highlight w:val="none"/>
              </w:rPr>
              <w:t>A+</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B×R1</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C×R2</w:t>
            </w:r>
            <w:r>
              <w:rPr>
                <w:rFonts w:hint="eastAsia" w:ascii="宋体" w:hAnsi="宋体" w:eastAsia="宋体" w:cs="宋体"/>
                <w:bCs/>
                <w:caps w:val="0"/>
                <w:smallCaps w:val="0"/>
                <w:color w:val="auto"/>
                <w:sz w:val="22"/>
                <w:szCs w:val="22"/>
                <w:highlight w:val="none"/>
                <w:lang w:eastAsia="zh-CN"/>
              </w:rPr>
              <w:t>）</w:t>
            </w:r>
            <w:r>
              <w:rPr>
                <w:rFonts w:hint="eastAsia" w:ascii="宋体" w:hAnsi="宋体" w:eastAsia="宋体" w:cs="宋体"/>
                <w:bCs/>
                <w:caps w:val="0"/>
                <w:smallCaps w:val="0"/>
                <w:color w:val="auto"/>
                <w:sz w:val="22"/>
                <w:szCs w:val="22"/>
                <w:highlight w:val="none"/>
              </w:rPr>
              <w:t>+D×【】%+E</w:t>
            </w:r>
            <w:r>
              <w:rPr>
                <w:rFonts w:hint="eastAsia" w:ascii="宋体" w:hAnsi="宋体" w:eastAsia="宋体" w:cs="宋体"/>
                <w:caps w:val="0"/>
                <w:smallCaps w:val="0"/>
                <w:color w:val="auto"/>
                <w:sz w:val="22"/>
                <w:szCs w:val="22"/>
                <w:highlight w:val="none"/>
              </w:rPr>
              <w:t>+X+Y</w:t>
            </w:r>
          </w:p>
        </w:tc>
      </w:tr>
      <w:tr w14:paraId="5E60DD59">
        <w:tblPrEx>
          <w:tblCellMar>
            <w:top w:w="0" w:type="dxa"/>
            <w:left w:w="108" w:type="dxa"/>
            <w:bottom w:w="0" w:type="dxa"/>
            <w:right w:w="108" w:type="dxa"/>
          </w:tblCellMar>
        </w:tblPrEx>
        <w:trPr>
          <w:jc w:val="center"/>
        </w:trPr>
        <w:tc>
          <w:tcPr>
            <w:tcW w:w="500" w:type="pct"/>
            <w:tcBorders>
              <w:top w:val="single" w:color="auto" w:sz="6" w:space="0"/>
              <w:left w:val="single" w:color="auto" w:sz="6" w:space="0"/>
              <w:bottom w:val="single" w:color="auto" w:sz="6" w:space="0"/>
              <w:right w:val="single" w:color="auto" w:sz="6" w:space="0"/>
            </w:tcBorders>
            <w:vAlign w:val="center"/>
          </w:tcPr>
          <w:p w14:paraId="6498C311">
            <w:pPr>
              <w:keepNext w:val="0"/>
              <w:keepLines w:val="0"/>
              <w:pageBreakBefore w:val="0"/>
              <w:widowControl w:val="0"/>
              <w:kinsoku/>
              <w:wordWrap/>
              <w:overflowPunct/>
              <w:topLinePunct w:val="0"/>
              <w:bidi w:val="0"/>
              <w:spacing w:before="0" w:beforeLines="0" w:beforeAutospacing="0" w:after="0" w:afterLines="0" w:afterAutospacing="0" w:line="360" w:lineRule="auto"/>
              <w:ind w:left="-90" w:firstLine="101" w:firstLineChars="42"/>
              <w:jc w:val="center"/>
              <w:rPr>
                <w:rFonts w:hint="eastAsia" w:ascii="宋体" w:hAnsi="宋体" w:eastAsia="宋体" w:cs="宋体"/>
                <w:b/>
                <w:caps w:val="0"/>
                <w:smallCaps w:val="0"/>
                <w:color w:val="auto"/>
                <w:sz w:val="24"/>
                <w:szCs w:val="24"/>
                <w:highlight w:val="none"/>
              </w:rPr>
            </w:pPr>
          </w:p>
        </w:tc>
        <w:tc>
          <w:tcPr>
            <w:tcW w:w="763" w:type="pct"/>
            <w:tcBorders>
              <w:top w:val="single" w:color="auto" w:sz="6" w:space="0"/>
              <w:left w:val="single" w:color="auto" w:sz="6" w:space="0"/>
              <w:bottom w:val="single" w:color="auto" w:sz="6" w:space="0"/>
              <w:right w:val="single" w:color="auto" w:sz="6" w:space="0"/>
            </w:tcBorders>
            <w:vAlign w:val="center"/>
          </w:tcPr>
          <w:p w14:paraId="08C918E7">
            <w:pPr>
              <w:keepNext w:val="0"/>
              <w:keepLines w:val="0"/>
              <w:pageBreakBefore w:val="0"/>
              <w:widowControl w:val="0"/>
              <w:kinsoku/>
              <w:wordWrap/>
              <w:overflowPunct/>
              <w:topLinePunct w:val="0"/>
              <w:bidi w:val="0"/>
              <w:spacing w:before="0" w:beforeLines="0" w:beforeAutospacing="0" w:after="0" w:afterLines="0" w:afterAutospacing="0" w:line="240" w:lineRule="auto"/>
              <w:ind w:left="0" w:leftChars="0" w:firstLine="0" w:firstLineChars="0"/>
              <w:rPr>
                <w:rFonts w:hint="eastAsia" w:ascii="宋体" w:hAnsi="宋体" w:eastAsia="宋体" w:cs="宋体"/>
                <w:b/>
                <w:caps w:val="0"/>
                <w:smallCaps w:val="0"/>
                <w:color w:val="auto"/>
                <w:sz w:val="22"/>
                <w:szCs w:val="22"/>
                <w:highlight w:val="none"/>
              </w:rPr>
            </w:pPr>
            <w:r>
              <w:rPr>
                <w:rFonts w:hint="eastAsia" w:ascii="宋体" w:hAnsi="宋体" w:eastAsia="宋体" w:cs="宋体"/>
                <w:b/>
                <w:caps w:val="0"/>
                <w:smallCaps w:val="0"/>
                <w:color w:val="auto"/>
                <w:sz w:val="22"/>
                <w:szCs w:val="22"/>
                <w:highlight w:val="none"/>
              </w:rPr>
              <w:t>说明</w:t>
            </w:r>
          </w:p>
        </w:tc>
        <w:tc>
          <w:tcPr>
            <w:tcW w:w="1609" w:type="pct"/>
            <w:tcBorders>
              <w:top w:val="single" w:color="auto" w:sz="6" w:space="0"/>
              <w:left w:val="single" w:color="auto" w:sz="6" w:space="0"/>
              <w:bottom w:val="single" w:color="auto" w:sz="6" w:space="0"/>
              <w:right w:val="single" w:color="auto" w:sz="6" w:space="0"/>
            </w:tcBorders>
            <w:vAlign w:val="center"/>
          </w:tcPr>
          <w:p w14:paraId="2838612A">
            <w:pPr>
              <w:keepNext w:val="0"/>
              <w:keepLines w:val="0"/>
              <w:pageBreakBefore w:val="0"/>
              <w:widowControl w:val="0"/>
              <w:kinsoku/>
              <w:wordWrap/>
              <w:overflowPunct/>
              <w:topLinePunct w:val="0"/>
              <w:bidi w:val="0"/>
              <w:spacing w:before="0" w:beforeLines="0" w:beforeAutospacing="0" w:after="0" w:afterLines="0" w:afterAutospacing="0" w:line="240" w:lineRule="auto"/>
              <w:ind w:left="0" w:leftChars="0" w:firstLine="0" w:firstLineChars="0"/>
              <w:rPr>
                <w:rFonts w:hint="eastAsia" w:ascii="宋体" w:hAnsi="宋体" w:eastAsia="宋体" w:cs="宋体"/>
                <w:b/>
                <w:caps w:val="0"/>
                <w:smallCaps w:val="0"/>
                <w:color w:val="auto"/>
                <w:sz w:val="22"/>
                <w:szCs w:val="22"/>
                <w:highlight w:val="none"/>
              </w:rPr>
            </w:pPr>
            <w:r>
              <w:rPr>
                <w:rFonts w:hint="eastAsia" w:ascii="宋体" w:hAnsi="宋体" w:eastAsia="宋体" w:cs="宋体"/>
                <w:b/>
                <w:caps w:val="0"/>
                <w:smallCaps w:val="0"/>
                <w:color w:val="auto"/>
                <w:sz w:val="22"/>
                <w:szCs w:val="22"/>
                <w:highlight w:val="none"/>
              </w:rPr>
              <w:t>以上情形仅作为示例供参考</w:t>
            </w:r>
          </w:p>
        </w:tc>
        <w:tc>
          <w:tcPr>
            <w:tcW w:w="2127" w:type="pct"/>
            <w:tcBorders>
              <w:top w:val="single" w:color="auto" w:sz="6" w:space="0"/>
              <w:left w:val="single" w:color="auto" w:sz="6" w:space="0"/>
              <w:bottom w:val="single" w:color="auto" w:sz="6" w:space="0"/>
              <w:right w:val="single" w:color="auto" w:sz="6" w:space="0"/>
            </w:tcBorders>
            <w:vAlign w:val="center"/>
          </w:tcPr>
          <w:p w14:paraId="3ECEA00D">
            <w:pPr>
              <w:keepNext w:val="0"/>
              <w:keepLines w:val="0"/>
              <w:pageBreakBefore w:val="0"/>
              <w:widowControl w:val="0"/>
              <w:kinsoku/>
              <w:wordWrap/>
              <w:overflowPunct/>
              <w:topLinePunct w:val="0"/>
              <w:bidi w:val="0"/>
              <w:spacing w:before="0" w:beforeLines="0" w:beforeAutospacing="0" w:after="0" w:afterLines="0" w:afterAutospacing="0" w:line="240" w:lineRule="auto"/>
              <w:ind w:left="0" w:leftChars="0" w:firstLine="0" w:firstLineChars="0"/>
              <w:jc w:val="left"/>
              <w:rPr>
                <w:rFonts w:hint="eastAsia" w:ascii="宋体" w:hAnsi="宋体" w:eastAsia="宋体" w:cs="宋体"/>
                <w:b/>
                <w:caps w:val="0"/>
                <w:smallCaps w:val="0"/>
                <w:color w:val="auto"/>
                <w:sz w:val="22"/>
                <w:szCs w:val="22"/>
                <w:highlight w:val="none"/>
              </w:rPr>
            </w:pPr>
            <w:r>
              <w:rPr>
                <w:rFonts w:hint="eastAsia" w:ascii="宋体" w:hAnsi="宋体" w:eastAsia="宋体" w:cs="宋体"/>
                <w:b/>
                <w:caps w:val="0"/>
                <w:smallCaps w:val="0"/>
                <w:color w:val="auto"/>
                <w:sz w:val="22"/>
                <w:szCs w:val="22"/>
                <w:highlight w:val="none"/>
              </w:rPr>
              <w:t>以上公式、比例、因素仅作为示例供参考</w:t>
            </w:r>
          </w:p>
        </w:tc>
      </w:tr>
    </w:tbl>
    <w:p w14:paraId="378CDE8C">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p>
    <w:p w14:paraId="7FECCF6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64" w:name="_Toc1100494841"/>
      <w:r>
        <w:rPr>
          <w:rFonts w:hint="eastAsia" w:ascii="宋体" w:hAnsi="宋体" w:eastAsia="宋体" w:cs="宋体"/>
          <w:bCs/>
          <w:caps w:val="0"/>
          <w:smallCaps w:val="0"/>
          <w:color w:val="auto"/>
          <w:sz w:val="28"/>
          <w:highlight w:val="none"/>
        </w:rPr>
        <w:t>协议解除后的项目</w:t>
      </w:r>
      <w:bookmarkEnd w:id="761"/>
      <w:r>
        <w:rPr>
          <w:rFonts w:hint="eastAsia" w:ascii="宋体" w:hAnsi="宋体" w:eastAsia="宋体" w:cs="宋体"/>
          <w:bCs/>
          <w:caps w:val="0"/>
          <w:smallCaps w:val="0"/>
          <w:color w:val="auto"/>
          <w:sz w:val="28"/>
          <w:highlight w:val="none"/>
        </w:rPr>
        <w:t>移交</w:t>
      </w:r>
      <w:bookmarkEnd w:id="762"/>
      <w:bookmarkEnd w:id="764"/>
    </w:p>
    <w:p w14:paraId="765F5EF3">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本协议提前解除后，双方应按照第【】条规定的程序完成移交。</w:t>
      </w:r>
    </w:p>
    <w:p w14:paraId="0BA0E8E3">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65" w:name="_Toc405146889"/>
      <w:bookmarkStart w:id="766" w:name="_Toc1530075470"/>
      <w:r>
        <w:rPr>
          <w:rFonts w:hint="eastAsia" w:ascii="宋体" w:hAnsi="宋体" w:eastAsia="宋体" w:cs="宋体"/>
          <w:bCs/>
          <w:caps w:val="0"/>
          <w:smallCaps w:val="0"/>
          <w:color w:val="auto"/>
          <w:sz w:val="28"/>
          <w:highlight w:val="none"/>
        </w:rPr>
        <w:t>协议解除的其他约定</w:t>
      </w:r>
      <w:bookmarkEnd w:id="765"/>
      <w:bookmarkEnd w:id="766"/>
    </w:p>
    <w:p w14:paraId="5AB68AED">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【说明：结合项目特点和协议解除事由，并考虑融资文件的要求，双方可分别约定在协议解除时项目接管、项目持续运行、公共利益保护、融资人权利保护以及其他处置措施等。】</w:t>
      </w:r>
    </w:p>
    <w:p w14:paraId="0973488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p>
    <w:p w14:paraId="389BE7EF">
      <w:pPr>
        <w:keepNext w:val="0"/>
        <w:keepLines w:val="0"/>
        <w:pageBreakBefore w:val="0"/>
        <w:widowControl w:val="0"/>
        <w:kinsoku/>
        <w:wordWrap/>
        <w:overflowPunct/>
        <w:topLinePunct w:val="0"/>
        <w:bidi w:val="0"/>
        <w:adjustRightInd/>
        <w:snapToGrid/>
        <w:spacing w:before="0" w:beforeLines="0" w:beforeAutospacing="0" w:after="0" w:afterLines="0" w:afterAutospacing="0" w:line="360" w:lineRule="auto"/>
        <w:ind w:firstLine="0" w:firstLineChars="0"/>
        <w:jc w:val="left"/>
        <w:rPr>
          <w:rFonts w:hint="eastAsia" w:ascii="宋体" w:hAnsi="宋体" w:eastAsia="宋体" w:cs="宋体"/>
          <w:caps w:val="0"/>
          <w:smallCaps w:val="0"/>
          <w:color w:val="auto"/>
          <w:sz w:val="28"/>
          <w:szCs w:val="28"/>
          <w:highlight w:val="none"/>
        </w:rPr>
      </w:pPr>
      <w:r>
        <w:rPr>
          <w:rFonts w:hint="eastAsia" w:ascii="宋体" w:hAnsi="宋体" w:eastAsia="宋体" w:cs="宋体"/>
          <w:caps w:val="0"/>
          <w:smallCaps w:val="0"/>
          <w:color w:val="auto"/>
          <w:kern w:val="0"/>
          <w:highlight w:val="none"/>
        </w:rPr>
        <w:br w:type="page"/>
      </w:r>
    </w:p>
    <w:p w14:paraId="56DC0448">
      <w:pPr>
        <w:pStyle w:val="2"/>
        <w:keepNext w:val="0"/>
        <w:keepLines w:val="0"/>
        <w:pageBreakBefore w:val="0"/>
        <w:widowControl w:val="0"/>
        <w:kinsoku/>
        <w:wordWrap/>
        <w:overflowPunct/>
        <w:topLinePunct w:val="0"/>
        <w:bidi w:val="0"/>
        <w:spacing w:before="0" w:after="0" w:line="360" w:lineRule="auto"/>
        <w:rPr>
          <w:rFonts w:hint="eastAsia" w:ascii="宋体" w:hAnsi="宋体" w:eastAsia="宋体" w:cs="宋体"/>
          <w:caps w:val="0"/>
          <w:smallCaps w:val="0"/>
          <w:color w:val="auto"/>
          <w:sz w:val="28"/>
          <w:highlight w:val="none"/>
        </w:rPr>
      </w:pPr>
      <w:bookmarkStart w:id="767" w:name="_Toc1703283299"/>
      <w:r>
        <w:rPr>
          <w:rFonts w:hint="eastAsia" w:ascii="宋体" w:hAnsi="宋体" w:eastAsia="宋体" w:cs="宋体"/>
          <w:caps w:val="0"/>
          <w:smallCaps w:val="0"/>
          <w:color w:val="auto"/>
          <w:sz w:val="28"/>
          <w:highlight w:val="none"/>
        </w:rPr>
        <w:t>项目公司移交项目设施及权益</w:t>
      </w:r>
      <w:bookmarkEnd w:id="767"/>
    </w:p>
    <w:p w14:paraId="7A7D930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【说明：本章重点约定</w:t>
      </w:r>
      <w:r>
        <w:rPr>
          <w:rFonts w:hint="eastAsia" w:ascii="宋体" w:hAnsi="宋体" w:eastAsia="宋体" w:cs="宋体"/>
          <w:caps w:val="0"/>
          <w:smallCaps w:val="0"/>
          <w:color w:val="auto"/>
          <w:kern w:val="0"/>
          <w:szCs w:val="32"/>
          <w:highlight w:val="none"/>
          <w:lang w:eastAsia="zh-CN"/>
        </w:rPr>
        <w:t>项目公司</w:t>
      </w:r>
      <w:r>
        <w:rPr>
          <w:rFonts w:hint="eastAsia" w:ascii="宋体" w:hAnsi="宋体" w:eastAsia="宋体" w:cs="宋体"/>
          <w:caps w:val="0"/>
          <w:smallCaps w:val="0"/>
          <w:color w:val="auto"/>
          <w:kern w:val="0"/>
          <w:szCs w:val="32"/>
          <w:highlight w:val="none"/>
        </w:rPr>
        <w:t>向政府移交项目的过渡期、移交范围和标准、移交程序、质量保证及违约责任等。本章适用于协议约定特许经营期满后</w:t>
      </w:r>
      <w:r>
        <w:rPr>
          <w:rFonts w:hint="eastAsia" w:ascii="宋体" w:hAnsi="宋体" w:eastAsia="宋体" w:cs="宋体"/>
          <w:caps w:val="0"/>
          <w:smallCaps w:val="0"/>
          <w:color w:val="auto"/>
          <w:kern w:val="0"/>
          <w:szCs w:val="32"/>
          <w:highlight w:val="none"/>
          <w:lang w:eastAsia="zh-CN"/>
        </w:rPr>
        <w:t>或</w:t>
      </w:r>
      <w:r>
        <w:rPr>
          <w:rFonts w:hint="eastAsia" w:ascii="宋体" w:hAnsi="宋体" w:eastAsia="宋体" w:cs="宋体"/>
          <w:caps w:val="0"/>
          <w:smallCaps w:val="0"/>
          <w:color w:val="auto"/>
          <w:kern w:val="0"/>
          <w:szCs w:val="32"/>
          <w:highlight w:val="none"/>
        </w:rPr>
        <w:t>提前解除特许经营协议后，特许经营者须向政府移交项目设施的项目】</w:t>
      </w:r>
    </w:p>
    <w:p w14:paraId="78EAC8F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68" w:name="_Toc402428945"/>
      <w:bookmarkStart w:id="769" w:name="_Toc405146868"/>
      <w:bookmarkStart w:id="770" w:name="_Toc60744412"/>
      <w:r>
        <w:rPr>
          <w:rFonts w:hint="eastAsia" w:ascii="宋体" w:hAnsi="宋体" w:eastAsia="宋体" w:cs="宋体"/>
          <w:bCs/>
          <w:caps w:val="0"/>
          <w:smallCaps w:val="0"/>
          <w:color w:val="auto"/>
          <w:sz w:val="28"/>
          <w:highlight w:val="none"/>
        </w:rPr>
        <w:t>项目设施移交前过渡期</w:t>
      </w:r>
      <w:bookmarkEnd w:id="768"/>
      <w:bookmarkEnd w:id="769"/>
      <w:bookmarkEnd w:id="770"/>
    </w:p>
    <w:p w14:paraId="34DB5F7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【说明：特许经营协议应约定项目特许经营期届满前的一定时期作为过渡期，并约定过渡期安排，以保证项目顺利移交。内容一般包括：</w:t>
      </w:r>
    </w:p>
    <w:p w14:paraId="69531D6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（1）过渡期的起讫日期、工作内容和进度安排。</w:t>
      </w:r>
    </w:p>
    <w:p w14:paraId="7637B10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（2）各方责任和义务，包括移交期间对公共利益的保护。</w:t>
      </w:r>
    </w:p>
    <w:p w14:paraId="59058FB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（3）负责项目移交的工作机构和工作机制，如移交委员会的设立、移交程序、移交责任划分等。】</w:t>
      </w:r>
    </w:p>
    <w:p w14:paraId="4D53EDAC">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366B58C9">
      <w:pPr>
        <w:pStyle w:val="5"/>
        <w:keepNext w:val="0"/>
        <w:keepLines w:val="0"/>
        <w:pageBreakBefore w:val="0"/>
        <w:widowControl w:val="0"/>
        <w:numPr>
          <w:ilvl w:val="2"/>
          <w:numId w:val="10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移交委员会</w:t>
      </w:r>
    </w:p>
    <w:p w14:paraId="2438836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在特许经营协议解除【】天内或期满终止前的第【】个月，由甲方和乙方各自派员组成移交委员会并制定该委员会议事规则。移交委员会中甲</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乙双方代表人数应当相同，移交委员会主任委员由甲方人员担任。移交委员会具体负责和办理移交工作，包括组织必要的会议会谈并商定设施移交的详尽程序等。</w:t>
      </w:r>
    </w:p>
    <w:p w14:paraId="6629B8E8">
      <w:pPr>
        <w:pStyle w:val="5"/>
        <w:keepNext w:val="0"/>
        <w:keepLines w:val="0"/>
        <w:pageBreakBefore w:val="0"/>
        <w:widowControl w:val="0"/>
        <w:numPr>
          <w:ilvl w:val="2"/>
          <w:numId w:val="10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商定移交程序</w:t>
      </w:r>
    </w:p>
    <w:p w14:paraId="615882C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移交委员会应在移交日期【】个月前商定移交的项目设施、备品备件的详细清单和移交程序。</w:t>
      </w:r>
    </w:p>
    <w:p w14:paraId="3B7DA3C6">
      <w:pPr>
        <w:pStyle w:val="5"/>
        <w:keepNext w:val="0"/>
        <w:keepLines w:val="0"/>
        <w:pageBreakBefore w:val="0"/>
        <w:widowControl w:val="0"/>
        <w:numPr>
          <w:ilvl w:val="2"/>
          <w:numId w:val="104"/>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移交前恢复性大修和性能测试</w:t>
      </w:r>
    </w:p>
    <w:p w14:paraId="13A29B4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（1）移交前恢复性大修</w:t>
      </w:r>
    </w:p>
    <w:p w14:paraId="04B2D82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根据移交委员会商定的移交前最后恢复性大修计划，乙方须对项目设施进行大修，并在</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之前完成。</w:t>
      </w:r>
    </w:p>
    <w:p w14:paraId="5C7A173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（2）移交前恢复性大修应包括：【根据项目具体情况约定】</w:t>
      </w:r>
    </w:p>
    <w:p w14:paraId="2CBA7A0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（3）移交前的性能测试准备及要求：【根据项目具体情况约定】</w:t>
      </w:r>
    </w:p>
    <w:p w14:paraId="446D80EB">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71" w:name="_Toc402428946"/>
      <w:bookmarkStart w:id="772" w:name="_Toc405146869"/>
      <w:bookmarkStart w:id="773" w:name="_Toc1069600764"/>
      <w:r>
        <w:rPr>
          <w:rFonts w:hint="eastAsia" w:ascii="宋体" w:hAnsi="宋体" w:eastAsia="宋体" w:cs="宋体"/>
          <w:bCs/>
          <w:caps w:val="0"/>
          <w:smallCaps w:val="0"/>
          <w:color w:val="auto"/>
          <w:sz w:val="28"/>
          <w:highlight w:val="none"/>
        </w:rPr>
        <w:t>项目设施及权益移交</w:t>
      </w:r>
      <w:bookmarkEnd w:id="771"/>
      <w:bookmarkEnd w:id="772"/>
      <w:bookmarkEnd w:id="773"/>
    </w:p>
    <w:p w14:paraId="40CA2C4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【说明：对于特许经营期满时的项目移交，协议应约定以下事项：</w:t>
      </w:r>
    </w:p>
    <w:p w14:paraId="20D3364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（1）移交方式，明确资产所有权转移、经营权移交或其他移交方式。</w:t>
      </w:r>
    </w:p>
    <w:p w14:paraId="774E4F0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（2）移交范围，如资产、资料、产权等。</w:t>
      </w:r>
    </w:p>
    <w:p w14:paraId="0628426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（3）移交验收程序。</w:t>
      </w:r>
    </w:p>
    <w:p w14:paraId="2687267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（4）移交标准，如项目设施设备需要达到的技术状态、资产法律状态等。</w:t>
      </w:r>
    </w:p>
    <w:p w14:paraId="5F7D96D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（5）移交的责任和费用。</w:t>
      </w:r>
    </w:p>
    <w:p w14:paraId="58C5AAF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（6）移交的批准和完成确认。</w:t>
      </w:r>
    </w:p>
    <w:p w14:paraId="26BEB2F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（7）其他事项，如项目人员安置方案、项目保险的转让、承包合同和供货合同的转让、技术转让及培训要求等。】</w:t>
      </w:r>
    </w:p>
    <w:p w14:paraId="288DAD2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6F4C5B06">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移交方式</w:t>
      </w:r>
    </w:p>
    <w:p w14:paraId="29D1868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【说明：根据项目具体的合作方式，明确是有偿移交还是无偿移交，是所有权移交还是经营权移交。</w:t>
      </w:r>
      <w:bookmarkStart w:id="774" w:name="_Hlk158100768"/>
      <w:r>
        <w:rPr>
          <w:rFonts w:hint="eastAsia" w:ascii="宋体" w:hAnsi="宋体" w:eastAsia="宋体" w:cs="宋体"/>
          <w:caps w:val="0"/>
          <w:smallCaps w:val="0"/>
          <w:color w:val="auto"/>
          <w:kern w:val="0"/>
          <w:szCs w:val="32"/>
          <w:highlight w:val="none"/>
        </w:rPr>
        <w:t>采用BOT、TOT、DBFOT等方式的应为无偿移交</w:t>
      </w:r>
      <w:bookmarkEnd w:id="774"/>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采用BOOT方式的应移交资产所有权。】</w:t>
      </w:r>
    </w:p>
    <w:p w14:paraId="6D5A2ED1">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移交范围</w:t>
      </w:r>
    </w:p>
    <w:p w14:paraId="0B35B65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（1）本项目移交日为【】。在本项目移交日，乙方应向甲方或其指定单位完好移交乙方对本项目的所有资产和权益，移交范围具体见</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w:t>
      </w:r>
    </w:p>
    <w:p w14:paraId="45C7A9F6">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p>
    <w:p w14:paraId="45C15FFA">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备品备件</w:t>
      </w:r>
    </w:p>
    <w:p w14:paraId="7AF487A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在本项目移交日，乙方应向甲方或其指定单位无偿移交足够</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个月使用的消耗性备品备件和事故抢修的备品备件。所有零配件、备品备件应至少具有与乙方于交付设备时从设备制造厂商取得的备件相同的质量和标准并符合相同的技术规格要求。</w:t>
      </w:r>
    </w:p>
    <w:p w14:paraId="6DF75BA8">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保证、保险、技术的转让</w:t>
      </w:r>
    </w:p>
    <w:p w14:paraId="6FD9DE3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（1）移交时，乙方应将所移交本项目的所有项目设施的承包商、制造商和供应商提供的尚未期满的担保及保证，全部无偿转让至甲方，并负责完成相关转让手续以保证该等转让的合法性和有效性。</w:t>
      </w:r>
    </w:p>
    <w:p w14:paraId="7C3B06B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（2）移交时，乙方应将所有保险合同无偿转让至甲方。</w:t>
      </w:r>
    </w:p>
    <w:p w14:paraId="38492B6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（3）知识产权的移交。</w:t>
      </w:r>
      <w:bookmarkStart w:id="775" w:name="_Hlk162526356"/>
      <w:r>
        <w:rPr>
          <w:rFonts w:hint="eastAsia" w:ascii="宋体" w:hAnsi="宋体" w:eastAsia="宋体" w:cs="宋体"/>
          <w:caps w:val="0"/>
          <w:smallCaps w:val="0"/>
          <w:color w:val="auto"/>
          <w:kern w:val="0"/>
          <w:szCs w:val="32"/>
          <w:highlight w:val="none"/>
        </w:rPr>
        <w:t>双方应在移交日前达成协议，届时将本项目所必须使用知识产权及其他技术的所有权或使用许可移交至甲方，以确保项目正常运营</w:t>
      </w:r>
      <w:bookmarkEnd w:id="775"/>
      <w:r>
        <w:rPr>
          <w:rFonts w:hint="eastAsia" w:ascii="宋体" w:hAnsi="宋体" w:eastAsia="宋体" w:cs="宋体"/>
          <w:caps w:val="0"/>
          <w:smallCaps w:val="0"/>
          <w:color w:val="auto"/>
          <w:kern w:val="0"/>
          <w:szCs w:val="32"/>
          <w:highlight w:val="none"/>
        </w:rPr>
        <w:t>，且甲方不因此遭受权利人索赔。</w:t>
      </w:r>
    </w:p>
    <w:p w14:paraId="230C06D8">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移交验收</w:t>
      </w:r>
    </w:p>
    <w:p w14:paraId="3D58C08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在移交日，移交委员会应进行所有项目设施的移交验收。乙方有责任使测试所得各项性能参数都能符合其最后一次设备大修后的各项指标。</w:t>
      </w:r>
    </w:p>
    <w:p w14:paraId="31D92D3A">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人员和人员培训</w:t>
      </w:r>
    </w:p>
    <w:p w14:paraId="3B4325E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【根据项目具体情况约定】</w:t>
      </w:r>
    </w:p>
    <w:p w14:paraId="7F24BC52">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移交费用</w:t>
      </w:r>
    </w:p>
    <w:p w14:paraId="64977FB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除本协议另有约定外，乙方应承担向甲方移交发生的费用和支出。如果乙方未按本协议约定的范围和内容进行移交，甲方为此发生支出或遭受损失的，乙方应予以赔偿。</w:t>
      </w:r>
    </w:p>
    <w:p w14:paraId="3B438036">
      <w:pPr>
        <w:pStyle w:val="5"/>
        <w:keepNext w:val="0"/>
        <w:keepLines w:val="0"/>
        <w:pageBreakBefore w:val="0"/>
        <w:widowControl w:val="0"/>
        <w:numPr>
          <w:ilvl w:val="2"/>
          <w:numId w:val="105"/>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移交效力</w:t>
      </w:r>
    </w:p>
    <w:p w14:paraId="0E85611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（1）自移交日起，乙方在本协议项下的权益即行终止。</w:t>
      </w:r>
    </w:p>
    <w:p w14:paraId="3989BF6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（2）自移交日起，本项目的相关权益均转移至甲方。</w:t>
      </w:r>
    </w:p>
    <w:p w14:paraId="01A781B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（3）自移交日起，由甲方全面负责本项目的运营和维护。</w:t>
      </w:r>
    </w:p>
    <w:p w14:paraId="6E64ABF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（4）双方在本协议项下未履行完毕的其他权利和义务应当继续履行。</w:t>
      </w:r>
    </w:p>
    <w:p w14:paraId="371AD37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76" w:name="_Toc451258947"/>
      <w:bookmarkStart w:id="777" w:name="_Toc402428947"/>
      <w:bookmarkStart w:id="778" w:name="_Toc405146870"/>
      <w:r>
        <w:rPr>
          <w:rFonts w:hint="eastAsia" w:ascii="宋体" w:hAnsi="宋体" w:eastAsia="宋体" w:cs="宋体"/>
          <w:bCs/>
          <w:caps w:val="0"/>
          <w:smallCaps w:val="0"/>
          <w:color w:val="auto"/>
          <w:sz w:val="28"/>
          <w:highlight w:val="none"/>
        </w:rPr>
        <w:t>移交质量保证</w:t>
      </w:r>
      <w:bookmarkEnd w:id="776"/>
      <w:bookmarkEnd w:id="777"/>
      <w:bookmarkEnd w:id="778"/>
    </w:p>
    <w:p w14:paraId="03DD14D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【说明：特许经营协议应明确如下事项：</w:t>
      </w:r>
    </w:p>
    <w:p w14:paraId="5DB3547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（1）移交保证期的约定，包括移交保证期限、保证责任、保证期内各方权利义务等。</w:t>
      </w:r>
    </w:p>
    <w:p w14:paraId="18409803">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（2）移交质保金或保函的安排，可与履约保证结合考虑，包括质保金数额和形式、保证期限、移交质保金兑取条件、移交质保金的退还条件等。】</w:t>
      </w:r>
    </w:p>
    <w:p w14:paraId="1F5A67B1">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21F61640">
      <w:pPr>
        <w:pStyle w:val="5"/>
        <w:keepNext w:val="0"/>
        <w:keepLines w:val="0"/>
        <w:pageBreakBefore w:val="0"/>
        <w:widowControl w:val="0"/>
        <w:numPr>
          <w:ilvl w:val="2"/>
          <w:numId w:val="10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缺陷责任期</w:t>
      </w:r>
    </w:p>
    <w:p w14:paraId="432E0E0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移交后本项目设施的缺陷责任期为本项目移交日后【】个月。</w:t>
      </w:r>
    </w:p>
    <w:p w14:paraId="6DD1629F">
      <w:pPr>
        <w:pStyle w:val="5"/>
        <w:keepNext w:val="0"/>
        <w:keepLines w:val="0"/>
        <w:pageBreakBefore w:val="0"/>
        <w:widowControl w:val="0"/>
        <w:numPr>
          <w:ilvl w:val="2"/>
          <w:numId w:val="106"/>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bookmarkStart w:id="779" w:name="_Hlk162598558"/>
      <w:r>
        <w:rPr>
          <w:rFonts w:hint="eastAsia" w:ascii="宋体" w:hAnsi="宋体" w:eastAsia="宋体" w:cs="宋体"/>
          <w:caps w:val="0"/>
          <w:smallCaps w:val="0"/>
          <w:color w:val="auto"/>
          <w:highlight w:val="none"/>
        </w:rPr>
        <w:t>移交履约担保</w:t>
      </w:r>
    </w:p>
    <w:p w14:paraId="318D11C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【说明：移交履约担保包括移交保函等多种方式，以下暂以</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移交保函</w:t>
      </w:r>
      <w:r>
        <w:rPr>
          <w:rFonts w:hint="eastAsia" w:ascii="宋体" w:hAnsi="宋体" w:eastAsia="宋体" w:cs="宋体"/>
          <w:caps w:val="0"/>
          <w:smallCaps w:val="0"/>
          <w:color w:val="auto"/>
          <w:kern w:val="0"/>
          <w:szCs w:val="32"/>
          <w:highlight w:val="none"/>
          <w:lang w:eastAsia="zh-CN"/>
        </w:rPr>
        <w:t>”</w:t>
      </w:r>
      <w:r>
        <w:rPr>
          <w:rFonts w:hint="eastAsia" w:ascii="宋体" w:hAnsi="宋体" w:eastAsia="宋体" w:cs="宋体"/>
          <w:caps w:val="0"/>
          <w:smallCaps w:val="0"/>
          <w:color w:val="auto"/>
          <w:kern w:val="0"/>
          <w:szCs w:val="32"/>
          <w:highlight w:val="none"/>
        </w:rPr>
        <w:t>示例。】</w:t>
      </w:r>
      <w:bookmarkEnd w:id="779"/>
    </w:p>
    <w:p w14:paraId="5C4D899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（1）在本项目移交日前【】日内，乙方须按本协议的格式或甲方同意的其他格式向甲方提交一份由金融机构开具的移交履约保函，专门用以保障项目正常移交；该保函的金额为人民币【】元。</w:t>
      </w:r>
    </w:p>
    <w:p w14:paraId="38F3CDD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（2）该保函有效期须至项目移交后【】个月，移交委员会或甲方有权根据项目实际情况延长至不超过</w:t>
      </w:r>
      <w:r>
        <w:rPr>
          <w:rFonts w:hint="eastAsia" w:ascii="宋体" w:hAnsi="宋体" w:eastAsia="宋体" w:cs="宋体"/>
          <w:caps w:val="0"/>
          <w:smallCaps w:val="0"/>
          <w:color w:val="auto"/>
          <w:kern w:val="0"/>
          <w:szCs w:val="32"/>
          <w:highlight w:val="none"/>
          <w:u w:val="single"/>
        </w:rPr>
        <w:t>【】</w:t>
      </w:r>
      <w:r>
        <w:rPr>
          <w:rFonts w:hint="eastAsia" w:ascii="宋体" w:hAnsi="宋体" w:eastAsia="宋体" w:cs="宋体"/>
          <w:caps w:val="0"/>
          <w:smallCaps w:val="0"/>
          <w:color w:val="auto"/>
          <w:kern w:val="0"/>
          <w:szCs w:val="32"/>
          <w:highlight w:val="none"/>
        </w:rPr>
        <w:t>个月。该保函除本协议约定外的其他要求和兑取条件等事项由移交委员会届时确定。</w:t>
      </w:r>
    </w:p>
    <w:p w14:paraId="75FC190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（3）项目移交结束，甲方有权从保函中直接兑取因乙方违约造成的直接或间接损失所对应的金额。</w:t>
      </w:r>
    </w:p>
    <w:p w14:paraId="43309CB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80" w:name="_Toc405146871"/>
      <w:bookmarkStart w:id="781" w:name="_Toc692051698"/>
      <w:r>
        <w:rPr>
          <w:rFonts w:hint="eastAsia" w:ascii="宋体" w:hAnsi="宋体" w:eastAsia="宋体" w:cs="宋体"/>
          <w:bCs/>
          <w:caps w:val="0"/>
          <w:smallCaps w:val="0"/>
          <w:color w:val="auto"/>
          <w:sz w:val="28"/>
          <w:highlight w:val="none"/>
        </w:rPr>
        <w:t>项目设施移交违约</w:t>
      </w:r>
      <w:bookmarkEnd w:id="780"/>
      <w:r>
        <w:rPr>
          <w:rFonts w:hint="eastAsia" w:ascii="宋体" w:hAnsi="宋体" w:eastAsia="宋体" w:cs="宋体"/>
          <w:bCs/>
          <w:caps w:val="0"/>
          <w:smallCaps w:val="0"/>
          <w:color w:val="auto"/>
          <w:sz w:val="28"/>
          <w:highlight w:val="none"/>
        </w:rPr>
        <w:t>事项</w:t>
      </w:r>
      <w:bookmarkEnd w:id="781"/>
    </w:p>
    <w:p w14:paraId="3D5567B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sz w:val="28"/>
          <w:highlight w:val="none"/>
        </w:rPr>
      </w:pPr>
      <w:r>
        <w:rPr>
          <w:rFonts w:hint="eastAsia" w:ascii="宋体" w:hAnsi="宋体" w:eastAsia="宋体" w:cs="宋体"/>
          <w:caps w:val="0"/>
          <w:smallCaps w:val="0"/>
          <w:color w:val="auto"/>
          <w:kern w:val="0"/>
          <w:szCs w:val="32"/>
          <w:highlight w:val="none"/>
        </w:rPr>
        <w:t>【</w:t>
      </w:r>
      <w:r>
        <w:rPr>
          <w:rFonts w:hint="eastAsia" w:ascii="宋体" w:hAnsi="宋体" w:eastAsia="宋体" w:cs="宋体"/>
          <w:caps w:val="0"/>
          <w:smallCaps w:val="0"/>
          <w:color w:val="auto"/>
          <w:highlight w:val="none"/>
        </w:rPr>
        <w:t>双方根据项目情况具体约定。相关事项可包括如：乙方未能就所移交资产涉及的</w:t>
      </w:r>
      <w:r>
        <w:rPr>
          <w:rFonts w:hint="eastAsia" w:ascii="宋体" w:hAnsi="宋体" w:eastAsia="宋体" w:cs="宋体"/>
          <w:caps w:val="0"/>
          <w:smallCaps w:val="0"/>
          <w:color w:val="auto"/>
          <w:kern w:val="0"/>
          <w:szCs w:val="32"/>
          <w:highlight w:val="none"/>
        </w:rPr>
        <w:t>负债、违约、侵权责任、抵押、质押等担保权益、产权约束或索赔权予以</w:t>
      </w:r>
      <w:r>
        <w:rPr>
          <w:rFonts w:hint="eastAsia" w:ascii="宋体" w:hAnsi="宋体" w:eastAsia="宋体" w:cs="宋体"/>
          <w:caps w:val="0"/>
          <w:smallCaps w:val="0"/>
          <w:color w:val="auto"/>
          <w:highlight w:val="none"/>
        </w:rPr>
        <w:t>全部清偿、赔偿或解除完毕，甲方因乙方未履行保险、保证、技术转让条款而遭受索赔，在移交质量保证期出现质量问题，等。</w:t>
      </w:r>
      <w:r>
        <w:rPr>
          <w:rFonts w:hint="eastAsia" w:ascii="宋体" w:hAnsi="宋体" w:eastAsia="宋体" w:cs="宋体"/>
          <w:caps w:val="0"/>
          <w:smallCaps w:val="0"/>
          <w:color w:val="auto"/>
          <w:kern w:val="0"/>
          <w:szCs w:val="32"/>
          <w:highlight w:val="none"/>
        </w:rPr>
        <w:t>】</w:t>
      </w:r>
      <w:r>
        <w:rPr>
          <w:rFonts w:hint="eastAsia" w:ascii="宋体" w:hAnsi="宋体" w:eastAsia="宋体" w:cs="宋体"/>
          <w:caps w:val="0"/>
          <w:smallCaps w:val="0"/>
          <w:color w:val="auto"/>
          <w:kern w:val="0"/>
          <w:szCs w:val="32"/>
          <w:highlight w:val="none"/>
        </w:rPr>
        <w:br w:type="page"/>
      </w:r>
      <w:bookmarkStart w:id="782" w:name="_Toc677359527"/>
      <w:r>
        <w:rPr>
          <w:rFonts w:hint="eastAsia" w:ascii="宋体" w:hAnsi="宋体" w:eastAsia="宋体" w:cs="宋体"/>
          <w:caps w:val="0"/>
          <w:smallCaps w:val="0"/>
          <w:color w:val="auto"/>
          <w:sz w:val="28"/>
          <w:highlight w:val="none"/>
        </w:rPr>
        <w:t>违约责任</w:t>
      </w:r>
      <w:bookmarkEnd w:id="782"/>
    </w:p>
    <w:p w14:paraId="1751E4A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【说明：其他章节关于违约的未约定事项，在本章中予以约定；也可将关于违约的各种约定情形和责任承担处理措施在本章集中明确。示例如下：】</w:t>
      </w:r>
    </w:p>
    <w:p w14:paraId="34E1199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83" w:name="_Toc168265904"/>
      <w:bookmarkStart w:id="784" w:name="_Toc402428977"/>
      <w:bookmarkStart w:id="785" w:name="_Toc405146891"/>
      <w:r>
        <w:rPr>
          <w:rFonts w:hint="eastAsia" w:ascii="宋体" w:hAnsi="宋体" w:eastAsia="宋体" w:cs="宋体"/>
          <w:bCs/>
          <w:caps w:val="0"/>
          <w:smallCaps w:val="0"/>
          <w:color w:val="auto"/>
          <w:sz w:val="28"/>
          <w:highlight w:val="none"/>
        </w:rPr>
        <w:t>违约</w:t>
      </w:r>
      <w:bookmarkEnd w:id="783"/>
      <w:bookmarkEnd w:id="784"/>
      <w:bookmarkEnd w:id="785"/>
    </w:p>
    <w:p w14:paraId="79FA301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【说明：如双方根据实际情况认为有必要约定违约的定义或例外，则可以专门约定本条款。如认为无必要另行约定，也可删除本条。】</w:t>
      </w:r>
    </w:p>
    <w:p w14:paraId="14D6536B">
      <w:pPr>
        <w:keepNext w:val="0"/>
        <w:keepLines w:val="0"/>
        <w:pageBreakBefore w:val="0"/>
        <w:widowControl w:val="0"/>
        <w:numPr>
          <w:ilvl w:val="0"/>
          <w:numId w:val="107"/>
        </w:numPr>
        <w:tabs>
          <w:tab w:val="left" w:pos="142"/>
        </w:tabs>
        <w:kinsoku/>
        <w:wordWrap/>
        <w:overflowPunct/>
        <w:topLinePunct w:val="0"/>
        <w:autoSpaceDE w:val="0"/>
        <w:autoSpaceDN w:val="0"/>
        <w:bidi w:val="0"/>
        <w:spacing w:before="0" w:beforeLines="0" w:after="0" w:afterLines="0" w:line="360" w:lineRule="auto"/>
        <w:ind w:left="0" w:firstLine="560" w:firstLineChars="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除非法律、行政法规另有规定或本协议另有约定，本协议任何一方不履行本协议义务或履行本协议义务不符合约定的，即构成违约并应承担违约责任，但履行本协议不符合约定系由对方违约的结果自然造成或因对方违约而己方无法控制或无法避免地造成的除外。</w:t>
      </w:r>
    </w:p>
    <w:p w14:paraId="22FFBB64">
      <w:pPr>
        <w:keepNext w:val="0"/>
        <w:keepLines w:val="0"/>
        <w:pageBreakBefore w:val="0"/>
        <w:widowControl w:val="0"/>
        <w:numPr>
          <w:ilvl w:val="0"/>
          <w:numId w:val="107"/>
        </w:numPr>
        <w:tabs>
          <w:tab w:val="left" w:pos="142"/>
        </w:tabs>
        <w:kinsoku/>
        <w:wordWrap/>
        <w:overflowPunct/>
        <w:topLinePunct w:val="0"/>
        <w:autoSpaceDE w:val="0"/>
        <w:autoSpaceDN w:val="0"/>
        <w:bidi w:val="0"/>
        <w:spacing w:before="0" w:beforeLines="0" w:after="0" w:afterLines="0" w:line="360" w:lineRule="auto"/>
        <w:ind w:left="0" w:firstLine="560" w:firstLineChars="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协议任何一方出现违约情形的，守约方有权向违约方发出书面改正通知，要求违约方在收到通知后【】日内改正其违约行为，承担继续履行、采取补救措施或者赔偿损失等违约责任。</w:t>
      </w:r>
    </w:p>
    <w:p w14:paraId="36B601D5">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86" w:name="_Toc405146892"/>
      <w:bookmarkStart w:id="787" w:name="_Toc67666035"/>
      <w:r>
        <w:rPr>
          <w:rFonts w:hint="eastAsia" w:ascii="宋体" w:hAnsi="宋体" w:eastAsia="宋体" w:cs="宋体"/>
          <w:bCs/>
          <w:caps w:val="0"/>
          <w:smallCaps w:val="0"/>
          <w:color w:val="auto"/>
          <w:sz w:val="28"/>
          <w:highlight w:val="none"/>
        </w:rPr>
        <w:t>违约责任</w:t>
      </w:r>
      <w:bookmarkEnd w:id="786"/>
      <w:bookmarkEnd w:id="787"/>
    </w:p>
    <w:p w14:paraId="46B64A5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特许经营协议应明确违约责任的承担方式，如违约金、延长特许经营期、赔偿损失及其他补救措施等。确定违约责任时，应同时考虑违约方的过错程度、过错相抵原则、减损原则、对等原则、公平原则等。违约责任中，应明确排除间接损失、商誉损失并设定双方的责任上限。政府方违约导致的违约责任，优先选用延长特许经营期等方式进行补偿。】</w:t>
      </w:r>
    </w:p>
    <w:p w14:paraId="64565432">
      <w:pPr>
        <w:pStyle w:val="5"/>
        <w:keepNext w:val="0"/>
        <w:keepLines w:val="0"/>
        <w:pageBreakBefore w:val="0"/>
        <w:widowControl w:val="0"/>
        <w:numPr>
          <w:ilvl w:val="2"/>
          <w:numId w:val="10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甲方的违约责任</w:t>
      </w:r>
    </w:p>
    <w:p w14:paraId="45C20234">
      <w:pPr>
        <w:keepNext w:val="0"/>
        <w:keepLines w:val="0"/>
        <w:pageBreakBefore w:val="0"/>
        <w:widowControl w:val="0"/>
        <w:numPr>
          <w:ilvl w:val="0"/>
          <w:numId w:val="10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甲方违约导致乙方未能按照双方约定进度计划完</w:t>
      </w:r>
      <w:r>
        <w:rPr>
          <w:rFonts w:hint="eastAsia" w:ascii="宋体" w:hAnsi="宋体" w:eastAsia="宋体" w:cs="宋体"/>
          <w:caps w:val="0"/>
          <w:smallCaps w:val="0"/>
          <w:color w:val="auto"/>
          <w:kern w:val="0"/>
          <w:highlight w:val="none"/>
          <w:lang w:val="en-US" w:eastAsia="zh-CN"/>
        </w:rPr>
        <w:t>工</w:t>
      </w:r>
      <w:r>
        <w:rPr>
          <w:rFonts w:hint="eastAsia" w:ascii="宋体" w:hAnsi="宋体" w:eastAsia="宋体" w:cs="宋体"/>
          <w:caps w:val="0"/>
          <w:smallCaps w:val="0"/>
          <w:color w:val="auto"/>
          <w:kern w:val="0"/>
          <w:highlight w:val="none"/>
        </w:rPr>
        <w:t>的，就此等迟延期间，应当相应延长乙方特许经营期期限。</w:t>
      </w:r>
    </w:p>
    <w:p w14:paraId="000126E6">
      <w:pPr>
        <w:keepNext w:val="0"/>
        <w:keepLines w:val="0"/>
        <w:pageBreakBefore w:val="0"/>
        <w:widowControl w:val="0"/>
        <w:numPr>
          <w:ilvl w:val="0"/>
          <w:numId w:val="10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甲方或</w:t>
      </w:r>
      <w:r>
        <w:rPr>
          <w:rFonts w:hint="eastAsia" w:ascii="宋体" w:hAnsi="宋体" w:eastAsia="宋体" w:cs="宋体"/>
          <w:bCs/>
          <w:caps w:val="0"/>
          <w:smallCaps w:val="0"/>
          <w:color w:val="auto"/>
          <w:highlight w:val="none"/>
        </w:rPr>
        <w:t>甲方</w:t>
      </w:r>
      <w:r>
        <w:rPr>
          <w:rFonts w:hint="eastAsia" w:ascii="宋体" w:hAnsi="宋体" w:eastAsia="宋体" w:cs="宋体"/>
          <w:caps w:val="0"/>
          <w:smallCaps w:val="0"/>
          <w:color w:val="auto"/>
          <w:kern w:val="0"/>
          <w:highlight w:val="none"/>
        </w:rPr>
        <w:t>指定承担本协议下资金支付或缴付义务的主体迟延履行资金支付或缴付义务且未能在【】日的纠正期内纠正的，如乙方未能证明其实际损失，则甲方应当自前述纠正期届满次日起就迟延支付或缴付的部分按照全国银行间同业拆借中心公布的同期贷款市场报价利率对乙方承担违约责任。</w:t>
      </w:r>
    </w:p>
    <w:p w14:paraId="5F649B55">
      <w:pPr>
        <w:keepNext w:val="0"/>
        <w:keepLines w:val="0"/>
        <w:pageBreakBefore w:val="0"/>
        <w:widowControl w:val="0"/>
        <w:numPr>
          <w:ilvl w:val="0"/>
          <w:numId w:val="109"/>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甲方存在其他违约责任约定【】。【包括如甲方提供前期资料存在故意或重大过失，单方面变更项目建设范围，未促使政府方按约定时间完成项目用地或用地配套设施交付，怠于为项目提供约定的协调协助义务，未能促使政府方依法维持审批文件的有效性，违反约定不能提供承诺的相关支持条件（如投资支持等），未能按约定保障项目独立正常地进行建设、运营和维护等，应依法承担违约责任。】</w:t>
      </w:r>
    </w:p>
    <w:p w14:paraId="288D9065">
      <w:pPr>
        <w:pStyle w:val="5"/>
        <w:keepNext w:val="0"/>
        <w:keepLines w:val="0"/>
        <w:pageBreakBefore w:val="0"/>
        <w:widowControl w:val="0"/>
        <w:numPr>
          <w:ilvl w:val="2"/>
          <w:numId w:val="10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乙方的违约责任</w:t>
      </w:r>
    </w:p>
    <w:p w14:paraId="23FD98CA">
      <w:pPr>
        <w:keepNext w:val="0"/>
        <w:keepLines w:val="0"/>
        <w:pageBreakBefore w:val="0"/>
        <w:widowControl w:val="0"/>
        <w:numPr>
          <w:ilvl w:val="0"/>
          <w:numId w:val="11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乙方违反本协议下列条款的约定，且未能在甲方通知的合理纠正期内纠正的，应当向甲方支付相应的违约金：【具体列示乙方的违约事项或违反的条款</w:t>
      </w:r>
      <w:r>
        <w:rPr>
          <w:rFonts w:hint="eastAsia" w:ascii="宋体" w:hAnsi="宋体" w:eastAsia="宋体" w:cs="宋体"/>
          <w:bCs/>
          <w:caps w:val="0"/>
          <w:smallCaps w:val="0"/>
          <w:color w:val="auto"/>
          <w:highlight w:val="none"/>
        </w:rPr>
        <w:t>编号</w:t>
      </w:r>
      <w:r>
        <w:rPr>
          <w:rFonts w:hint="eastAsia" w:ascii="宋体" w:hAnsi="宋体" w:eastAsia="宋体" w:cs="宋体"/>
          <w:caps w:val="0"/>
          <w:smallCaps w:val="0"/>
          <w:color w:val="auto"/>
          <w:kern w:val="0"/>
          <w:highlight w:val="none"/>
        </w:rPr>
        <w:t>、应承担的违约金数额或其计算方法等】。</w:t>
      </w:r>
    </w:p>
    <w:p w14:paraId="1AE494F8">
      <w:pPr>
        <w:keepNext w:val="0"/>
        <w:keepLines w:val="0"/>
        <w:pageBreakBefore w:val="0"/>
        <w:widowControl w:val="0"/>
        <w:numPr>
          <w:ilvl w:val="0"/>
          <w:numId w:val="11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其他情形处理约定：【双方具体约定，例如对未列入上述列表的特定违约事项约定违约责任承担方式等】。</w:t>
      </w:r>
    </w:p>
    <w:p w14:paraId="6A5A78EF">
      <w:pPr>
        <w:keepNext w:val="0"/>
        <w:keepLines w:val="0"/>
        <w:pageBreakBefore w:val="0"/>
        <w:widowControl w:val="0"/>
        <w:numPr>
          <w:ilvl w:val="0"/>
          <w:numId w:val="11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尽管有前述关于纠正期的约定，如果根据法律、司法解释和人民法院应予遵循的审判规则违约一方应当享有更长纠正期的，则应给予违约一方该等更长的纠正期。</w:t>
      </w:r>
    </w:p>
    <w:p w14:paraId="4013F0FE">
      <w:pPr>
        <w:keepNext w:val="0"/>
        <w:keepLines w:val="0"/>
        <w:pageBreakBefore w:val="0"/>
        <w:widowControl w:val="0"/>
        <w:numPr>
          <w:ilvl w:val="0"/>
          <w:numId w:val="110"/>
        </w:numPr>
        <w:tabs>
          <w:tab w:val="left" w:pos="993"/>
          <w:tab w:val="left" w:pos="1134"/>
        </w:tabs>
        <w:kinsoku/>
        <w:wordWrap/>
        <w:overflowPunct/>
        <w:topLinePunct w:val="0"/>
        <w:bidi w:val="0"/>
        <w:spacing w:before="0" w:beforeLines="0" w:after="0" w:afterLines="0" w:line="360" w:lineRule="auto"/>
        <w:ind w:firstLineChars="0"/>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对于乙方违约情形未约定违约责任的，乙方应依法承担违约责任，但政府方就该等未约定违约责任的情形对乙方依法实施了行政处罚的除外。</w:t>
      </w:r>
    </w:p>
    <w:p w14:paraId="599777F5">
      <w:pPr>
        <w:pStyle w:val="5"/>
        <w:keepNext w:val="0"/>
        <w:keepLines w:val="0"/>
        <w:pageBreakBefore w:val="0"/>
        <w:widowControl w:val="0"/>
        <w:numPr>
          <w:ilvl w:val="2"/>
          <w:numId w:val="10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间接损失不赔</w:t>
      </w:r>
    </w:p>
    <w:p w14:paraId="293B2322">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在任何情况下，各方仅对对方的直接损失承担违约责任，而不对根据本协议产生的或与其相关的任何违约情形而导致对方的任何间接的、商誉的、附带的、从属的或惩罚性的损失负赔偿责任，但法律和行政法规另有规定的除外。</w:t>
      </w:r>
    </w:p>
    <w:p w14:paraId="4DEA1F50">
      <w:pPr>
        <w:pStyle w:val="5"/>
        <w:keepNext w:val="0"/>
        <w:keepLines w:val="0"/>
        <w:pageBreakBefore w:val="0"/>
        <w:widowControl w:val="0"/>
        <w:numPr>
          <w:ilvl w:val="2"/>
          <w:numId w:val="108"/>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责任上限</w:t>
      </w:r>
    </w:p>
    <w:p w14:paraId="43814FDA">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除非本协议另有约定，乙方对甲方的违约金总额不应超过乙方通过项目运营已经实际收取到的项目收入的【】%或乙方向甲方递交的履约保函金额（以孰高者为准）。</w:t>
      </w:r>
    </w:p>
    <w:p w14:paraId="017E55A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br w:type="page"/>
      </w:r>
    </w:p>
    <w:p w14:paraId="46ED4702">
      <w:pPr>
        <w:pStyle w:val="2"/>
        <w:keepNext w:val="0"/>
        <w:keepLines w:val="0"/>
        <w:pageBreakBefore w:val="0"/>
        <w:widowControl w:val="0"/>
        <w:kinsoku/>
        <w:wordWrap/>
        <w:overflowPunct/>
        <w:topLinePunct w:val="0"/>
        <w:bidi w:val="0"/>
        <w:spacing w:before="0" w:after="0" w:line="360" w:lineRule="auto"/>
        <w:jc w:val="center"/>
        <w:rPr>
          <w:rFonts w:hint="eastAsia" w:ascii="宋体" w:hAnsi="宋体" w:eastAsia="宋体" w:cs="宋体"/>
          <w:caps w:val="0"/>
          <w:smallCaps w:val="0"/>
          <w:color w:val="auto"/>
          <w:sz w:val="28"/>
          <w:highlight w:val="none"/>
        </w:rPr>
      </w:pPr>
      <w:bookmarkStart w:id="788" w:name="_Toc182571816"/>
      <w:r>
        <w:rPr>
          <w:rFonts w:hint="eastAsia" w:ascii="宋体" w:hAnsi="宋体" w:eastAsia="宋体" w:cs="宋体"/>
          <w:caps w:val="0"/>
          <w:smallCaps w:val="0"/>
          <w:color w:val="auto"/>
          <w:sz w:val="28"/>
          <w:highlight w:val="none"/>
        </w:rPr>
        <w:t>争议解决</w:t>
      </w:r>
      <w:bookmarkEnd w:id="788"/>
    </w:p>
    <w:p w14:paraId="77D796A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【说明：本章重点约定争议解决方式。示例如下：】</w:t>
      </w:r>
    </w:p>
    <w:p w14:paraId="22571A4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789" w:name="_Toc1133923870"/>
      <w:bookmarkStart w:id="790" w:name="_Toc405146895"/>
      <w:bookmarkStart w:id="791" w:name="_Toc402428981"/>
      <w:r>
        <w:rPr>
          <w:rFonts w:hint="eastAsia" w:ascii="宋体" w:hAnsi="宋体" w:eastAsia="宋体" w:cs="宋体"/>
          <w:bCs/>
          <w:caps w:val="0"/>
          <w:smallCaps w:val="0"/>
          <w:color w:val="auto"/>
          <w:sz w:val="28"/>
          <w:highlight w:val="none"/>
        </w:rPr>
        <w:t>争议解决方式</w:t>
      </w:r>
      <w:bookmarkEnd w:id="789"/>
      <w:bookmarkEnd w:id="790"/>
      <w:bookmarkEnd w:id="791"/>
    </w:p>
    <w:p w14:paraId="2FB77F2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bookmarkStart w:id="792" w:name="_Toc149470843"/>
      <w:bookmarkStart w:id="793" w:name="_Toc402428982"/>
      <w:bookmarkStart w:id="794" w:name="_Toc405146896"/>
      <w:r>
        <w:rPr>
          <w:rFonts w:hint="eastAsia" w:ascii="宋体" w:hAnsi="宋体" w:eastAsia="宋体" w:cs="宋体"/>
          <w:caps w:val="0"/>
          <w:smallCaps w:val="0"/>
          <w:color w:val="auto"/>
          <w:kern w:val="0"/>
          <w:highlight w:val="none"/>
        </w:rPr>
        <w:t>【说明：当事人可根据争议性质，依法依规申请仲裁、申请行政复议或提起行政、民事诉讼。当事人应根据协议签署时的法律选择可行的争议解决方式并经咨询律师专业意见后协商确定。如届时法律允许将本协议的争议提交仲裁机构，则当事人可根据届时的法律约定仲裁条款通过仲裁方式解决争议，而非当然选择本章示例的诉讼方式。选择仲裁作为争议解决方式的，不得再将争议通过诉讼解决。此外，如涉及到外国投资者与政府方的争议，当事人可以依据相关双边投资协定约定投资仲裁条款，但仲裁条款应遵守该等双边投资协议中关于可仲裁事项、投资仲裁程序以及岔路口条款的限制。】</w:t>
      </w:r>
    </w:p>
    <w:p w14:paraId="140EFA0E">
      <w:pPr>
        <w:pStyle w:val="5"/>
        <w:keepNext w:val="0"/>
        <w:keepLines w:val="0"/>
        <w:pageBreakBefore w:val="0"/>
        <w:widowControl w:val="0"/>
        <w:numPr>
          <w:ilvl w:val="2"/>
          <w:numId w:val="11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协商解决分歧</w:t>
      </w:r>
      <w:bookmarkEnd w:id="792"/>
    </w:p>
    <w:p w14:paraId="1810EE0E">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highlight w:val="none"/>
        </w:rPr>
      </w:pPr>
      <w:r>
        <w:rPr>
          <w:rFonts w:hint="eastAsia" w:ascii="宋体" w:hAnsi="宋体" w:eastAsia="宋体" w:cs="宋体"/>
          <w:caps w:val="0"/>
          <w:smallCaps w:val="0"/>
          <w:color w:val="auto"/>
          <w:kern w:val="0"/>
          <w:highlight w:val="none"/>
        </w:rPr>
        <w:t>若甲</w:t>
      </w:r>
      <w:r>
        <w:rPr>
          <w:rFonts w:hint="eastAsia" w:ascii="宋体" w:hAnsi="宋体" w:eastAsia="宋体" w:cs="宋体"/>
          <w:caps w:val="0"/>
          <w:smallCaps w:val="0"/>
          <w:color w:val="auto"/>
          <w:kern w:val="0"/>
          <w:highlight w:val="none"/>
          <w:lang w:eastAsia="zh-CN"/>
        </w:rPr>
        <w:t>、</w:t>
      </w:r>
      <w:r>
        <w:rPr>
          <w:rFonts w:hint="eastAsia" w:ascii="宋体" w:hAnsi="宋体" w:eastAsia="宋体" w:cs="宋体"/>
          <w:caps w:val="0"/>
          <w:smallCaps w:val="0"/>
          <w:color w:val="auto"/>
          <w:kern w:val="0"/>
          <w:highlight w:val="none"/>
        </w:rPr>
        <w:t>乙双方对于由于本协议条款引起或与本协议有关的条款的解释，包括关于其存在、有效或终止的任何问题产生任何争议，应尽力通过友好协商解决、调解等形式解决该等争议。</w:t>
      </w:r>
    </w:p>
    <w:p w14:paraId="5DD1FCED">
      <w:pPr>
        <w:pStyle w:val="5"/>
        <w:keepNext w:val="0"/>
        <w:keepLines w:val="0"/>
        <w:pageBreakBefore w:val="0"/>
        <w:widowControl w:val="0"/>
        <w:numPr>
          <w:ilvl w:val="2"/>
          <w:numId w:val="111"/>
        </w:numPr>
        <w:tabs>
          <w:tab w:val="left" w:pos="993"/>
        </w:tabs>
        <w:kinsoku/>
        <w:wordWrap/>
        <w:overflowPunct/>
        <w:topLinePunct w:val="0"/>
        <w:bidi w:val="0"/>
        <w:spacing w:before="0" w:beforeLines="0" w:after="0" w:afterLines="0" w:line="360" w:lineRule="auto"/>
        <w:rPr>
          <w:rFonts w:hint="eastAsia" w:ascii="宋体" w:hAnsi="宋体" w:eastAsia="宋体" w:cs="宋体"/>
          <w:caps w:val="0"/>
          <w:smallCaps w:val="0"/>
          <w:color w:val="auto"/>
          <w:highlight w:val="none"/>
        </w:rPr>
      </w:pPr>
      <w:bookmarkStart w:id="795" w:name="_bookmark195"/>
      <w:bookmarkEnd w:id="795"/>
      <w:bookmarkStart w:id="796" w:name="_bookmark175"/>
      <w:bookmarkEnd w:id="796"/>
      <w:r>
        <w:rPr>
          <w:rFonts w:hint="eastAsia" w:ascii="宋体" w:hAnsi="宋体" w:eastAsia="宋体" w:cs="宋体"/>
          <w:caps w:val="0"/>
          <w:smallCaps w:val="0"/>
          <w:color w:val="auto"/>
          <w:highlight w:val="none"/>
        </w:rPr>
        <w:t>争议解决方式</w:t>
      </w:r>
    </w:p>
    <w:p w14:paraId="6E7F972A">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kern w:val="0"/>
          <w:highlight w:val="none"/>
        </w:rPr>
        <w:t>除本协议另有规定，若在尝试友好协商解决后【】日内该争议未能得到友好协商解决，则除依法依规提起行政复议外，本协议各方可依法将争议提交有管辖权的人民法院进行诉讼。但对于因甲方不履行本协议约定的金钱支付义务或履行该等金钱支付义务不符合约定引起的民商事性质争议，争议应当被提交【（***）有管辖权的人民法院进行诉讼】/【（填入仲裁机构名称）仲裁委员会根据该会届时有效的仲裁规则进行仲裁】</w:t>
      </w:r>
      <w:r>
        <w:rPr>
          <w:rFonts w:hint="eastAsia" w:ascii="宋体" w:hAnsi="宋体" w:eastAsia="宋体" w:cs="宋体"/>
          <w:caps w:val="0"/>
          <w:smallCaps w:val="0"/>
          <w:color w:val="auto"/>
          <w:highlight w:val="none"/>
        </w:rPr>
        <w:t>。</w:t>
      </w:r>
    </w:p>
    <w:p w14:paraId="23586F15">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尽管有前述约定，本协议各方特别确认前述争议解决条款仅适用于本协议下的争议，而不能自动适用于与履行本项目相关的其他协议。</w:t>
      </w:r>
    </w:p>
    <w:p w14:paraId="4CF66D86">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hint="eastAsia" w:ascii="宋体" w:hAnsi="宋体" w:eastAsia="宋体" w:cs="宋体"/>
          <w:caps w:val="0"/>
          <w:smallCaps w:val="0"/>
          <w:color w:val="auto"/>
          <w:highlight w:val="none"/>
        </w:rPr>
      </w:pPr>
      <w:r>
        <w:rPr>
          <w:rFonts w:hint="eastAsia" w:ascii="宋体" w:hAnsi="宋体" w:eastAsia="宋体" w:cs="宋体"/>
          <w:caps w:val="0"/>
          <w:smallCaps w:val="0"/>
          <w:color w:val="auto"/>
          <w:highlight w:val="none"/>
        </w:rPr>
        <w:t>本条约定不得减损外国投资者根据其本国与中国之间有效的投资协定将相关争端提交国际投资仲裁程序的权利。</w:t>
      </w:r>
    </w:p>
    <w:p w14:paraId="35499FD6">
      <w:pPr>
        <w:pStyle w:val="3"/>
        <w:keepNext w:val="0"/>
        <w:keepLines w:val="0"/>
        <w:pageBreakBefore w:val="0"/>
        <w:widowControl w:val="0"/>
        <w:tabs>
          <w:tab w:val="left" w:pos="993"/>
        </w:tabs>
        <w:kinsoku/>
        <w:wordWrap/>
        <w:overflowPunct/>
        <w:topLinePunct w:val="0"/>
        <w:bidi w:val="0"/>
        <w:spacing w:before="0" w:beforeLines="0" w:beforeAutospacing="0" w:after="0" w:afterLines="0" w:afterAutospacing="0" w:line="360" w:lineRule="auto"/>
        <w:ind w:firstLine="480" w:firstLineChars="200"/>
        <w:rPr>
          <w:rFonts w:hint="eastAsia" w:ascii="宋体" w:hAnsi="宋体" w:eastAsia="宋体" w:cs="宋体"/>
          <w:caps w:val="0"/>
          <w:smallCaps w:val="0"/>
          <w:color w:val="auto"/>
          <w:highlight w:val="none"/>
        </w:rPr>
      </w:pPr>
      <w:bookmarkStart w:id="797" w:name="_Toc121532250"/>
      <w:r>
        <w:rPr>
          <w:rFonts w:hint="eastAsia" w:ascii="宋体" w:hAnsi="宋体" w:eastAsia="宋体" w:cs="宋体"/>
          <w:caps w:val="0"/>
          <w:smallCaps w:val="0"/>
          <w:color w:val="auto"/>
          <w:highlight w:val="none"/>
        </w:rPr>
        <w:t>争议期间的协议履行</w:t>
      </w:r>
      <w:bookmarkEnd w:id="793"/>
      <w:bookmarkEnd w:id="794"/>
      <w:bookmarkEnd w:id="797"/>
    </w:p>
    <w:p w14:paraId="238F6FB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highlight w:val="none"/>
        </w:rPr>
        <w:t>争议解决期间协议各方对协议无争议的部分应继续履行；除适用法律规定或另有约定外，任何一方不得以发生争议为由，停止项目运营服务、停止支付费用、停止项目运营支持服务或采取其他影响公共利益的措施。</w:t>
      </w:r>
    </w:p>
    <w:p w14:paraId="60F1F586">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hint="eastAsia" w:ascii="宋体" w:hAnsi="宋体" w:eastAsia="宋体" w:cs="宋体"/>
          <w:caps w:val="0"/>
          <w:smallCaps w:val="0"/>
          <w:color w:val="auto"/>
          <w:sz w:val="28"/>
          <w:highlight w:val="none"/>
        </w:rPr>
      </w:pPr>
      <w:r>
        <w:rPr>
          <w:rFonts w:hint="eastAsia" w:ascii="宋体" w:hAnsi="宋体" w:eastAsia="宋体" w:cs="宋体"/>
          <w:caps w:val="0"/>
          <w:smallCaps w:val="0"/>
          <w:color w:val="auto"/>
          <w:szCs w:val="32"/>
          <w:highlight w:val="none"/>
        </w:rPr>
        <w:br w:type="page"/>
      </w:r>
      <w:bookmarkStart w:id="798" w:name="_Toc405146897"/>
      <w:bookmarkStart w:id="799" w:name="_Toc402355505"/>
      <w:bookmarkStart w:id="800" w:name="_Toc402347775"/>
      <w:bookmarkStart w:id="801" w:name="_Toc402428984"/>
      <w:bookmarkStart w:id="802" w:name="_Toc1868791831"/>
      <w:r>
        <w:rPr>
          <w:rFonts w:hint="eastAsia" w:ascii="宋体" w:hAnsi="宋体" w:eastAsia="宋体" w:cs="宋体"/>
          <w:caps w:val="0"/>
          <w:smallCaps w:val="0"/>
          <w:color w:val="auto"/>
          <w:sz w:val="28"/>
          <w:highlight w:val="none"/>
        </w:rPr>
        <w:t>其他约定</w:t>
      </w:r>
      <w:bookmarkEnd w:id="798"/>
      <w:bookmarkEnd w:id="799"/>
      <w:bookmarkEnd w:id="800"/>
      <w:bookmarkEnd w:id="801"/>
      <w:bookmarkEnd w:id="802"/>
    </w:p>
    <w:p w14:paraId="19986D4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【说明：本章约定特许经营协议的其他未尽事项。】</w:t>
      </w:r>
    </w:p>
    <w:p w14:paraId="38A51D54">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03" w:name="_Toc310280462"/>
      <w:bookmarkStart w:id="804" w:name="_Toc405146898"/>
      <w:r>
        <w:rPr>
          <w:rFonts w:hint="eastAsia" w:ascii="宋体" w:hAnsi="宋体" w:eastAsia="宋体" w:cs="宋体"/>
          <w:bCs/>
          <w:caps w:val="0"/>
          <w:smallCaps w:val="0"/>
          <w:color w:val="auto"/>
          <w:sz w:val="28"/>
          <w:highlight w:val="none"/>
        </w:rPr>
        <w:t>协议变更与修订</w:t>
      </w:r>
      <w:bookmarkEnd w:id="803"/>
      <w:bookmarkEnd w:id="804"/>
    </w:p>
    <w:p w14:paraId="638108C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【说明：可对特许经营协议变更的触发条件、变更程序、处理方法等进行约定。特许经营协议的变更与修订、补充应以书面形式作出。】</w:t>
      </w:r>
    </w:p>
    <w:p w14:paraId="0E2FD15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584D25A1">
      <w:pPr>
        <w:keepNext w:val="0"/>
        <w:keepLines w:val="0"/>
        <w:pageBreakBefore w:val="0"/>
        <w:widowControl w:val="0"/>
        <w:numPr>
          <w:ilvl w:val="0"/>
          <w:numId w:val="112"/>
        </w:numPr>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本协议任何修改、补充或变更只能以书面形式并由双方法定代表人或各自正式授权的代表签名并加盖公章后方可生效并</w:t>
      </w:r>
      <w:r>
        <w:rPr>
          <w:rFonts w:hint="eastAsia" w:ascii="宋体" w:hAnsi="宋体" w:eastAsia="宋体" w:cs="宋体"/>
          <w:caps w:val="0"/>
          <w:smallCaps w:val="0"/>
          <w:color w:val="auto"/>
          <w:kern w:val="0"/>
          <w:szCs w:val="32"/>
          <w:highlight w:val="none"/>
          <w:lang w:eastAsia="zh-CN"/>
        </w:rPr>
        <w:t>具有</w:t>
      </w:r>
      <w:r>
        <w:rPr>
          <w:rFonts w:hint="eastAsia" w:ascii="宋体" w:hAnsi="宋体" w:eastAsia="宋体" w:cs="宋体"/>
          <w:caps w:val="0"/>
          <w:smallCaps w:val="0"/>
          <w:color w:val="auto"/>
          <w:kern w:val="0"/>
          <w:szCs w:val="32"/>
          <w:highlight w:val="none"/>
        </w:rPr>
        <w:t>约束力。</w:t>
      </w:r>
    </w:p>
    <w:p w14:paraId="7CB93710">
      <w:pPr>
        <w:keepNext w:val="0"/>
        <w:keepLines w:val="0"/>
        <w:pageBreakBefore w:val="0"/>
        <w:widowControl w:val="0"/>
        <w:numPr>
          <w:ilvl w:val="0"/>
          <w:numId w:val="112"/>
        </w:numPr>
        <w:tabs>
          <w:tab w:val="left" w:pos="142"/>
        </w:tabs>
        <w:kinsoku/>
        <w:wordWrap/>
        <w:overflowPunct/>
        <w:topLinePunct w:val="0"/>
        <w:autoSpaceDE w:val="0"/>
        <w:autoSpaceDN w:val="0"/>
        <w:bidi w:val="0"/>
        <w:spacing w:before="0" w:beforeLines="0" w:beforeAutospacing="0" w:after="0" w:afterLines="0" w:afterAutospacing="0" w:line="360" w:lineRule="auto"/>
        <w:ind w:left="0" w:leftChars="0" w:firstLine="440" w:firstLineChars="20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本协议履行期间，根据届时有效的相关法律，属于强制性约定且与本协议现有约定相冲突的，甲方和乙方应对本协议的相应部分进行修改、补充或变更。甲方和乙方确认的对本协议的有效的修改、补充或变更的书面文件或书面材料，均与本协议具有同等法律效力。如其内容与本协议存在冲突或矛盾的部分，以修改、补充或变更的内容为准。</w:t>
      </w:r>
    </w:p>
    <w:p w14:paraId="2CE3E7FA">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05" w:name="_Toc1059819783"/>
      <w:bookmarkStart w:id="806" w:name="_Toc405146900"/>
      <w:r>
        <w:rPr>
          <w:rFonts w:hint="eastAsia" w:ascii="宋体" w:hAnsi="宋体" w:eastAsia="宋体" w:cs="宋体"/>
          <w:bCs/>
          <w:caps w:val="0"/>
          <w:smallCaps w:val="0"/>
          <w:color w:val="auto"/>
          <w:sz w:val="28"/>
          <w:highlight w:val="none"/>
        </w:rPr>
        <w:t>保密</w:t>
      </w:r>
      <w:bookmarkEnd w:id="805"/>
      <w:bookmarkEnd w:id="806"/>
    </w:p>
    <w:p w14:paraId="017BF91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【说明：协议应约定保密信息范围、保密措施、保密责任。保密信息通常包括项目涉及国家安全、商业秘密的信息或协议各方约定的其他信息】</w:t>
      </w:r>
    </w:p>
    <w:p w14:paraId="06A525E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07" w:name="_Toc402428989"/>
      <w:bookmarkStart w:id="808" w:name="_Toc405146902"/>
      <w:bookmarkStart w:id="809" w:name="_Toc1526064836"/>
      <w:r>
        <w:rPr>
          <w:rFonts w:hint="eastAsia" w:ascii="宋体" w:hAnsi="宋体" w:eastAsia="宋体" w:cs="宋体"/>
          <w:bCs/>
          <w:caps w:val="0"/>
          <w:smallCaps w:val="0"/>
          <w:color w:val="auto"/>
          <w:sz w:val="28"/>
          <w:highlight w:val="none"/>
        </w:rPr>
        <w:t>廉政和反腐</w:t>
      </w:r>
      <w:bookmarkEnd w:id="807"/>
      <w:bookmarkEnd w:id="808"/>
      <w:bookmarkEnd w:id="809"/>
    </w:p>
    <w:p w14:paraId="7F1CDF2F">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【说明：特许经营协议应约定各方恪守廉洁从政、廉洁从业和防范腐败的责任】</w:t>
      </w:r>
    </w:p>
    <w:p w14:paraId="3A647641">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10" w:name="_Toc405146903"/>
      <w:bookmarkStart w:id="811" w:name="_Toc1337379671"/>
      <w:r>
        <w:rPr>
          <w:rFonts w:hint="eastAsia" w:ascii="宋体" w:hAnsi="宋体" w:eastAsia="宋体" w:cs="宋体"/>
          <w:bCs/>
          <w:caps w:val="0"/>
          <w:smallCaps w:val="0"/>
          <w:color w:val="auto"/>
          <w:sz w:val="28"/>
          <w:highlight w:val="none"/>
        </w:rPr>
        <w:t>不弃权</w:t>
      </w:r>
      <w:bookmarkEnd w:id="810"/>
      <w:bookmarkEnd w:id="811"/>
    </w:p>
    <w:p w14:paraId="06CCBE20">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协议应声明任何一方均不被视为放弃本协议中的任何条款，除非该方以书面形式作出放弃。任何一方未坚持要求对方严格履行本协议中的任何条款，或未行使其在本协议中规定的任何权利，均不应被视为对任何上述条款的放弃或对今后行使任何上述权利的放弃。】</w:t>
      </w:r>
    </w:p>
    <w:p w14:paraId="64310678">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【示例如下：】</w:t>
      </w:r>
    </w:p>
    <w:p w14:paraId="24CB794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任何一方均不被视为放弃本协议中的任何条款，除非一方以书面形式作出放弃。任何一方未坚持严格履行本协议中的任何条款，或未</w:t>
      </w:r>
      <w:r>
        <w:rPr>
          <w:rFonts w:hint="eastAsia" w:ascii="宋体" w:hAnsi="宋体" w:eastAsia="宋体" w:cs="宋体"/>
          <w:caps w:val="0"/>
          <w:smallCaps w:val="0"/>
          <w:color w:val="auto"/>
          <w:kern w:val="0"/>
          <w:szCs w:val="32"/>
          <w:highlight w:val="none"/>
          <w:lang w:eastAsia="zh-CN"/>
        </w:rPr>
        <w:t>行使</w:t>
      </w:r>
      <w:r>
        <w:rPr>
          <w:rFonts w:hint="eastAsia" w:ascii="宋体" w:hAnsi="宋体" w:eastAsia="宋体" w:cs="宋体"/>
          <w:caps w:val="0"/>
          <w:smallCaps w:val="0"/>
          <w:color w:val="auto"/>
          <w:kern w:val="0"/>
          <w:szCs w:val="32"/>
          <w:highlight w:val="none"/>
        </w:rPr>
        <w:t>本协议中规定的任何权利，均不应被视为对任何上述条款的放弃或对今后行使任何上述权利的放弃。</w:t>
      </w:r>
    </w:p>
    <w:p w14:paraId="31427CE8">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12" w:name="_Toc1358136321"/>
      <w:bookmarkStart w:id="813" w:name="_Toc405146904"/>
      <w:r>
        <w:rPr>
          <w:rFonts w:hint="eastAsia" w:ascii="宋体" w:hAnsi="宋体" w:eastAsia="宋体" w:cs="宋体"/>
          <w:bCs/>
          <w:caps w:val="0"/>
          <w:smallCaps w:val="0"/>
          <w:color w:val="auto"/>
          <w:sz w:val="28"/>
          <w:highlight w:val="none"/>
        </w:rPr>
        <w:t>通知</w:t>
      </w:r>
      <w:bookmarkEnd w:id="812"/>
      <w:bookmarkEnd w:id="813"/>
    </w:p>
    <w:p w14:paraId="71AA4F35">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【说明：特许经营协议应约定通知的形式、送达、联络人、通讯地址等事项。】</w:t>
      </w:r>
    </w:p>
    <w:p w14:paraId="291E8F82">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14" w:name="_Toc405146905"/>
      <w:bookmarkStart w:id="815" w:name="_Toc1738157259"/>
      <w:r>
        <w:rPr>
          <w:rFonts w:hint="eastAsia" w:ascii="宋体" w:hAnsi="宋体" w:eastAsia="宋体" w:cs="宋体"/>
          <w:bCs/>
          <w:caps w:val="0"/>
          <w:smallCaps w:val="0"/>
          <w:color w:val="auto"/>
          <w:sz w:val="28"/>
          <w:highlight w:val="none"/>
        </w:rPr>
        <w:t>法律</w:t>
      </w:r>
      <w:bookmarkEnd w:id="814"/>
      <w:r>
        <w:rPr>
          <w:rFonts w:hint="eastAsia" w:ascii="宋体" w:hAnsi="宋体" w:eastAsia="宋体" w:cs="宋体"/>
          <w:bCs/>
          <w:caps w:val="0"/>
          <w:smallCaps w:val="0"/>
          <w:color w:val="auto"/>
          <w:sz w:val="28"/>
          <w:highlight w:val="none"/>
        </w:rPr>
        <w:t>适用</w:t>
      </w:r>
      <w:bookmarkEnd w:id="815"/>
    </w:p>
    <w:p w14:paraId="65D23BFB">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【说明：特许经营协议适用中华人民共和国法律。】</w:t>
      </w:r>
    </w:p>
    <w:p w14:paraId="2A28989C">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16" w:name="_Toc522766865"/>
      <w:bookmarkStart w:id="817" w:name="_Toc405146906"/>
      <w:r>
        <w:rPr>
          <w:rFonts w:hint="eastAsia" w:ascii="宋体" w:hAnsi="宋体" w:eastAsia="宋体" w:cs="宋体"/>
          <w:bCs/>
          <w:caps w:val="0"/>
          <w:smallCaps w:val="0"/>
          <w:color w:val="auto"/>
          <w:sz w:val="28"/>
          <w:highlight w:val="none"/>
        </w:rPr>
        <w:t>适用语言</w:t>
      </w:r>
      <w:bookmarkEnd w:id="816"/>
      <w:bookmarkEnd w:id="817"/>
    </w:p>
    <w:p w14:paraId="43770F7D">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【说明：特许经营协议应约定协议订立及执行过程中所采用的语言。对于采用多种语言订立的，应明确以中文为准。】</w:t>
      </w:r>
    </w:p>
    <w:p w14:paraId="0B5C565D">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18" w:name="_Toc885265823"/>
      <w:bookmarkStart w:id="819" w:name="_Toc405146907"/>
      <w:r>
        <w:rPr>
          <w:rFonts w:hint="eastAsia" w:ascii="宋体" w:hAnsi="宋体" w:eastAsia="宋体" w:cs="宋体"/>
          <w:bCs/>
          <w:caps w:val="0"/>
          <w:smallCaps w:val="0"/>
          <w:color w:val="auto"/>
          <w:sz w:val="28"/>
          <w:highlight w:val="none"/>
        </w:rPr>
        <w:t>适用货币</w:t>
      </w:r>
      <w:bookmarkEnd w:id="818"/>
      <w:bookmarkEnd w:id="819"/>
    </w:p>
    <w:p w14:paraId="110A6227">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【说明：明确特许经营协议所涉及经济行为采用的支付货币类型。】</w:t>
      </w:r>
    </w:p>
    <w:p w14:paraId="4C775236">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20" w:name="_Toc404845504"/>
      <w:bookmarkStart w:id="821" w:name="_Toc402428991"/>
      <w:bookmarkStart w:id="822" w:name="_Toc405146908"/>
      <w:r>
        <w:rPr>
          <w:rFonts w:hint="eastAsia" w:ascii="宋体" w:hAnsi="宋体" w:eastAsia="宋体" w:cs="宋体"/>
          <w:bCs/>
          <w:caps w:val="0"/>
          <w:smallCaps w:val="0"/>
          <w:color w:val="auto"/>
          <w:sz w:val="28"/>
          <w:highlight w:val="none"/>
        </w:rPr>
        <w:t>协议份数</w:t>
      </w:r>
      <w:bookmarkEnd w:id="820"/>
      <w:bookmarkEnd w:id="821"/>
      <w:bookmarkEnd w:id="822"/>
    </w:p>
    <w:p w14:paraId="1A6783C4">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hint="eastAsia" w:ascii="宋体" w:hAnsi="宋体" w:eastAsia="宋体" w:cs="宋体"/>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【说明：特许经营协议应约定协议的正副本数量和各方持有份数，并明确协议正本和副本具有同等法律效力。】</w:t>
      </w:r>
    </w:p>
    <w:p w14:paraId="484BE447">
      <w:pPr>
        <w:pStyle w:val="3"/>
        <w:keepNext w:val="0"/>
        <w:keepLines w:val="0"/>
        <w:pageBreakBefore w:val="0"/>
        <w:widowControl w:val="0"/>
        <w:tabs>
          <w:tab w:val="left" w:pos="993"/>
        </w:tabs>
        <w:kinsoku/>
        <w:wordWrap/>
        <w:overflowPunct/>
        <w:topLinePunct w:val="0"/>
        <w:autoSpaceDE/>
        <w:autoSpaceDN/>
        <w:bidi w:val="0"/>
        <w:adjustRightInd w:val="0"/>
        <w:snapToGrid w:val="0"/>
        <w:spacing w:before="0" w:beforeLines="0" w:beforeAutospacing="0" w:after="0" w:afterLines="0" w:afterAutospacing="0" w:line="360" w:lineRule="auto"/>
        <w:ind w:firstLine="560" w:firstLineChars="200"/>
        <w:textAlignment w:val="auto"/>
        <w:rPr>
          <w:rFonts w:hint="eastAsia" w:ascii="宋体" w:hAnsi="宋体" w:eastAsia="宋体" w:cs="宋体"/>
          <w:bCs/>
          <w:caps w:val="0"/>
          <w:smallCaps w:val="0"/>
          <w:color w:val="auto"/>
          <w:sz w:val="28"/>
          <w:highlight w:val="none"/>
        </w:rPr>
      </w:pPr>
      <w:bookmarkStart w:id="823" w:name="_Toc402428992"/>
      <w:bookmarkStart w:id="824" w:name="_Toc405146909"/>
      <w:bookmarkStart w:id="825" w:name="_Toc545865552"/>
      <w:r>
        <w:rPr>
          <w:rFonts w:hint="eastAsia" w:ascii="宋体" w:hAnsi="宋体" w:eastAsia="宋体" w:cs="宋体"/>
          <w:bCs/>
          <w:caps w:val="0"/>
          <w:smallCaps w:val="0"/>
          <w:color w:val="auto"/>
          <w:sz w:val="28"/>
          <w:highlight w:val="none"/>
        </w:rPr>
        <w:t>协议附件</w:t>
      </w:r>
      <w:bookmarkEnd w:id="823"/>
      <w:bookmarkEnd w:id="824"/>
      <w:bookmarkEnd w:id="825"/>
    </w:p>
    <w:p w14:paraId="5D974FF9">
      <w:pPr>
        <w:keepNext w:val="0"/>
        <w:keepLines w:val="0"/>
        <w:pageBreakBefore w:val="0"/>
        <w:widowControl w:val="0"/>
        <w:tabs>
          <w:tab w:val="left" w:pos="142"/>
        </w:tabs>
        <w:kinsoku/>
        <w:wordWrap/>
        <w:overflowPunct/>
        <w:topLinePunct w:val="0"/>
        <w:autoSpaceDE w:val="0"/>
        <w:autoSpaceDN w:val="0"/>
        <w:bidi w:val="0"/>
        <w:spacing w:before="0" w:beforeLines="0" w:beforeAutospacing="0" w:after="0" w:afterLines="0" w:afterAutospacing="0" w:line="360" w:lineRule="auto"/>
        <w:ind w:firstLine="560"/>
        <w:textAlignment w:val="baseline"/>
        <w:rPr>
          <w:rFonts w:ascii="Times New Roman" w:hAnsi="Times New Roman" w:eastAsia="方正仿宋_GBK"/>
          <w:caps w:val="0"/>
          <w:smallCaps w:val="0"/>
          <w:color w:val="auto"/>
          <w:kern w:val="0"/>
          <w:szCs w:val="32"/>
          <w:highlight w:val="none"/>
        </w:rPr>
      </w:pPr>
      <w:r>
        <w:rPr>
          <w:rFonts w:hint="eastAsia" w:ascii="宋体" w:hAnsi="宋体" w:eastAsia="宋体" w:cs="宋体"/>
          <w:caps w:val="0"/>
          <w:smallCaps w:val="0"/>
          <w:color w:val="auto"/>
          <w:kern w:val="0"/>
          <w:szCs w:val="32"/>
          <w:highlight w:val="none"/>
        </w:rPr>
        <w:t>【说明：特许经营协议可列示协议附件名称。】</w:t>
      </w:r>
    </w:p>
    <w:p w14:paraId="6AA69D9F">
      <w:pPr>
        <w:keepNext w:val="0"/>
        <w:keepLines w:val="0"/>
        <w:pageBreakBefore w:val="0"/>
        <w:widowControl w:val="0"/>
        <w:kinsoku/>
        <w:wordWrap/>
        <w:overflowPunct/>
        <w:topLinePunct w:val="0"/>
        <w:bidi w:val="0"/>
        <w:spacing w:before="0" w:beforeLines="0" w:beforeAutospacing="0" w:after="0" w:afterLines="0" w:afterAutospacing="0" w:line="360" w:lineRule="auto"/>
        <w:ind w:firstLine="560"/>
        <w:rPr>
          <w:rFonts w:ascii="Times New Roman" w:hAnsi="Times New Roman" w:eastAsia="方正仿宋_GBK"/>
          <w:caps w:val="0"/>
          <w:smallCaps w:val="0"/>
          <w:color w:val="auto"/>
          <w:szCs w:val="32"/>
          <w:highlight w:val="none"/>
        </w:rPr>
      </w:pPr>
    </w:p>
    <w:p w14:paraId="612A2E3E">
      <w:pPr>
        <w:keepNext w:val="0"/>
        <w:keepLines w:val="0"/>
        <w:pageBreakBefore w:val="0"/>
        <w:widowControl w:val="0"/>
        <w:kinsoku/>
        <w:wordWrap/>
        <w:overflowPunct/>
        <w:topLinePunct w:val="0"/>
        <w:bidi w:val="0"/>
        <w:spacing w:before="0" w:beforeLines="0" w:beforeAutospacing="0" w:after="0" w:afterLines="0" w:afterAutospacing="0" w:line="360" w:lineRule="auto"/>
        <w:ind w:firstLine="0" w:firstLineChars="0"/>
        <w:rPr>
          <w:rFonts w:ascii="Times New Roman" w:hAnsi="Times New Roman" w:eastAsia="方正仿宋_GBK"/>
          <w:caps w:val="0"/>
          <w:smallCaps w:val="0"/>
          <w:color w:val="auto"/>
          <w:szCs w:val="32"/>
          <w:highlight w:val="none"/>
        </w:rPr>
      </w:pPr>
    </w:p>
    <w:p w14:paraId="6AC2F22F">
      <w:pPr>
        <w:pStyle w:val="4"/>
        <w:rPr>
          <w:rFonts w:hint="eastAsia"/>
          <w:color w:val="auto"/>
          <w:highlight w:val="none"/>
        </w:rPr>
      </w:pPr>
    </w:p>
    <w:bookmarkEnd w:id="276"/>
    <w:bookmarkEnd w:id="277"/>
    <w:p w14:paraId="6DADCC22">
      <w:pPr>
        <w:pStyle w:val="2"/>
        <w:numPr>
          <w:ilvl w:val="0"/>
          <w:numId w:val="0"/>
        </w:numPr>
        <w:pBdr>
          <w:bottom w:val="none" w:color="auto" w:sz="0" w:space="0"/>
        </w:pBdr>
        <w:spacing w:before="0" w:after="0" w:line="360" w:lineRule="auto"/>
        <w:jc w:val="center"/>
        <w:rPr>
          <w:rFonts w:hint="eastAsia" w:ascii="宋体" w:hAnsi="宋体" w:eastAsia="宋体" w:cs="宋体"/>
          <w:color w:val="auto"/>
          <w:sz w:val="32"/>
          <w:highlight w:val="none"/>
          <w:lang w:val="en-US" w:eastAsia="zh-CN"/>
        </w:rPr>
      </w:pPr>
      <w:bookmarkStart w:id="826" w:name="_Toc34382632"/>
      <w:bookmarkStart w:id="827" w:name="_Toc27145"/>
      <w:r>
        <w:rPr>
          <w:rFonts w:hint="default"/>
          <w:color w:val="auto"/>
          <w:highlight w:val="none"/>
          <w:lang w:val="en-US" w:eastAsia="zh-CN"/>
        </w:rPr>
        <w:br w:type="page"/>
      </w:r>
      <w:bookmarkStart w:id="828" w:name="_Toc3966"/>
      <w:bookmarkStart w:id="829" w:name="_Toc31111"/>
      <w:bookmarkStart w:id="830" w:name="_Toc23477"/>
      <w:r>
        <w:rPr>
          <w:rFonts w:hint="eastAsia" w:ascii="宋体" w:hAnsi="宋体" w:eastAsia="宋体" w:cs="宋体"/>
          <w:color w:val="auto"/>
          <w:sz w:val="36"/>
          <w:szCs w:val="36"/>
          <w:highlight w:val="none"/>
          <w:lang w:val="en-US" w:eastAsia="zh-CN"/>
        </w:rPr>
        <w:t>第五章  技术标准及要求</w:t>
      </w:r>
      <w:bookmarkEnd w:id="828"/>
    </w:p>
    <w:p w14:paraId="000A2236">
      <w:pPr>
        <w:widowControl w:val="0"/>
        <w:spacing w:line="560" w:lineRule="exact"/>
        <w:ind w:firstLine="480" w:firstLineChars="200"/>
        <w:contextualSpacing/>
        <w:jc w:val="both"/>
        <w:outlineLvl w:val="1"/>
        <w:rPr>
          <w:rFonts w:ascii="黑体" w:hAnsi="黑体" w:eastAsia="黑体" w:cs="黑体"/>
          <w:color w:val="auto"/>
          <w:kern w:val="44"/>
          <w:sz w:val="24"/>
          <w:szCs w:val="44"/>
          <w:highlight w:val="none"/>
        </w:rPr>
      </w:pPr>
      <w:bookmarkStart w:id="831" w:name="_Toc3923"/>
      <w:r>
        <w:rPr>
          <w:rFonts w:hint="eastAsia" w:ascii="黑体" w:hAnsi="黑体" w:eastAsia="黑体" w:cs="黑体"/>
          <w:color w:val="auto"/>
          <w:kern w:val="44"/>
          <w:sz w:val="24"/>
          <w:szCs w:val="44"/>
          <w:highlight w:val="none"/>
        </w:rPr>
        <w:t>一、项目基本情况</w:t>
      </w:r>
      <w:bookmarkEnd w:id="829"/>
      <w:bookmarkEnd w:id="830"/>
      <w:bookmarkEnd w:id="831"/>
    </w:p>
    <w:p w14:paraId="404ADD9E">
      <w:pPr>
        <w:widowControl w:val="0"/>
        <w:spacing w:line="560" w:lineRule="exact"/>
        <w:ind w:firstLine="482" w:firstLineChars="200"/>
        <w:outlineLvl w:val="2"/>
        <w:rPr>
          <w:rFonts w:ascii="宋体" w:hAnsi="宋体"/>
          <w:b/>
          <w:bCs/>
          <w:color w:val="auto"/>
          <w:kern w:val="2"/>
          <w:sz w:val="24"/>
          <w:szCs w:val="32"/>
          <w:highlight w:val="none"/>
        </w:rPr>
      </w:pPr>
      <w:bookmarkStart w:id="832" w:name="_Toc17226"/>
      <w:bookmarkStart w:id="833" w:name="_Toc19403"/>
      <w:bookmarkStart w:id="834" w:name="_Toc30897"/>
      <w:bookmarkStart w:id="835" w:name="_Toc55"/>
      <w:bookmarkStart w:id="836" w:name="_Toc16943"/>
      <w:bookmarkStart w:id="837" w:name="_Toc3797"/>
      <w:bookmarkStart w:id="838" w:name="_Toc9564"/>
      <w:bookmarkStart w:id="839" w:name="_Toc20848"/>
      <w:bookmarkStart w:id="840" w:name="_Toc11099"/>
      <w:bookmarkStart w:id="841" w:name="_Toc28402"/>
      <w:bookmarkStart w:id="842" w:name="_Toc20039"/>
      <w:bookmarkStart w:id="843" w:name="_Toc8608"/>
      <w:bookmarkStart w:id="844" w:name="_Toc20354"/>
      <w:bookmarkStart w:id="845" w:name="_Toc2250"/>
      <w:bookmarkStart w:id="846" w:name="_Toc10098"/>
      <w:bookmarkStart w:id="847" w:name="_Toc12406"/>
      <w:bookmarkStart w:id="848" w:name="_Toc24696"/>
      <w:bookmarkStart w:id="849" w:name="_Toc8818"/>
      <w:bookmarkStart w:id="850" w:name="_Toc19768"/>
      <w:bookmarkStart w:id="851" w:name="_Toc529701805"/>
      <w:r>
        <w:rPr>
          <w:rFonts w:hint="eastAsia" w:ascii="宋体" w:hAnsi="宋体"/>
          <w:b/>
          <w:bCs/>
          <w:color w:val="auto"/>
          <w:kern w:val="2"/>
          <w:sz w:val="24"/>
          <w:szCs w:val="32"/>
          <w:highlight w:val="none"/>
        </w:rPr>
        <w:t>（一）项目名称</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14:paraId="2D4778D3">
      <w:pPr>
        <w:spacing w:line="440" w:lineRule="exact"/>
        <w:ind w:firstLine="444" w:firstLineChars="202"/>
        <w:rPr>
          <w:rFonts w:hint="eastAsia" w:ascii="宋体" w:hAnsi="宋体" w:eastAsia="宋体" w:cs="宋体"/>
          <w:color w:val="000000"/>
          <w:lang w:val="en-US" w:eastAsia="zh-CN"/>
        </w:rPr>
      </w:pPr>
      <w:r>
        <w:rPr>
          <w:rFonts w:hint="eastAsia" w:ascii="宋体" w:hAnsi="宋体" w:cs="宋体"/>
          <w:color w:val="000000"/>
          <w:lang w:val="zh-CN" w:eastAsia="zh-CN"/>
        </w:rPr>
        <w:t>楚雄州牟定县餐厨垃圾收运处理及综合利用项目特许经营</w:t>
      </w:r>
      <w:r>
        <w:rPr>
          <w:rFonts w:hint="eastAsia" w:ascii="宋体" w:hAnsi="宋体" w:eastAsia="宋体" w:cs="宋体"/>
          <w:color w:val="000000"/>
          <w:lang w:val="en-US" w:eastAsia="zh-CN"/>
        </w:rPr>
        <w:t>（以下简称“本项目”）</w:t>
      </w:r>
      <w:bookmarkEnd w:id="851"/>
      <w:bookmarkStart w:id="852" w:name="_Toc4281"/>
      <w:bookmarkStart w:id="853" w:name="_Toc529701809"/>
      <w:bookmarkStart w:id="854" w:name="_Toc529701806"/>
      <w:bookmarkStart w:id="855" w:name="_Toc1091"/>
      <w:bookmarkStart w:id="856" w:name="_Toc7737"/>
      <w:bookmarkStart w:id="857" w:name="_Toc8852"/>
      <w:bookmarkStart w:id="858" w:name="_Toc3674"/>
      <w:bookmarkStart w:id="859" w:name="_Toc7403"/>
      <w:bookmarkStart w:id="860" w:name="_Toc22210"/>
      <w:r>
        <w:rPr>
          <w:rFonts w:hint="eastAsia" w:ascii="宋体" w:hAnsi="宋体" w:eastAsia="宋体" w:cs="宋体"/>
          <w:color w:val="000000"/>
          <w:lang w:val="en-US" w:eastAsia="zh-CN"/>
        </w:rPr>
        <w:t>。</w:t>
      </w:r>
    </w:p>
    <w:p w14:paraId="5AAB225E">
      <w:pPr>
        <w:widowControl w:val="0"/>
        <w:spacing w:line="560" w:lineRule="exact"/>
        <w:ind w:firstLine="482" w:firstLineChars="200"/>
        <w:outlineLvl w:val="2"/>
        <w:rPr>
          <w:rFonts w:hint="eastAsia" w:ascii="宋体" w:hAnsi="宋体" w:eastAsia="宋体"/>
          <w:b/>
          <w:bCs/>
          <w:color w:val="auto"/>
          <w:kern w:val="2"/>
          <w:sz w:val="24"/>
          <w:szCs w:val="32"/>
          <w:highlight w:val="none"/>
          <w:lang w:eastAsia="zh-CN"/>
        </w:rPr>
      </w:pPr>
      <w:bookmarkStart w:id="861" w:name="_Toc13123"/>
      <w:bookmarkStart w:id="862" w:name="_Toc24060"/>
      <w:bookmarkStart w:id="863" w:name="_Toc17319"/>
      <w:bookmarkStart w:id="864" w:name="_Toc709"/>
      <w:bookmarkStart w:id="865" w:name="_Toc5891"/>
      <w:bookmarkStart w:id="866" w:name="_Toc15096"/>
      <w:bookmarkStart w:id="867" w:name="_Toc15579"/>
      <w:bookmarkStart w:id="868" w:name="_Toc32598"/>
      <w:bookmarkStart w:id="869" w:name="_Toc14459"/>
      <w:bookmarkStart w:id="870" w:name="_Toc499"/>
      <w:bookmarkStart w:id="871" w:name="_Toc27357"/>
      <w:bookmarkStart w:id="872" w:name="_Toc13764"/>
      <w:bookmarkStart w:id="873" w:name="_Toc8823"/>
      <w:bookmarkStart w:id="874" w:name="_Toc270"/>
      <w:bookmarkStart w:id="875" w:name="_Toc14819"/>
      <w:bookmarkStart w:id="876" w:name="_Toc2726"/>
      <w:bookmarkStart w:id="877" w:name="_Toc12109"/>
      <w:bookmarkStart w:id="878" w:name="_Toc19612"/>
      <w:r>
        <w:rPr>
          <w:rFonts w:hint="eastAsia" w:ascii="宋体" w:hAnsi="宋体"/>
          <w:b/>
          <w:bCs/>
          <w:color w:val="auto"/>
          <w:kern w:val="2"/>
          <w:sz w:val="24"/>
          <w:szCs w:val="32"/>
          <w:highlight w:val="none"/>
        </w:rPr>
        <w:t>（二）项目</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hint="eastAsia" w:ascii="宋体" w:hAnsi="宋体"/>
          <w:b/>
          <w:bCs/>
          <w:color w:val="auto"/>
          <w:kern w:val="2"/>
          <w:sz w:val="24"/>
          <w:szCs w:val="32"/>
          <w:highlight w:val="none"/>
          <w:lang w:eastAsia="zh-CN"/>
        </w:rPr>
        <w:t>项目实施机构</w:t>
      </w:r>
    </w:p>
    <w:p w14:paraId="5CC5FADE">
      <w:pPr>
        <w:spacing w:line="440" w:lineRule="exact"/>
        <w:ind w:firstLine="444" w:firstLineChars="202"/>
        <w:rPr>
          <w:rFonts w:hint="eastAsia" w:ascii="宋体" w:hAnsi="宋体" w:eastAsia="宋体" w:cs="宋体"/>
          <w:color w:val="000000"/>
          <w:lang w:val="zh-CN" w:eastAsia="zh-CN"/>
        </w:rPr>
      </w:pPr>
      <w:bookmarkStart w:id="879" w:name="_Toc18198"/>
      <w:bookmarkStart w:id="880" w:name="_Toc31219"/>
      <w:bookmarkStart w:id="881" w:name="_Toc25036"/>
      <w:r>
        <w:rPr>
          <w:rFonts w:hint="eastAsia" w:ascii="宋体" w:hAnsi="宋体" w:eastAsia="宋体" w:cs="宋体"/>
          <w:color w:val="000000"/>
          <w:lang w:val="en-US" w:eastAsia="zh-CN"/>
        </w:rPr>
        <w:t>牟定</w:t>
      </w:r>
      <w:r>
        <w:rPr>
          <w:rFonts w:hint="eastAsia" w:ascii="宋体" w:hAnsi="宋体" w:eastAsia="宋体" w:cs="宋体"/>
          <w:color w:val="000000"/>
          <w:lang w:val="zh-CN" w:eastAsia="zh-CN"/>
        </w:rPr>
        <w:t>县人民政府依法依规授权牟定县住房和城乡建设局作为本特许经营项目的项目实施机构，负责特许经营方案编制、特许经营者选择、特许经营协议签订及特许经营权的授予、项目实施监管、合作期满移交接收等工作。</w:t>
      </w:r>
    </w:p>
    <w:p w14:paraId="2EA6F974">
      <w:pPr>
        <w:widowControl w:val="0"/>
        <w:spacing w:line="560" w:lineRule="exact"/>
        <w:ind w:firstLine="482" w:firstLineChars="200"/>
        <w:outlineLvl w:val="2"/>
        <w:rPr>
          <w:rFonts w:hint="eastAsia" w:ascii="宋体" w:hAnsi="宋体"/>
          <w:b/>
          <w:bCs/>
          <w:color w:val="auto"/>
          <w:kern w:val="2"/>
          <w:sz w:val="24"/>
          <w:szCs w:val="32"/>
          <w:highlight w:val="none"/>
        </w:rPr>
      </w:pPr>
      <w:r>
        <w:rPr>
          <w:rFonts w:hint="eastAsia" w:ascii="宋体" w:hAnsi="宋体"/>
          <w:b/>
          <w:bCs/>
          <w:color w:val="auto"/>
          <w:kern w:val="2"/>
          <w:sz w:val="24"/>
          <w:szCs w:val="32"/>
          <w:highlight w:val="none"/>
          <w:lang w:eastAsia="zh-CN"/>
        </w:rPr>
        <w:t>（三）</w:t>
      </w:r>
      <w:r>
        <w:rPr>
          <w:rFonts w:hint="eastAsia" w:ascii="宋体" w:hAnsi="宋体"/>
          <w:b/>
          <w:bCs/>
          <w:color w:val="auto"/>
          <w:kern w:val="2"/>
          <w:sz w:val="24"/>
          <w:szCs w:val="32"/>
          <w:highlight w:val="none"/>
        </w:rPr>
        <w:t>项目建设规模</w:t>
      </w:r>
      <w:bookmarkEnd w:id="879"/>
      <w:bookmarkEnd w:id="880"/>
      <w:bookmarkEnd w:id="881"/>
    </w:p>
    <w:bookmarkEnd w:id="852"/>
    <w:bookmarkEnd w:id="853"/>
    <w:bookmarkEnd w:id="854"/>
    <w:bookmarkEnd w:id="855"/>
    <w:bookmarkEnd w:id="856"/>
    <w:bookmarkEnd w:id="857"/>
    <w:bookmarkEnd w:id="858"/>
    <w:bookmarkEnd w:id="859"/>
    <w:bookmarkEnd w:id="860"/>
    <w:p w14:paraId="1027AF17">
      <w:pPr>
        <w:spacing w:line="440" w:lineRule="exact"/>
        <w:ind w:firstLine="444" w:firstLineChars="202"/>
        <w:rPr>
          <w:rFonts w:hint="eastAsia" w:ascii="宋体" w:hAnsi="宋体" w:eastAsia="宋体" w:cs="宋体"/>
          <w:color w:val="000000"/>
          <w:lang w:val="en-US" w:eastAsia="zh-CN"/>
        </w:rPr>
      </w:pPr>
      <w:bookmarkStart w:id="882" w:name="_Toc5004"/>
      <w:bookmarkStart w:id="883" w:name="_Toc9011"/>
      <w:bookmarkStart w:id="884" w:name="_Toc15039"/>
      <w:bookmarkStart w:id="885" w:name="_Toc3386"/>
      <w:bookmarkStart w:id="886" w:name="_Toc21798"/>
      <w:bookmarkStart w:id="887" w:name="_Toc24152"/>
      <w:bookmarkStart w:id="888" w:name="_Toc529701815"/>
      <w:bookmarkStart w:id="889" w:name="_Toc30702"/>
      <w:bookmarkStart w:id="890" w:name="_Toc18567"/>
      <w:bookmarkStart w:id="891" w:name="_Toc26708"/>
      <w:bookmarkStart w:id="892" w:name="_Toc1307"/>
      <w:bookmarkStart w:id="893" w:name="_Toc13709"/>
      <w:bookmarkStart w:id="894" w:name="_Toc11229"/>
      <w:bookmarkStart w:id="895" w:name="_Toc19002"/>
      <w:bookmarkStart w:id="896" w:name="_Toc7982"/>
      <w:bookmarkStart w:id="897" w:name="_Toc25298"/>
      <w:bookmarkStart w:id="898" w:name="_Toc17801"/>
      <w:bookmarkStart w:id="899" w:name="_Toc25549"/>
      <w:bookmarkStart w:id="900" w:name="_Toc14039"/>
      <w:bookmarkStart w:id="901" w:name="_Toc28124"/>
      <w:bookmarkStart w:id="902" w:name="_Toc13771"/>
      <w:bookmarkStart w:id="903" w:name="_Toc28417"/>
      <w:bookmarkStart w:id="904" w:name="_Toc20744"/>
      <w:bookmarkStart w:id="905" w:name="_Toc9240"/>
      <w:bookmarkStart w:id="906" w:name="_Toc1579"/>
      <w:bookmarkStart w:id="907" w:name="_Toc27472"/>
      <w:bookmarkStart w:id="908" w:name="_Toc16342"/>
      <w:bookmarkStart w:id="909" w:name="_Toc32701"/>
      <w:bookmarkStart w:id="910" w:name="_Toc529701814"/>
      <w:bookmarkStart w:id="911" w:name="_Toc22635"/>
      <w:r>
        <w:rPr>
          <w:rFonts w:hint="eastAsia" w:ascii="宋体" w:hAnsi="宋体" w:eastAsia="宋体" w:cs="宋体"/>
          <w:color w:val="000000"/>
          <w:lang w:val="en-US" w:eastAsia="zh-CN"/>
        </w:rPr>
        <w:t>为体现项目的完整性，满足应急处理功能以及确保设施设备的可靠性，项目参照《餐厨垃圾处理技术规范》（CJJ184-2023）中Ⅳ类餐厨垃圾处理厂的规模进行确定：初期计划建设规模为餐厨垃圾总处理能力9.80吨/天，结合牟定县餐厨垃圾产生量及收集处理量预测，预计至 2034年（10年后）需继续增加投资，扩大规模至餐厨垃圾总处理能力50.00吨/天。</w:t>
      </w:r>
    </w:p>
    <w:p w14:paraId="62A8BCD9">
      <w:pPr>
        <w:widowControl w:val="0"/>
        <w:spacing w:line="560" w:lineRule="exact"/>
        <w:ind w:firstLine="482" w:firstLineChars="200"/>
        <w:outlineLvl w:val="2"/>
        <w:rPr>
          <w:rFonts w:hint="eastAsia" w:ascii="宋体" w:hAnsi="宋体"/>
          <w:b/>
          <w:bCs/>
          <w:color w:val="auto"/>
          <w:kern w:val="2"/>
          <w:sz w:val="24"/>
          <w:szCs w:val="32"/>
          <w:highlight w:val="none"/>
          <w:lang w:val="en-US" w:eastAsia="zh-CN"/>
        </w:rPr>
      </w:pPr>
      <w:r>
        <w:rPr>
          <w:rFonts w:hint="eastAsia" w:ascii="宋体" w:hAnsi="宋体"/>
          <w:b/>
          <w:bCs/>
          <w:color w:val="auto"/>
          <w:kern w:val="2"/>
          <w:sz w:val="24"/>
          <w:szCs w:val="32"/>
          <w:highlight w:val="none"/>
          <w:lang w:val="en-US" w:eastAsia="zh-CN"/>
        </w:rPr>
        <w:t>（四）项目</w:t>
      </w:r>
      <w:bookmarkEnd w:id="882"/>
      <w:bookmarkEnd w:id="883"/>
      <w:r>
        <w:rPr>
          <w:rFonts w:hint="eastAsia" w:ascii="宋体" w:hAnsi="宋体"/>
          <w:b/>
          <w:bCs/>
          <w:color w:val="auto"/>
          <w:kern w:val="2"/>
          <w:sz w:val="24"/>
          <w:szCs w:val="32"/>
          <w:highlight w:val="none"/>
          <w:lang w:val="en-US" w:eastAsia="zh-CN"/>
        </w:rPr>
        <w:t>投资规模</w:t>
      </w:r>
      <w:bookmarkEnd w:id="884"/>
    </w:p>
    <w:p w14:paraId="72337BF8">
      <w:pPr>
        <w:spacing w:line="440" w:lineRule="exact"/>
        <w:ind w:firstLine="444" w:firstLineChars="202"/>
        <w:rPr>
          <w:rFonts w:hint="eastAsia" w:ascii="宋体" w:hAnsi="宋体" w:eastAsia="宋体" w:cs="宋体"/>
          <w:color w:val="000000"/>
          <w:lang w:val="en-US" w:eastAsia="zh-CN"/>
        </w:rPr>
      </w:pPr>
      <w:r>
        <w:rPr>
          <w:rFonts w:hint="eastAsia" w:ascii="宋体" w:hAnsi="宋体" w:eastAsia="宋体" w:cs="宋体"/>
          <w:color w:val="000000"/>
          <w:lang w:val="zh-CN" w:eastAsia="zh-CN"/>
        </w:rPr>
        <w:t>项目计划总投资</w:t>
      </w:r>
      <w:r>
        <w:rPr>
          <w:rFonts w:hint="eastAsia" w:ascii="宋体" w:hAnsi="宋体" w:eastAsia="宋体" w:cs="宋体"/>
          <w:color w:val="000000"/>
          <w:lang w:val="en-US" w:eastAsia="zh-CN"/>
        </w:rPr>
        <w:t>:1200万元</w:t>
      </w:r>
      <w:r>
        <w:rPr>
          <w:rFonts w:hint="eastAsia" w:ascii="宋体" w:hAnsi="宋体" w:eastAsia="宋体" w:cs="宋体"/>
          <w:color w:val="000000"/>
          <w:lang w:val="zh-CN" w:eastAsia="zh-CN"/>
        </w:rPr>
        <w:t>。</w:t>
      </w:r>
    </w:p>
    <w:p w14:paraId="4422C7C3">
      <w:pPr>
        <w:widowControl w:val="0"/>
        <w:spacing w:line="560" w:lineRule="exact"/>
        <w:ind w:firstLine="480" w:firstLineChars="200"/>
        <w:contextualSpacing/>
        <w:jc w:val="both"/>
        <w:outlineLvl w:val="1"/>
        <w:rPr>
          <w:rFonts w:hint="eastAsia" w:ascii="黑体" w:hAnsi="黑体" w:eastAsia="黑体" w:cs="黑体"/>
          <w:color w:val="auto"/>
          <w:kern w:val="44"/>
          <w:sz w:val="24"/>
          <w:szCs w:val="44"/>
          <w:highlight w:val="none"/>
        </w:rPr>
      </w:pPr>
      <w:bookmarkStart w:id="912" w:name="_Toc18301"/>
      <w:bookmarkStart w:id="913" w:name="_Toc15815"/>
      <w:bookmarkStart w:id="914" w:name="_Toc547"/>
      <w:bookmarkStart w:id="915" w:name="_Toc10403"/>
      <w:bookmarkStart w:id="916" w:name="_Toc20829"/>
      <w:bookmarkStart w:id="917" w:name="_Toc13690"/>
      <w:bookmarkStart w:id="918" w:name="_Toc24744"/>
      <w:bookmarkStart w:id="919" w:name="_Toc75159224"/>
      <w:bookmarkStart w:id="920" w:name="_Toc6686"/>
      <w:bookmarkStart w:id="921" w:name="_Toc14084"/>
      <w:bookmarkStart w:id="922" w:name="_Toc10696"/>
      <w:bookmarkStart w:id="923" w:name="_Toc32281"/>
      <w:bookmarkStart w:id="924" w:name="_Toc14599"/>
      <w:bookmarkStart w:id="925" w:name="_Toc28730"/>
      <w:bookmarkStart w:id="926" w:name="_Toc8526"/>
      <w:bookmarkStart w:id="927" w:name="_Toc18188"/>
      <w:bookmarkStart w:id="928" w:name="_Toc31175"/>
      <w:bookmarkStart w:id="929" w:name="_Toc5375"/>
      <w:r>
        <w:rPr>
          <w:rFonts w:hint="eastAsia" w:ascii="黑体" w:hAnsi="黑体" w:eastAsia="黑体" w:cs="黑体"/>
          <w:color w:val="auto"/>
          <w:kern w:val="44"/>
          <w:sz w:val="24"/>
          <w:szCs w:val="44"/>
          <w:highlight w:val="none"/>
          <w:lang w:eastAsia="zh-CN"/>
        </w:rPr>
        <w:t>二、</w:t>
      </w:r>
      <w:r>
        <w:rPr>
          <w:rFonts w:hint="eastAsia" w:ascii="黑体" w:hAnsi="黑体" w:eastAsia="黑体" w:cs="黑体"/>
          <w:color w:val="auto"/>
          <w:kern w:val="44"/>
          <w:sz w:val="24"/>
          <w:szCs w:val="44"/>
          <w:highlight w:val="none"/>
        </w:rPr>
        <w:t>特许经营范围</w:t>
      </w:r>
      <w:bookmarkEnd w:id="912"/>
    </w:p>
    <w:p w14:paraId="02CF7B89">
      <w:pPr>
        <w:widowControl w:val="0"/>
        <w:spacing w:line="560" w:lineRule="exact"/>
        <w:ind w:firstLine="482" w:firstLineChars="200"/>
        <w:outlineLvl w:val="2"/>
        <w:rPr>
          <w:rFonts w:hint="eastAsia" w:ascii="宋体" w:hAnsi="宋体"/>
          <w:b/>
          <w:bCs/>
          <w:color w:val="auto"/>
          <w:kern w:val="2"/>
          <w:sz w:val="24"/>
          <w:szCs w:val="32"/>
          <w:highlight w:val="none"/>
          <w:lang w:val="en-US" w:eastAsia="zh-CN"/>
        </w:rPr>
      </w:pPr>
      <w:r>
        <w:rPr>
          <w:rFonts w:hint="eastAsia" w:ascii="宋体" w:hAnsi="宋体"/>
          <w:b/>
          <w:bCs/>
          <w:color w:val="auto"/>
          <w:kern w:val="2"/>
          <w:sz w:val="24"/>
          <w:szCs w:val="32"/>
          <w:highlight w:val="none"/>
          <w:lang w:val="en-US" w:eastAsia="zh-CN"/>
        </w:rPr>
        <w:t>（一）特许经营核心范围及要求</w:t>
      </w:r>
    </w:p>
    <w:p w14:paraId="405F7867">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1、项目建设内容</w:t>
      </w:r>
    </w:p>
    <w:p w14:paraId="310718C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本项目特许经营范围内的建设内容涵盖“收运体系建设+处理设施建设+配套系统建设”三大板块，具体包括：</w:t>
      </w:r>
    </w:p>
    <w:p w14:paraId="30C6FDA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收运体系建设：建设覆盖服务范围内的餐厨垃圾收运站点（含暂存、分拣设施），配备符合标准的密闭式收运车辆（安装装卸计量、视频监控、卫星定位等在线监测设备），建设收运车辆停放及维修保养场地，搭建收运调度信息化管理平台；</w:t>
      </w:r>
    </w:p>
    <w:p w14:paraId="57717D71">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处理设施建设：建设餐厨垃圾无害化处理主厂房及辅助设施，安装餐厨垃圾预处理、亚临界相变液化技术、资源化利用等核心设备，配套建设废水、废气、废渣处理环保设施，确保污染物排放符合国家及云南省相关标准；</w:t>
      </w:r>
    </w:p>
    <w:p w14:paraId="6390C93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（3）配套系统建设：建设项目所需的供水、供电、消防、安防、办公及生活辅助设施，完善场内道路、绿化等基础设施。</w:t>
      </w:r>
    </w:p>
    <w:p w14:paraId="2E588DF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建设过程需严格遵循国家工程建设相关标准规范，依法办理用地、规划、环评、施工许可等审批手续，项目竣工后需通过相关部门验收合格方可投入使用。</w:t>
      </w:r>
    </w:p>
    <w:p w14:paraId="1062A207">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2、项目运营内容</w:t>
      </w:r>
    </w:p>
    <w:p w14:paraId="6E54B642">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特许经营者需承担本项目全生命周期运营责任，核心运营内容包括：</w:t>
      </w:r>
    </w:p>
    <w:p w14:paraId="6EEDDFE2">
      <w:pPr>
        <w:spacing w:line="440" w:lineRule="exact"/>
        <w:ind w:firstLine="444" w:firstLineChars="202"/>
        <w:rPr>
          <w:rFonts w:hint="eastAsia" w:ascii="宋体" w:hAnsi="宋体" w:cs="宋体"/>
          <w:color w:val="FF0000"/>
          <w:lang w:val="en-US" w:eastAsia="zh-CN"/>
        </w:rPr>
      </w:pPr>
      <w:r>
        <w:rPr>
          <w:rFonts w:hint="eastAsia" w:ascii="宋体" w:hAnsi="宋体" w:cs="宋体"/>
          <w:color w:val="FF0000"/>
          <w:lang w:val="en-US" w:eastAsia="zh-CN"/>
        </w:rPr>
        <w:t>（1）餐厨垃圾收运运营：特许经营者不得直接向餐厨垃圾产生单位收费，由政府统收统支，执行特许经营协议约定价格。</w:t>
      </w:r>
    </w:p>
    <w:p w14:paraId="276999BE">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2）餐厨垃圾处理运营：严格按照国家及地方技术标准开展餐厨垃圾无害化处理，规范操作处理设备，保障设施稳定运行；建立处理台账，对每日处理量、处理工艺参数、污染物排放指标等进行实时记录，定期开展环境影响监测并报送相关部门；</w:t>
      </w:r>
    </w:p>
    <w:p w14:paraId="6CF8DEB3">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（3）资源化利用运营：对处理过程中产生的生物柴油、有机肥、沼气等副产品进行规范化加工、存储及销售，确保副产品质量符合相关行业标准；建立副产品销售台账，明确产品去向及收益情况；</w:t>
      </w:r>
    </w:p>
    <w:p w14:paraId="21B6743F">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设施设备维护：负责项目所有资产（含收运车辆、处理设备、厂房设施、信息化系统等）的日常维护、维修及定期检修，制定设备维护计划，保障设施设备始终处于良好运行状态；对老化、落后设备及时进行更新改造，确保项目运营符合最新技术及环保要求；</w:t>
      </w:r>
    </w:p>
    <w:p w14:paraId="7E8160FC">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（5）应急管理：制定餐厨垃圾收运、处理突发事件应急预案并报项目实施机构备案，配备应急物资及队伍，服从政府部门应急调度，保障特殊情况下餐厨垃圾正常收运处理。</w:t>
      </w:r>
    </w:p>
    <w:p w14:paraId="5B8AA44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3、服务范围</w:t>
      </w:r>
    </w:p>
    <w:p w14:paraId="3C0252D8">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本项目的服务范围为牟定县整个县级辖区范围内，即：4个镇（共和镇、江坡镇、新桥镇、凤屯镇）、3个乡（安乐乡、戌街乡、蟠猫乡）。本项目特许经营范围为处置服务范围内的餐厨垃圾。授予项目公司处置服务范围内的餐厨垃圾独家的、排他的权利。</w:t>
      </w:r>
    </w:p>
    <w:p w14:paraId="31F943F7">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4、特许经营主要内容</w:t>
      </w:r>
    </w:p>
    <w:p w14:paraId="0EB6830D">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（1）收费渠道和方式</w:t>
      </w:r>
    </w:p>
    <w:p w14:paraId="61D0CE8A">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1.1收费渠道：采用“政府付费+资源化收益”双渠道模式。政府付费主要为餐厨垃圾处理基础服务费，由财政资金保障；资源化收益包括餐厨垃圾处理过程中产生的生物原油、甘油三酯、有机肥料等副产品销售收益。</w:t>
      </w:r>
    </w:p>
    <w:p w14:paraId="3C6E0C09">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1.2收费方式：基础服务费按年结算，每年3月底前支付（但特许经营者每月需向项目实施单位报送处理台账及费用明细审核。次年3月报送上一年度处理台账及费用明细汇总，经审核确认后，由财政部门拨付上一年度处理服务费。资源化收益由特许经营者自主核算收取。</w:t>
      </w:r>
    </w:p>
    <w:p w14:paraId="4D3B57DB">
      <w:pPr>
        <w:spacing w:line="440" w:lineRule="exact"/>
        <w:ind w:firstLine="444" w:firstLineChars="202"/>
        <w:rPr>
          <w:rFonts w:hint="eastAsia" w:ascii="宋体" w:hAnsi="宋体" w:cs="宋体"/>
          <w:color w:val="000000"/>
          <w:lang w:val="en-US" w:eastAsia="zh-CN"/>
        </w:rPr>
      </w:pPr>
      <w:r>
        <w:rPr>
          <w:rFonts w:hint="eastAsia" w:ascii="宋体" w:hAnsi="宋体" w:cs="宋体"/>
          <w:color w:val="000000"/>
          <w:lang w:val="en-US" w:eastAsia="zh-CN"/>
        </w:rPr>
        <w:t>1.3特许经营者不得直接向餐厨垃圾产生单位收费，由政府统收统支。</w:t>
      </w:r>
    </w:p>
    <w:p w14:paraId="6098D108">
      <w:pPr>
        <w:spacing w:line="440" w:lineRule="exact"/>
        <w:ind w:firstLine="444" w:firstLineChars="202"/>
        <w:rPr>
          <w:rFonts w:hint="eastAsia" w:ascii="宋体" w:hAnsi="宋体" w:cs="宋体"/>
          <w:color w:val="FF0000"/>
          <w:lang w:val="en-US" w:eastAsia="zh-CN"/>
        </w:rPr>
      </w:pPr>
      <w:r>
        <w:rPr>
          <w:rFonts w:hint="eastAsia" w:ascii="宋体" w:hAnsi="宋体" w:cs="宋体"/>
          <w:color w:val="FF0000"/>
          <w:lang w:val="en-US" w:eastAsia="zh-CN"/>
        </w:rPr>
        <w:t>1.4最高投标限价</w:t>
      </w:r>
    </w:p>
    <w:p w14:paraId="3FC61212">
      <w:pPr>
        <w:spacing w:line="440" w:lineRule="exact"/>
        <w:ind w:firstLine="444" w:firstLineChars="202"/>
        <w:rPr>
          <w:rFonts w:hint="default" w:ascii="宋体" w:hAnsi="宋体" w:cs="宋体"/>
          <w:color w:val="FF0000"/>
          <w:lang w:val="en-US" w:eastAsia="zh-CN"/>
        </w:rPr>
      </w:pPr>
      <w:r>
        <w:rPr>
          <w:rFonts w:hint="eastAsia" w:ascii="宋体" w:hAnsi="宋体" w:cs="宋体"/>
          <w:color w:val="FF0000"/>
          <w:lang w:val="en-US" w:eastAsia="zh-CN"/>
        </w:rPr>
        <w:t>最高投标限价：280元/吨（大写：贰佰捌拾元每吨），该费用为全包综合单价，涵盖餐厨垃圾收集、转运、场地及设备使用、无害化处理及资源化利用等全过程服务所需全部成本与合理收益。</w:t>
      </w:r>
    </w:p>
    <w:p w14:paraId="46C5E07B">
      <w:pPr>
        <w:widowControl w:val="0"/>
        <w:spacing w:line="560" w:lineRule="exact"/>
        <w:ind w:firstLine="482" w:firstLineChars="200"/>
        <w:outlineLvl w:val="2"/>
        <w:rPr>
          <w:rFonts w:hint="eastAsia" w:ascii="宋体" w:hAnsi="宋体"/>
          <w:b/>
          <w:bCs/>
          <w:color w:val="auto"/>
          <w:kern w:val="2"/>
          <w:sz w:val="24"/>
          <w:szCs w:val="32"/>
          <w:highlight w:val="none"/>
          <w:lang w:val="en-US" w:eastAsia="zh-CN"/>
        </w:rPr>
      </w:pPr>
      <w:r>
        <w:rPr>
          <w:rFonts w:hint="eastAsia" w:ascii="宋体" w:hAnsi="宋体"/>
          <w:b/>
          <w:bCs/>
          <w:color w:val="auto"/>
          <w:kern w:val="2"/>
          <w:sz w:val="24"/>
          <w:szCs w:val="32"/>
          <w:highlight w:val="none"/>
          <w:lang w:val="en-US" w:eastAsia="zh-CN"/>
        </w:rPr>
        <w:t>（二）特许经营者全周期责任</w:t>
      </w:r>
    </w:p>
    <w:p w14:paraId="39BB73B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特许经营者需对项目投资、建设、运营、移交全生命周期承担相应责任，具体如下：</w:t>
      </w:r>
    </w:p>
    <w:p w14:paraId="501A3B5D">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1、投资阶段责任</w:t>
      </w:r>
    </w:p>
    <w:p w14:paraId="0FBB33F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按照特许经营协议约定的投资规模、资金来源及时足额投入项目建设资金，保障资金到位率满足建设进度要求；</w:t>
      </w:r>
    </w:p>
    <w:p w14:paraId="2FFD33E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若需成立项目公司，负责在规定期限内完成项目公司注册登记，明确项目公司股权结构、注册资本、出资方式等，确保项目公司具备合法运营资质；</w:t>
      </w:r>
    </w:p>
    <w:p w14:paraId="3BD89C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配合</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办理项目立项、审批等相关手续，提供必要的资料及支持。</w:t>
      </w:r>
    </w:p>
    <w:p w14:paraId="265EBF6B">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2、建设阶段责任</w:t>
      </w:r>
    </w:p>
    <w:p w14:paraId="3596DED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严格按照批准的建设方案、施工图纸及工程建设标准组织施工，严控工程质量、安全及进度，确保项目按期竣工；</w:t>
      </w:r>
    </w:p>
    <w:p w14:paraId="3F593E9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建立健全建设期间安全生产责任制，落实安全防护措施，防范建设安全事故；</w:t>
      </w:r>
    </w:p>
    <w:p w14:paraId="394C6D0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遵守环境保护相关规定，减少建设过程中对周边环境的影响；</w:t>
      </w:r>
    </w:p>
    <w:p w14:paraId="2DA28E6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4）</w:t>
      </w:r>
      <w:r>
        <w:rPr>
          <w:rFonts w:hint="eastAsia" w:ascii="宋体" w:hAnsi="宋体" w:eastAsia="宋体" w:cs="宋体"/>
          <w:color w:val="auto"/>
          <w:kern w:val="0"/>
          <w:sz w:val="21"/>
          <w:szCs w:val="21"/>
          <w:lang w:bidi="ar"/>
        </w:rPr>
        <w:t>项目竣工后，依法组织竣工验收，并在验收合格后3个月内，向</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及相关部门报送建设工程项目档案；</w:t>
      </w:r>
    </w:p>
    <w:p w14:paraId="0B7CB5A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5）</w:t>
      </w:r>
      <w:r>
        <w:rPr>
          <w:rFonts w:hint="eastAsia" w:ascii="宋体" w:hAnsi="宋体" w:eastAsia="宋体" w:cs="宋体"/>
          <w:color w:val="auto"/>
          <w:kern w:val="0"/>
          <w:sz w:val="21"/>
          <w:szCs w:val="21"/>
          <w:lang w:bidi="ar"/>
        </w:rPr>
        <w:t>对建设过程中出现的设计变更、成本调整等情况，及时与</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沟通协商，按规定程序报批后实施。</w:t>
      </w:r>
    </w:p>
    <w:p w14:paraId="6917C9B7">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3、运营阶段责任</w:t>
      </w:r>
    </w:p>
    <w:p w14:paraId="68BD4D3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严格遵守特许经营协议约定及相关法律法规，提供符合质量标准的收运处理服务，保障服务连续性和稳定性；</w:t>
      </w:r>
    </w:p>
    <w:p w14:paraId="383DFA9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依法接受</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及环保、城管、市场监管等部门的监督管理，配合开展绩效评价、检查检测等工作，及时整改发现的问题；</w:t>
      </w:r>
    </w:p>
    <w:p w14:paraId="2D28357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规范财务管理，建立清晰的财务台账，确保项目收费及补贴资金专款专用；</w:t>
      </w:r>
    </w:p>
    <w:p w14:paraId="6B5628B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4）</w:t>
      </w:r>
      <w:r>
        <w:rPr>
          <w:rFonts w:hint="eastAsia" w:ascii="宋体" w:hAnsi="宋体" w:eastAsia="宋体" w:cs="宋体"/>
          <w:color w:val="auto"/>
          <w:kern w:val="0"/>
          <w:sz w:val="21"/>
          <w:szCs w:val="21"/>
          <w:lang w:bidi="ar"/>
        </w:rPr>
        <w:t>加强从业人员培训，配备合格的管理人员及操作人员，提升服务水平；</w:t>
      </w:r>
    </w:p>
    <w:p w14:paraId="00C322C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5）</w:t>
      </w:r>
      <w:r>
        <w:rPr>
          <w:rFonts w:hint="eastAsia" w:ascii="宋体" w:hAnsi="宋体" w:eastAsia="宋体" w:cs="宋体"/>
          <w:color w:val="auto"/>
          <w:kern w:val="0"/>
          <w:sz w:val="21"/>
          <w:szCs w:val="21"/>
          <w:lang w:bidi="ar"/>
        </w:rPr>
        <w:t>若需停业、歇业，需提前6个月向</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报告，经同意后方可实施；不得擅自中断运营或退出项目，确需提前终止协议的，需按规定程序办理并承担相应违约责任。</w:t>
      </w:r>
    </w:p>
    <w:p w14:paraId="75FA324E">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4、移交阶段责任</w:t>
      </w:r>
    </w:p>
    <w:p w14:paraId="65A96D0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8"/>
          <w:szCs w:val="28"/>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特许经营期限届满前6个月，向</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提交项目移交计划，明确移交内容、时间、程序及保障措施；</w:t>
      </w:r>
    </w:p>
    <w:p w14:paraId="6D8E613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移交前对项目资产进行全面检修维护，确保资产状况良好、性能达标，无权属纠纷或抵押担保等问题；</w:t>
      </w:r>
    </w:p>
    <w:p w14:paraId="205F3C5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完整移交项目全部技术资料，包括设计图纸、工艺文件、设备说明书、运营台账、财务报表等；</w:t>
      </w:r>
    </w:p>
    <w:p w14:paraId="77801E1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4）</w:t>
      </w:r>
      <w:r>
        <w:rPr>
          <w:rFonts w:hint="eastAsia" w:ascii="宋体" w:hAnsi="宋体" w:eastAsia="宋体" w:cs="宋体"/>
          <w:color w:val="auto"/>
          <w:kern w:val="0"/>
          <w:sz w:val="21"/>
          <w:szCs w:val="21"/>
          <w:lang w:bidi="ar"/>
        </w:rPr>
        <w:t>对</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接管人员进行充分的技术培训，确保接管后项目能够持续稳定运营；</w:t>
      </w:r>
    </w:p>
    <w:p w14:paraId="60F2B9D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5）</w:t>
      </w:r>
      <w:r>
        <w:rPr>
          <w:rFonts w:hint="eastAsia" w:ascii="宋体" w:hAnsi="宋体" w:eastAsia="宋体" w:cs="宋体"/>
          <w:color w:val="auto"/>
          <w:kern w:val="0"/>
          <w:sz w:val="21"/>
          <w:szCs w:val="21"/>
          <w:lang w:bidi="ar"/>
        </w:rPr>
        <w:t>按照协议约定妥善处理移交后的人员安置、遗留问题等，配合</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完成移交验收。</w:t>
      </w:r>
    </w:p>
    <w:p w14:paraId="3FDAF353">
      <w:pPr>
        <w:keepNext w:val="0"/>
        <w:keepLines w:val="0"/>
        <w:pageBreakBefore w:val="0"/>
        <w:kinsoku/>
        <w:wordWrap/>
        <w:overflowPunct/>
        <w:topLinePunct w:val="0"/>
        <w:autoSpaceDE/>
        <w:autoSpaceDN/>
        <w:bidi w:val="0"/>
        <w:adjustRightInd/>
        <w:snapToGrid/>
        <w:spacing w:beforeAutospacing="0" w:afterAutospacing="0" w:line="360" w:lineRule="auto"/>
        <w:ind w:firstLine="602" w:firstLineChars="200"/>
        <w:jc w:val="left"/>
        <w:textAlignment w:val="auto"/>
        <w:outlineLvl w:val="1"/>
        <w:rPr>
          <w:rFonts w:hint="eastAsia" w:ascii="宋体" w:hAnsi="宋体" w:eastAsia="宋体" w:cs="宋体"/>
          <w:b/>
          <w:bCs/>
          <w:snapToGrid w:val="0"/>
          <w:color w:val="auto"/>
          <w:kern w:val="0"/>
          <w:sz w:val="30"/>
          <w:szCs w:val="30"/>
        </w:rPr>
      </w:pPr>
      <w:bookmarkStart w:id="930" w:name="_Toc29386"/>
      <w:r>
        <w:rPr>
          <w:rFonts w:hint="eastAsia" w:ascii="宋体" w:hAnsi="宋体" w:eastAsia="宋体" w:cs="宋体"/>
          <w:b/>
          <w:bCs/>
          <w:snapToGrid w:val="0"/>
          <w:color w:val="auto"/>
          <w:kern w:val="0"/>
          <w:sz w:val="30"/>
          <w:szCs w:val="30"/>
          <w:lang w:eastAsia="zh-CN"/>
        </w:rPr>
        <w:t>三</w:t>
      </w:r>
      <w:r>
        <w:rPr>
          <w:rFonts w:hint="eastAsia" w:ascii="宋体" w:hAnsi="宋体" w:eastAsia="宋体" w:cs="宋体"/>
          <w:b/>
          <w:bCs/>
          <w:snapToGrid w:val="0"/>
          <w:color w:val="auto"/>
          <w:kern w:val="0"/>
          <w:sz w:val="30"/>
          <w:szCs w:val="30"/>
        </w:rPr>
        <w:t>、实施方式</w:t>
      </w:r>
      <w:bookmarkEnd w:id="930"/>
    </w:p>
    <w:p w14:paraId="31A7815D">
      <w:pPr>
        <w:spacing w:line="360" w:lineRule="auto"/>
        <w:ind w:firstLine="482" w:firstLineChars="200"/>
        <w:jc w:val="left"/>
        <w:outlineLvl w:val="2"/>
        <w:rPr>
          <w:rFonts w:hint="eastAsia" w:ascii="宋体" w:hAnsi="宋体" w:eastAsia="宋体" w:cs="宋体"/>
          <w:b/>
          <w:bCs/>
          <w:snapToGrid w:val="0"/>
          <w:color w:val="auto"/>
          <w:kern w:val="0"/>
          <w:sz w:val="24"/>
          <w:szCs w:val="24"/>
          <w:lang w:val="en-US" w:eastAsia="zh-CN"/>
        </w:rPr>
      </w:pPr>
      <w:r>
        <w:rPr>
          <w:rFonts w:hint="eastAsia" w:ascii="宋体" w:hAnsi="宋体" w:eastAsia="宋体" w:cs="宋体"/>
          <w:b/>
          <w:bCs/>
          <w:snapToGrid w:val="0"/>
          <w:color w:val="auto"/>
          <w:kern w:val="0"/>
          <w:sz w:val="24"/>
          <w:szCs w:val="24"/>
          <w:lang w:val="en-US" w:eastAsia="zh-CN"/>
        </w:rPr>
        <w:t>（一）拟采用的特许经营具体实施方式</w:t>
      </w:r>
    </w:p>
    <w:p w14:paraId="5D29B30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经综合研判，本项目作为全新建设的餐厨垃圾收运处理及综合利用基础设施项目，拟采用</w:t>
      </w:r>
      <w:r>
        <w:rPr>
          <w:rFonts w:ascii="宋体" w:hAnsi="宋体" w:cs="宋体"/>
          <w:snapToGrid w:val="0"/>
          <w:color w:val="auto"/>
          <w:kern w:val="0"/>
          <w:sz w:val="21"/>
          <w:szCs w:val="21"/>
        </w:rPr>
        <w:t>改建—运营—移交（ROT）</w:t>
      </w:r>
      <w:r>
        <w:rPr>
          <w:rFonts w:hint="eastAsia" w:ascii="宋体" w:hAnsi="宋体" w:eastAsia="宋体" w:cs="宋体"/>
          <w:color w:val="auto"/>
          <w:kern w:val="0"/>
          <w:sz w:val="21"/>
          <w:szCs w:val="21"/>
          <w:lang w:bidi="ar"/>
        </w:rPr>
        <w:t>模式实施特许经营。</w:t>
      </w:r>
    </w:p>
    <w:p w14:paraId="4C2FC0B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具体运作路径为：由牟定县人民政府授权</w:t>
      </w:r>
      <w:r>
        <w:rPr>
          <w:rFonts w:hint="eastAsia" w:ascii="宋体" w:hAnsi="宋体" w:eastAsia="宋体" w:cs="宋体"/>
          <w:color w:val="auto"/>
          <w:kern w:val="0"/>
          <w:sz w:val="21"/>
          <w:szCs w:val="21"/>
          <w:lang w:eastAsia="zh-CN" w:bidi="ar"/>
        </w:rPr>
        <w:t>牟定县住房和城乡建设局</w:t>
      </w:r>
      <w:r>
        <w:rPr>
          <w:rFonts w:hint="eastAsia" w:ascii="宋体" w:hAnsi="宋体" w:eastAsia="宋体" w:cs="宋体"/>
          <w:color w:val="auto"/>
          <w:kern w:val="0"/>
          <w:sz w:val="21"/>
          <w:szCs w:val="21"/>
          <w:lang w:bidi="ar"/>
        </w:rPr>
        <w:t>作为项目</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，通过公开招标方式选择具备餐厨垃圾处理技术储备、运营管理经验及投融资能力的社会资本；社会资本需在规定期限内成立项目公司，由</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与项目公司签订《特许经营协议》；项目公司在特许经营期内（含建设期和运营期），全权负责项目的投融资、设计、建设、运营维护及资源化利用；运营期内通过资源化副产品销售收益及合规的可行性缺口补助回收投资并获取合理回报；特许经营期限届满后，项目公司需将项目全部资产（含收运系统、处理设施、配套设备及土地使用权等）无偿、完好、无权属纠纷地移交给</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或政府指定的其他单位。</w:t>
      </w:r>
    </w:p>
    <w:p w14:paraId="2350EE8E">
      <w:pPr>
        <w:keepNext w:val="0"/>
        <w:keepLines w:val="0"/>
        <w:pageBreakBefore w:val="0"/>
        <w:kinsoku/>
        <w:wordWrap/>
        <w:overflowPunct/>
        <w:topLinePunct w:val="0"/>
        <w:autoSpaceDE/>
        <w:autoSpaceDN/>
        <w:bidi w:val="0"/>
        <w:adjustRightInd/>
        <w:snapToGrid/>
        <w:spacing w:beforeAutospacing="0" w:afterAutospacing="0" w:line="360" w:lineRule="auto"/>
        <w:ind w:firstLine="602" w:firstLineChars="200"/>
        <w:jc w:val="left"/>
        <w:textAlignment w:val="auto"/>
        <w:outlineLvl w:val="1"/>
        <w:rPr>
          <w:rFonts w:hint="eastAsia" w:ascii="宋体" w:hAnsi="宋体" w:eastAsia="宋体" w:cs="宋体"/>
          <w:b/>
          <w:bCs/>
          <w:snapToGrid w:val="0"/>
          <w:color w:val="auto"/>
          <w:kern w:val="0"/>
          <w:sz w:val="30"/>
          <w:szCs w:val="30"/>
          <w:lang w:eastAsia="zh-CN"/>
        </w:rPr>
      </w:pPr>
      <w:r>
        <w:rPr>
          <w:rFonts w:hint="eastAsia" w:ascii="宋体" w:hAnsi="宋体" w:eastAsia="宋体" w:cs="宋体"/>
          <w:b/>
          <w:bCs/>
          <w:snapToGrid w:val="0"/>
          <w:color w:val="auto"/>
          <w:kern w:val="0"/>
          <w:sz w:val="30"/>
          <w:szCs w:val="30"/>
          <w:lang w:eastAsia="zh-CN"/>
        </w:rPr>
        <w:t>四、特许经营期限和资产权属</w:t>
      </w:r>
    </w:p>
    <w:p w14:paraId="4FFDD809">
      <w:pPr>
        <w:spacing w:line="360" w:lineRule="auto"/>
        <w:ind w:firstLine="482" w:firstLineChars="200"/>
        <w:jc w:val="left"/>
        <w:outlineLvl w:val="2"/>
        <w:rPr>
          <w:rFonts w:hint="eastAsia" w:ascii="宋体" w:hAnsi="宋体" w:eastAsia="宋体" w:cs="宋体"/>
          <w:b/>
          <w:bCs/>
          <w:snapToGrid w:val="0"/>
          <w:color w:val="auto"/>
          <w:kern w:val="0"/>
          <w:sz w:val="24"/>
          <w:szCs w:val="24"/>
          <w:lang w:val="en-US" w:eastAsia="zh-CN"/>
        </w:rPr>
      </w:pPr>
      <w:r>
        <w:rPr>
          <w:rFonts w:hint="eastAsia" w:ascii="宋体" w:hAnsi="宋体" w:eastAsia="宋体" w:cs="宋体"/>
          <w:b/>
          <w:bCs/>
          <w:snapToGrid w:val="0"/>
          <w:color w:val="auto"/>
          <w:kern w:val="0"/>
          <w:sz w:val="24"/>
          <w:szCs w:val="24"/>
          <w:lang w:val="en-US" w:eastAsia="zh-CN"/>
        </w:rPr>
        <w:t>（一）特许经营期限</w:t>
      </w:r>
    </w:p>
    <w:p w14:paraId="3F8F21F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val="en-US" w:eastAsia="zh-CN" w:bidi="ar"/>
        </w:rPr>
        <w:t>本项目特许经营期限确定为40年（含3个月项目建设期），自项目正式开工建设之日起计算，其中建设期为3个月，运营期为39年9个月。若建设期内出现不可抗力、政策调整等非特许经营者原因导致的工期延误，经项目项目实施机构审核确认后，特许经营期限可相应顺延，顺延期限不超过延误的实际工期；若因特许经营者自身原因导致工期延误，特许经营期限不予顺延，运营期相应缩短。</w:t>
      </w:r>
    </w:p>
    <w:p w14:paraId="4812DC0E">
      <w:pPr>
        <w:spacing w:line="360" w:lineRule="auto"/>
        <w:ind w:firstLine="482" w:firstLineChars="200"/>
        <w:jc w:val="left"/>
        <w:outlineLvl w:val="2"/>
        <w:rPr>
          <w:rFonts w:hint="eastAsia" w:ascii="宋体" w:hAnsi="宋体" w:eastAsia="宋体" w:cs="宋体"/>
          <w:b/>
          <w:bCs/>
          <w:snapToGrid w:val="0"/>
          <w:color w:val="auto"/>
          <w:kern w:val="0"/>
          <w:sz w:val="24"/>
          <w:szCs w:val="24"/>
          <w:lang w:val="en-US" w:eastAsia="zh-CN"/>
        </w:rPr>
      </w:pPr>
      <w:r>
        <w:rPr>
          <w:rFonts w:hint="eastAsia" w:ascii="宋体" w:hAnsi="宋体" w:eastAsia="宋体" w:cs="宋体"/>
          <w:b/>
          <w:bCs/>
          <w:snapToGrid w:val="0"/>
          <w:color w:val="auto"/>
          <w:kern w:val="0"/>
          <w:sz w:val="24"/>
          <w:szCs w:val="24"/>
          <w:lang w:val="en-US" w:eastAsia="zh-CN"/>
        </w:rPr>
        <w:t>（二）特许经营期限确定依据</w:t>
      </w:r>
    </w:p>
    <w:p w14:paraId="3EFDB28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本项目40年特许经营期限的确定，严格遵循国家法律法规、行业政策及项目实际情况，综合多维度因素科学测算。</w:t>
      </w:r>
    </w:p>
    <w:p w14:paraId="31924A1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国家政策法规要求：根据《国务院办公厅转发国家发展改革委、财政部关于规范实施政府和社会资本合作新机制的指导意见的通知》（国办发〔2023〕32号）规定，特许经营期限原则上不超过40年，投资规模大、回报周期长的特许经营项目可根据实际情况适当延长，法律法规另有规定的除外。本项目作为餐厨垃圾收运处理及综合利用类公用事业项目，属于公共属性强、投资回收周期长的基础设施项目，40年期限符合国家政策上限要求，兼顾了项目公益性与特许经营者的合理收益诉求。</w:t>
      </w:r>
    </w:p>
    <w:p w14:paraId="5B006F3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项目投资与回报周期测算：本项目包含餐厨垃圾收集转运设施、处理厂建设及后期运营维护，涉及固定资产投资规模较大，且餐厨垃圾处理服务收费受政府指导价调控，收益水平相对稳定。项目设定3个月建设期，主要用于场地平整、核心设备安装及配套设施搭建，建设期无运营收益，需通过后续运营期回收成本。经测算，包含建设期在内的40年期限，能够为特许经营者提供充足的周期回收建设投资、覆盖运营成本并获得合理利润，同时避免因期限规划不合理导致经营者短期行为，保障服务质量持续达标。</w:t>
      </w:r>
    </w:p>
    <w:p w14:paraId="37EEEA4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设施使用寿命与运营需求：餐厨垃圾处理厂核心设备、收运车辆及配套设施的设计使用寿命通常为15-25年，项目运营期间需经历多次设备更新改造与设施维护升级。40年期限能够覆盖设施完整的生命周期，确保特许经营者有充足时间完成设施的更新迭代，保障项目持续满足环保标准和服务要求，同时匹配区域餐厨垃圾产生量的长期变化趋势。</w:t>
      </w:r>
    </w:p>
    <w:p w14:paraId="21F3B55F">
      <w:pPr>
        <w:spacing w:line="360" w:lineRule="auto"/>
        <w:ind w:firstLine="482" w:firstLineChars="200"/>
        <w:jc w:val="left"/>
        <w:outlineLvl w:val="2"/>
        <w:rPr>
          <w:rFonts w:hint="eastAsia" w:ascii="宋体" w:hAnsi="宋体" w:eastAsia="宋体" w:cs="宋体"/>
          <w:b/>
          <w:bCs/>
          <w:snapToGrid w:val="0"/>
          <w:color w:val="auto"/>
          <w:kern w:val="0"/>
          <w:sz w:val="24"/>
          <w:szCs w:val="24"/>
          <w:lang w:val="en-US" w:eastAsia="zh-CN"/>
        </w:rPr>
      </w:pPr>
      <w:r>
        <w:rPr>
          <w:rFonts w:hint="eastAsia" w:ascii="宋体" w:hAnsi="宋体" w:eastAsia="宋体" w:cs="宋体"/>
          <w:b/>
          <w:bCs/>
          <w:snapToGrid w:val="0"/>
          <w:color w:val="auto"/>
          <w:kern w:val="0"/>
          <w:sz w:val="24"/>
          <w:szCs w:val="24"/>
          <w:lang w:val="en-US" w:eastAsia="zh-CN"/>
        </w:rPr>
        <w:t>（三）资产权属划分</w:t>
      </w:r>
    </w:p>
    <w:p w14:paraId="41F83894">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1、特许经营期限内资产权属</w:t>
      </w:r>
    </w:p>
    <w:p w14:paraId="162EE00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特许经营者投资建设的资产：3个月建设期内，特许经营者投资建设的餐厨垃圾处理厂厂房、设备、收运车辆、转运站及配套管网等固定资产，所有权归特许经营者所有。建设期内资产由特许经营者负责管理及保护，建成后需按标准验收合格方可进入运营阶段。整个特许经营期限内，特许经营者需建立完整的资产台账，承担资产的日常运营、维护、检修和更新改造责任，确保资产处于良好运行状态，相关费用全部纳入项目运营成本。</w:t>
      </w:r>
    </w:p>
    <w:p w14:paraId="3F22A84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政府提供的现有资产：若政府为项目提供现有基础设施、场地等资产，该部分资产所有权仍归政府所有，特许经营者依据特许经营协议获得使用权，负责资产的运营管理和维护，确保资产功能完好，不得擅自处置、抵押或转让。使用期间产生的维护费用由特许经营者承担，若需进行重大改造，需经项目</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审核同意后实施，改造形成的新增资产所有权按协议约定执行，无约定的归特许经营者所有。</w:t>
      </w:r>
    </w:p>
    <w:p w14:paraId="2D473D6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资产使用约束：特许经营期限内，所有项目资产仅可用于本项目餐厨垃圾收运处理及综合利用相关业务，特许经营者不得擅自改变资产用途。若因政策调整、项目扩建等需要变更资产用途或处置资产，需提前报项目</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批准，经评估后按规定程序处理，确保国有资产不流失、公共服务不受影响。</w:t>
      </w:r>
    </w:p>
    <w:p w14:paraId="36778A91">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2、特许经营到期后资产权属及处置</w:t>
      </w:r>
    </w:p>
    <w:p w14:paraId="3816C9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无偿移交资产范围：特许经营者投资建设的全部固定资产（包括厂房、设备、管网、转运设施及剩余使用价值的收运车辆等），需在特许经营期限届满且符合移交条件后，无偿移交给项目</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（政府指定部门），移交时资产需满足国家现行环保标准、安全规范及特许经营协议约定的服务能力要求，无抵押、质押等权利负担。</w:t>
      </w:r>
    </w:p>
    <w:p w14:paraId="6ACE68C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移交前资产状况要求：特许经营期限届满前6个月，特许经营者需委托第三方机构对项目资产进行全面评估，出具资产状况报告。对达到使用年限、无法正常运行的设备，需按协议约定进行更换或修复；对资产存在的损坏、老化问题，需及时整改，确保移交资产能够正常运营。评估及整改费用由特许经营者承担。</w:t>
      </w:r>
    </w:p>
    <w:p w14:paraId="1C2A5D9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资产移交程序：特许经营者需在期限届满前3个月，向项目</w:t>
      </w:r>
      <w:r>
        <w:rPr>
          <w:rFonts w:hint="eastAsia" w:ascii="宋体" w:hAnsi="宋体" w:cs="宋体"/>
          <w:color w:val="auto"/>
          <w:kern w:val="0"/>
          <w:sz w:val="21"/>
          <w:szCs w:val="21"/>
          <w:lang w:eastAsia="zh-CN" w:bidi="ar"/>
        </w:rPr>
        <w:t>项目实施机构</w:t>
      </w:r>
      <w:r>
        <w:rPr>
          <w:rFonts w:hint="eastAsia" w:ascii="宋体" w:hAnsi="宋体" w:eastAsia="宋体" w:cs="宋体"/>
          <w:color w:val="auto"/>
          <w:kern w:val="0"/>
          <w:sz w:val="21"/>
          <w:szCs w:val="21"/>
          <w:lang w:bidi="ar"/>
        </w:rPr>
        <w:t>提交资产移交方案，包括资产清单、权属证明、运行维护记录、技术资料等。双方共同组织验收，验收合格后办理资产移交手续，资产所有权正式转移至政府。若验收不合格，特许经营者需在规定期限内整改，逾期未达标视为违约，承担相应违约责任。</w:t>
      </w:r>
    </w:p>
    <w:p w14:paraId="0CB8C36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4）</w:t>
      </w:r>
      <w:r>
        <w:rPr>
          <w:rFonts w:hint="eastAsia" w:ascii="宋体" w:hAnsi="宋体" w:eastAsia="宋体" w:cs="宋体"/>
          <w:color w:val="auto"/>
          <w:kern w:val="0"/>
          <w:sz w:val="21"/>
          <w:szCs w:val="21"/>
          <w:lang w:bidi="ar"/>
        </w:rPr>
        <w:t>特许经营者自有流动资产处置：特许经营期限届满后，特许经营者的自有流动资金、存货、办公用品等流动资产，由特许经营者自行处置，不受移交约束，但需清理完毕项目场地内的自有物品，恢复场地原状（另有约定的除外）。</w:t>
      </w:r>
    </w:p>
    <w:p w14:paraId="26999B8E">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3、特殊情形下的资产处置</w:t>
      </w:r>
    </w:p>
    <w:p w14:paraId="54BD885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若特许经营协议提前终止（如特许经营者违约、不可抗力、政策重大调整等），资产处置按协议约定执行：因特许经营者违约导致协议终止的，特许经营者投资建设的资产按协议约定折价移交或由政府无偿收回，同时承担相应损失；因不可抗力或政策调整导致协议终止的，双方协商资产处置方案，合理补偿特许经营者的剩余资产价值，确保国有资产安全及公共服务连续性。</w:t>
      </w:r>
    </w:p>
    <w:p w14:paraId="72F89EA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8"/>
          <w:szCs w:val="28"/>
          <w:lang w:bidi="ar"/>
        </w:rPr>
      </w:pPr>
      <w:r>
        <w:rPr>
          <w:rFonts w:hint="eastAsia" w:ascii="宋体" w:hAnsi="宋体" w:eastAsia="宋体" w:cs="宋体"/>
          <w:color w:val="auto"/>
          <w:kern w:val="0"/>
          <w:sz w:val="21"/>
          <w:szCs w:val="21"/>
          <w:lang w:bidi="ar"/>
        </w:rPr>
        <w:t>本项目特许经营期限（含3个月建设期）及资产权属划分，严格遵循《基础设施和公用事业特许经营管理办法》《国务院办公厅转发国家发展改革委、财政部关于规范实施政府和社会资本合作新机制的指导意见的通知》等相关规定，兼顾政府监管、公共利益与特许经营者合法权益，通过明确权责边界，保障项目规范、高效、可持续运营。</w:t>
      </w:r>
    </w:p>
    <w:p w14:paraId="0D123A90">
      <w:pPr>
        <w:spacing w:line="360" w:lineRule="auto"/>
        <w:ind w:firstLine="602" w:firstLineChars="200"/>
        <w:jc w:val="left"/>
        <w:outlineLvl w:val="2"/>
        <w:rPr>
          <w:rFonts w:hint="eastAsia" w:ascii="宋体" w:hAnsi="宋体" w:eastAsia="宋体" w:cs="宋体"/>
          <w:b/>
          <w:bCs/>
          <w:snapToGrid w:val="0"/>
          <w:color w:val="auto"/>
          <w:kern w:val="0"/>
          <w:sz w:val="30"/>
          <w:szCs w:val="30"/>
          <w:lang w:val="en-US" w:eastAsia="zh-CN"/>
        </w:rPr>
      </w:pPr>
      <w:r>
        <w:rPr>
          <w:rFonts w:hint="eastAsia" w:ascii="宋体" w:hAnsi="宋体" w:eastAsia="宋体" w:cs="宋体"/>
          <w:b/>
          <w:bCs/>
          <w:snapToGrid w:val="0"/>
          <w:color w:val="auto"/>
          <w:kern w:val="0"/>
          <w:sz w:val="30"/>
          <w:szCs w:val="30"/>
          <w:lang w:val="en-US" w:eastAsia="zh-CN"/>
        </w:rPr>
        <w:t>五、特许经营各阶段各方权利、义务和责任</w:t>
      </w:r>
    </w:p>
    <w:p w14:paraId="71F55FD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本项目特许经营分为建设期、运营期、移交期三个阶段，明确政府、特许经营者、项目公司各方在各阶段的权利、义务和责任，确保权责清晰、履约到位。</w:t>
      </w:r>
    </w:p>
    <w:p w14:paraId="360F3F74">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1、建设期（3个月）</w:t>
      </w:r>
    </w:p>
    <w:p w14:paraId="7A7AD6F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政府方权利：对项目建设进度、质量、安全进行监督检查；审核项目建设方案、施工图纸及进度计划；依法协调解决项目建设所需的用地、规划、环评等审批手续及周边关系。</w:t>
      </w:r>
    </w:p>
    <w:p w14:paraId="143F0B4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义务：及时提供项目建设所需的基础资料（如地形地貌、管网分布等）；保障项目建设期间的公共服务配套（如水、电、路接通至项目场地）；按约定提供现有资产并办理交接手续。</w:t>
      </w:r>
    </w:p>
    <w:p w14:paraId="520E030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责任：因政府方原因（如审批延误、用地纠纷）导致工期延误的，承担相应责任并同意顺延特许经营期限；未按约定提供配套条件造成损失的，予以合理补偿。</w:t>
      </w:r>
    </w:p>
    <w:p w14:paraId="4A90708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特许经营者权利：自主选择具备相应资质的施工单位、监理单位；按批准的建设方案组织施工；要求政府方协调解决建设期间的合理诉求。</w:t>
      </w:r>
    </w:p>
    <w:p w14:paraId="3149C14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义务：严格按照设计标准、施工规范及环保要求组织建设；制定详细的建设进度计划并报政府方备案；定期报送建设进度、质量安全报告；确保建设资金足额到位，不擅自挪用。</w:t>
      </w:r>
    </w:p>
    <w:p w14:paraId="549E901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责任：因自身原因导致工期延误、工程质量不合格的，承担返工、整改费用，且特许经营期限不予顺延；建设期间造成环境污染、安全事故的，依法承担相应法律责任及赔偿责任。</w:t>
      </w:r>
    </w:p>
    <w:p w14:paraId="7962CF2A">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2、运营期（39年9个月）</w:t>
      </w:r>
    </w:p>
    <w:p w14:paraId="6DF1EDD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政府方权利：对特许经营者、项目公司的运营服务质量、安全管理、环保达标情况进行常态化监管；审核收费标准调整申请及运营数据；对项目资产使用情况进行监督，防止国有资产流失。</w:t>
      </w:r>
    </w:p>
    <w:p w14:paraId="34F1922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义务：维护项目运营市场秩序，禁止第三方非法开展同类餐厨垃圾收运处理业务；及时传达相关政策法规及行业标准，为项目运营提供政策指导；按约定支付相应补贴（如有）。</w:t>
      </w:r>
    </w:p>
    <w:p w14:paraId="6BF46F7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责任：因政策调整导致项目运营成本大幅增加或无法正常运营的，承担相应的补偿责任；未履行监管职责导致服务质量不达标、环境污染的，依法追究相关责任。</w:t>
      </w:r>
    </w:p>
    <w:p w14:paraId="71E304D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特许经营者权利：按协议约定开展餐厨垃圾收运处理及综合利用业务，自主制定运营管理制度；按核定标准收取使用者费用；享受政府提供的相关优惠政策；对运营期间的自有资产行使所有权。</w:t>
      </w:r>
    </w:p>
    <w:p w14:paraId="20A843F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严格执行环保、安全、服务等法定标准及协议约定，确保收运及时、处理达标；建立健全运营台账、安全管理制度及应急处置预案；定期向政府方报送运营数据、财务报告及资产维护记录；负责项目资产的日常维护、检修及更新改造。</w:t>
      </w:r>
    </w:p>
    <w:p w14:paraId="14F5E42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运营期间服务质量不达标、环保超标或发生安全事故的，承担整改、处罚及赔偿责任；未按约定维护资产导致资产损坏、功能下降的，负责修复或更换；擅自停止运营、改变资产用途的，按协议约定承担违约责任，政府方可单方终止协议。</w:t>
      </w:r>
    </w:p>
    <w:p w14:paraId="19381FAE">
      <w:pPr>
        <w:spacing w:line="360" w:lineRule="auto"/>
        <w:ind w:firstLine="420" w:firstLineChars="200"/>
        <w:jc w:val="left"/>
        <w:outlineLvl w:val="3"/>
        <w:rPr>
          <w:rFonts w:hint="eastAsia" w:ascii="宋体" w:hAnsi="宋体" w:eastAsia="宋体" w:cs="宋体"/>
          <w:b w:val="0"/>
          <w:bCs w:val="0"/>
          <w:snapToGrid w:val="0"/>
          <w:color w:val="auto"/>
          <w:kern w:val="0"/>
          <w:sz w:val="21"/>
          <w:szCs w:val="21"/>
          <w:lang w:val="en-US" w:eastAsia="zh-CN"/>
        </w:rPr>
      </w:pPr>
      <w:r>
        <w:rPr>
          <w:rFonts w:hint="eastAsia" w:ascii="宋体" w:hAnsi="宋体" w:eastAsia="宋体" w:cs="宋体"/>
          <w:b w:val="0"/>
          <w:bCs w:val="0"/>
          <w:snapToGrid w:val="0"/>
          <w:color w:val="auto"/>
          <w:kern w:val="0"/>
          <w:sz w:val="21"/>
          <w:szCs w:val="21"/>
          <w:lang w:val="en-US" w:eastAsia="zh-CN"/>
        </w:rPr>
        <w:t>3、移交期（期限届满前6个月至移交完成）</w:t>
      </w:r>
    </w:p>
    <w:p w14:paraId="2595A0B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政府方权利：对特许经营者的资产整改、评估工作进行监督；组织资产验收及移交手续办理；核查资产清单、技术资料及运营记录的完整性。</w:t>
      </w:r>
    </w:p>
    <w:p w14:paraId="2D361EF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义务：及时接收符合条件的项目资产，明确资产后续管理主体；配合特许经营者办理资产移交相关手续，提供必要的协助。</w:t>
      </w:r>
    </w:p>
    <w:p w14:paraId="4094E7B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责任：无正当理由拒绝接收合格资产，导致特许经营者损失的，承担赔偿责任；未按约定办理移交手续的，承担相应违约责任。</w:t>
      </w:r>
    </w:p>
    <w:p w14:paraId="6E82629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特许经营者权利：要求政府方按时接收合格资产；对自有流动资产自主处置；要求政府方出具资产移交验收证明。</w:t>
      </w:r>
    </w:p>
    <w:p w14:paraId="4772F9A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义务：委托第三方机构开展资产评估，按要求完成资产整改、修复；整理资产清单、技术资料、运营记录等移交材料，按时提交政府方；配合政府方完成资产验收及移交，清理场地内自有物品。</w:t>
      </w:r>
    </w:p>
    <w:p w14:paraId="09EB48E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责任：未按约定完成资产整改、提交移交材料，或移交资产不符合要求的，承担整改费用及违约责任；移交后发现因自身原因导致的资产隐患，承担相应修复责任。</w:t>
      </w:r>
    </w:p>
    <w:p w14:paraId="44D6F2F9">
      <w:pPr>
        <w:spacing w:line="560" w:lineRule="exact"/>
        <w:ind w:firstLine="480" w:firstLineChars="200"/>
        <w:rPr>
          <w:rFonts w:hint="eastAsia" w:ascii="宋体" w:hAnsi="宋体" w:eastAsia="宋体"/>
          <w:color w:val="auto"/>
          <w:kern w:val="2"/>
          <w:sz w:val="24"/>
          <w:highlight w:val="none"/>
          <w:lang w:eastAsia="zh-CN"/>
        </w:rPr>
      </w:pPr>
    </w:p>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14:paraId="71090D32">
      <w:pPr>
        <w:bidi w:val="0"/>
        <w:ind w:left="0" w:leftChars="0" w:firstLine="0" w:firstLineChars="0"/>
        <w:jc w:val="center"/>
        <w:rPr>
          <w:rFonts w:hint="eastAsia" w:ascii="宋体" w:hAnsi="宋体" w:eastAsia="宋体" w:cs="宋体"/>
          <w:color w:val="auto"/>
          <w:sz w:val="36"/>
          <w:szCs w:val="36"/>
          <w:highlight w:val="none"/>
          <w:lang w:val="en-US" w:eastAsia="zh-CN"/>
        </w:rPr>
      </w:pPr>
      <w:r>
        <w:rPr>
          <w:rFonts w:hint="eastAsia"/>
          <w:color w:val="auto"/>
          <w:highlight w:val="none"/>
        </w:rPr>
        <w:br w:type="page"/>
      </w:r>
      <w:bookmarkEnd w:id="826"/>
      <w:bookmarkEnd w:id="827"/>
      <w:bookmarkStart w:id="931" w:name="_Toc28809"/>
      <w:bookmarkStart w:id="932" w:name="_Toc10557"/>
      <w:bookmarkStart w:id="933" w:name="_Toc24453_WPSOffice_Level1"/>
      <w:bookmarkStart w:id="934" w:name="_Toc21361_WPSOffice_Level1"/>
      <w:bookmarkStart w:id="935" w:name="_Toc22130"/>
      <w:bookmarkStart w:id="936" w:name="_Toc9176_WPSOffice_Level1"/>
      <w:bookmarkStart w:id="937" w:name="_Toc25167"/>
      <w:bookmarkStart w:id="938" w:name="_Toc12498_WPSOffice_Level1"/>
      <w:bookmarkStart w:id="939" w:name="_Toc9063_WPSOffice_Level1"/>
      <w:bookmarkStart w:id="940" w:name="_Toc461580688"/>
      <w:bookmarkStart w:id="941" w:name="_Toc3148_WPSOffice_Level1"/>
      <w:bookmarkStart w:id="942" w:name="_Toc29917"/>
      <w:bookmarkStart w:id="943" w:name="_Toc144974857"/>
      <w:bookmarkStart w:id="944" w:name="_Toc152045788"/>
      <w:bookmarkStart w:id="945" w:name="_Toc414112857"/>
      <w:bookmarkStart w:id="946" w:name="_Toc460317744"/>
      <w:bookmarkStart w:id="947" w:name="_Toc414277232"/>
      <w:bookmarkStart w:id="948" w:name="_Toc152042577"/>
      <w:bookmarkStart w:id="949" w:name="_Toc460413579"/>
      <w:r>
        <w:rPr>
          <w:rFonts w:hint="eastAsia" w:ascii="宋体" w:hAnsi="宋体" w:eastAsia="宋体" w:cs="宋体"/>
          <w:b/>
          <w:bCs/>
          <w:color w:val="auto"/>
          <w:sz w:val="36"/>
          <w:szCs w:val="36"/>
          <w:highlight w:val="none"/>
          <w:lang w:val="en-US" w:eastAsia="zh-CN"/>
        </w:rPr>
        <w:t>第六章  投标文件格式</w:t>
      </w:r>
      <w:bookmarkEnd w:id="931"/>
      <w:bookmarkEnd w:id="932"/>
    </w:p>
    <w:bookmarkEnd w:id="933"/>
    <w:bookmarkEnd w:id="934"/>
    <w:bookmarkEnd w:id="935"/>
    <w:bookmarkEnd w:id="936"/>
    <w:bookmarkEnd w:id="937"/>
    <w:p w14:paraId="41E67F3C">
      <w:pPr>
        <w:spacing w:line="740" w:lineRule="exact"/>
        <w:ind w:firstLine="0"/>
        <w:jc w:val="center"/>
        <w:rPr>
          <w:rFonts w:hint="eastAsia" w:ascii="宋体" w:hAnsi="宋体" w:cs="宋体"/>
          <w:b/>
          <w:bCs/>
          <w:color w:val="auto"/>
          <w:sz w:val="44"/>
          <w:szCs w:val="44"/>
          <w:highlight w:val="none"/>
        </w:rPr>
      </w:pPr>
      <w:bookmarkStart w:id="950" w:name="_Toc18632_WPSOffice_Level2"/>
      <w:bookmarkStart w:id="951" w:name="_Toc16824_WPSOffice_Level2"/>
      <w:bookmarkStart w:id="952" w:name="_Toc11801"/>
      <w:bookmarkStart w:id="953" w:name="_Toc4631"/>
      <w:bookmarkStart w:id="954" w:name="_Toc9722_WPSOffice_Level2"/>
      <w:bookmarkStart w:id="955" w:name="_Toc25021_WPSOffice_Level2"/>
      <w:bookmarkStart w:id="956" w:name="_Toc14877"/>
      <w:bookmarkStart w:id="957" w:name="_Toc2198"/>
      <w:bookmarkStart w:id="958" w:name="_Toc465945235"/>
      <w:bookmarkStart w:id="959" w:name="_Toc25257"/>
    </w:p>
    <w:p w14:paraId="16923ED7">
      <w:pPr>
        <w:adjustRightInd w:val="0"/>
        <w:snapToGrid w:val="0"/>
        <w:spacing w:line="360" w:lineRule="auto"/>
        <w:jc w:val="center"/>
        <w:rPr>
          <w:rFonts w:ascii="宋体" w:cs="Times New Roman"/>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zh-CN" w:eastAsia="zh-CN"/>
          <w14:textFill>
            <w14:solidFill>
              <w14:schemeClr w14:val="tx1"/>
            </w14:solidFill>
          </w14:textFill>
        </w:rPr>
        <w:t>楚雄州牟定县餐厨垃圾收运处理及综合利用项目特许经营</w:t>
      </w:r>
      <w:r>
        <w:rPr>
          <w:rFonts w:hint="eastAsia" w:ascii="宋体" w:hAnsi="宋体" w:cs="宋体"/>
          <w:b/>
          <w:bCs/>
          <w:color w:val="000000" w:themeColor="text1"/>
          <w:sz w:val="40"/>
          <w:szCs w:val="40"/>
          <w:highlight w:val="none"/>
          <w14:textFill>
            <w14:solidFill>
              <w14:schemeClr w14:val="tx1"/>
            </w14:solidFill>
          </w14:textFill>
        </w:rPr>
        <w:t>（项目名称）</w:t>
      </w:r>
    </w:p>
    <w:p w14:paraId="7205118C">
      <w:pPr>
        <w:adjustRightInd w:val="0"/>
        <w:snapToGrid w:val="0"/>
        <w:spacing w:line="360" w:lineRule="auto"/>
      </w:pPr>
      <w:r>
        <w:rPr>
          <w:rFonts w:ascii="宋体" w:hAnsi="宋体" w:cs="宋体"/>
          <w:color w:val="000000" w:themeColor="text1"/>
          <w:sz w:val="40"/>
          <w:szCs w:val="40"/>
          <w:highlight w:val="none"/>
          <w14:textFill>
            <w14:solidFill>
              <w14:schemeClr w14:val="tx1"/>
            </w14:solidFill>
          </w14:textFill>
        </w:rPr>
        <w:t xml:space="preserve"> </w:t>
      </w:r>
    </w:p>
    <w:p w14:paraId="57F52E95">
      <w:pPr>
        <w:pStyle w:val="127"/>
        <w:rPr>
          <w:rFonts w:cs="Times New Roman"/>
          <w:color w:val="000000" w:themeColor="text1"/>
          <w:highlight w:val="none"/>
          <w14:textFill>
            <w14:solidFill>
              <w14:schemeClr w14:val="tx1"/>
            </w14:solidFill>
          </w14:textFill>
        </w:rPr>
      </w:pPr>
    </w:p>
    <w:p w14:paraId="531CC75C">
      <w:pPr>
        <w:adjustRightInd w:val="0"/>
        <w:snapToGrid w:val="0"/>
        <w:spacing w:line="360" w:lineRule="auto"/>
        <w:rPr>
          <w:rFonts w:ascii="宋体" w:cs="Times New Roman"/>
          <w:color w:val="000000" w:themeColor="text1"/>
          <w:sz w:val="28"/>
          <w:szCs w:val="28"/>
          <w:highlight w:val="none"/>
          <w14:textFill>
            <w14:solidFill>
              <w14:schemeClr w14:val="tx1"/>
            </w14:solidFill>
          </w14:textFill>
        </w:rPr>
      </w:pPr>
    </w:p>
    <w:p w14:paraId="5B2E40D0">
      <w:pPr>
        <w:adjustRightInd w:val="0"/>
        <w:snapToGrid w:val="0"/>
        <w:spacing w:line="360" w:lineRule="auto"/>
        <w:jc w:val="center"/>
        <w:rPr>
          <w:rFonts w:ascii="宋体" w:cs="Times New Roman"/>
          <w:color w:val="000000" w:themeColor="text1"/>
          <w:sz w:val="28"/>
          <w:szCs w:val="28"/>
          <w:highlight w:val="none"/>
          <w14:textFill>
            <w14:solidFill>
              <w14:schemeClr w14:val="tx1"/>
            </w14:solidFill>
          </w14:textFill>
        </w:rPr>
      </w:pPr>
      <w:bookmarkStart w:id="960" w:name="_Toc19723_WPSOffice_Level1"/>
      <w:bookmarkStart w:id="961" w:name="_Toc1669_WPSOffice_Level1"/>
      <w:r>
        <w:rPr>
          <w:rFonts w:hint="eastAsia" w:ascii="宋体" w:hAnsi="宋体" w:cs="宋体"/>
          <w:color w:val="000000" w:themeColor="text1"/>
          <w:sz w:val="80"/>
          <w:szCs w:val="80"/>
          <w:highlight w:val="none"/>
          <w14:textFill>
            <w14:solidFill>
              <w14:schemeClr w14:val="tx1"/>
            </w14:solidFill>
          </w14:textFill>
        </w:rPr>
        <w:t>投</w:t>
      </w:r>
      <w:r>
        <w:rPr>
          <w:rFonts w:ascii="宋体" w:hAnsi="宋体" w:cs="宋体"/>
          <w:color w:val="000000" w:themeColor="text1"/>
          <w:sz w:val="80"/>
          <w:szCs w:val="80"/>
          <w:highlight w:val="none"/>
          <w14:textFill>
            <w14:solidFill>
              <w14:schemeClr w14:val="tx1"/>
            </w14:solidFill>
          </w14:textFill>
        </w:rPr>
        <w:t xml:space="preserve"> </w:t>
      </w:r>
      <w:r>
        <w:rPr>
          <w:rFonts w:hint="eastAsia" w:ascii="宋体" w:hAnsi="宋体" w:cs="宋体"/>
          <w:color w:val="000000" w:themeColor="text1"/>
          <w:sz w:val="80"/>
          <w:szCs w:val="80"/>
          <w:highlight w:val="none"/>
          <w14:textFill>
            <w14:solidFill>
              <w14:schemeClr w14:val="tx1"/>
            </w14:solidFill>
          </w14:textFill>
        </w:rPr>
        <w:t>标</w:t>
      </w:r>
      <w:r>
        <w:rPr>
          <w:rFonts w:ascii="宋体" w:hAnsi="宋体" w:cs="宋体"/>
          <w:color w:val="000000" w:themeColor="text1"/>
          <w:sz w:val="80"/>
          <w:szCs w:val="80"/>
          <w:highlight w:val="none"/>
          <w14:textFill>
            <w14:solidFill>
              <w14:schemeClr w14:val="tx1"/>
            </w14:solidFill>
          </w14:textFill>
        </w:rPr>
        <w:t xml:space="preserve"> </w:t>
      </w:r>
      <w:r>
        <w:rPr>
          <w:rFonts w:hint="eastAsia" w:ascii="宋体" w:hAnsi="宋体" w:cs="宋体"/>
          <w:color w:val="000000" w:themeColor="text1"/>
          <w:sz w:val="80"/>
          <w:szCs w:val="80"/>
          <w:highlight w:val="none"/>
          <w14:textFill>
            <w14:solidFill>
              <w14:schemeClr w14:val="tx1"/>
            </w14:solidFill>
          </w14:textFill>
        </w:rPr>
        <w:t>文</w:t>
      </w:r>
      <w:r>
        <w:rPr>
          <w:rFonts w:hint="eastAsia" w:ascii="宋体" w:hAnsi="宋体" w:cs="宋体"/>
          <w:color w:val="000000" w:themeColor="text1"/>
          <w:sz w:val="80"/>
          <w:szCs w:val="80"/>
          <w:highlight w:val="none"/>
          <w:lang w:val="en-US" w:eastAsia="zh-CN"/>
          <w14:textFill>
            <w14:solidFill>
              <w14:schemeClr w14:val="tx1"/>
            </w14:solidFill>
          </w14:textFill>
        </w:rPr>
        <w:t xml:space="preserve"> </w:t>
      </w:r>
      <w:r>
        <w:rPr>
          <w:rFonts w:hint="eastAsia" w:ascii="宋体" w:hAnsi="宋体" w:cs="宋体"/>
          <w:color w:val="000000" w:themeColor="text1"/>
          <w:sz w:val="80"/>
          <w:szCs w:val="80"/>
          <w:highlight w:val="none"/>
          <w:lang w:eastAsia="zh-CN"/>
          <w14:textFill>
            <w14:solidFill>
              <w14:schemeClr w14:val="tx1"/>
            </w14:solidFill>
          </w14:textFill>
        </w:rPr>
        <w:t>件</w:t>
      </w:r>
      <w:r>
        <w:rPr>
          <w:rFonts w:ascii="宋体" w:hAnsi="宋体" w:cs="宋体"/>
          <w:color w:val="000000" w:themeColor="text1"/>
          <w:sz w:val="80"/>
          <w:szCs w:val="80"/>
          <w:highlight w:val="none"/>
          <w14:textFill>
            <w14:solidFill>
              <w14:schemeClr w14:val="tx1"/>
            </w14:solidFill>
          </w14:textFill>
        </w:rPr>
        <w:t xml:space="preserve"> </w:t>
      </w:r>
      <w:bookmarkEnd w:id="960"/>
      <w:bookmarkEnd w:id="961"/>
    </w:p>
    <w:p w14:paraId="0EEE3C88">
      <w:pPr>
        <w:adjustRightInd w:val="0"/>
        <w:snapToGrid w:val="0"/>
        <w:spacing w:line="360" w:lineRule="auto"/>
        <w:rPr>
          <w:rFonts w:ascii="宋体" w:cs="Times New Roman"/>
          <w:color w:val="000000" w:themeColor="text1"/>
          <w:sz w:val="28"/>
          <w:szCs w:val="28"/>
          <w:highlight w:val="none"/>
          <w14:textFill>
            <w14:solidFill>
              <w14:schemeClr w14:val="tx1"/>
            </w14:solidFill>
          </w14:textFill>
        </w:rPr>
      </w:pPr>
    </w:p>
    <w:p w14:paraId="2317972A">
      <w:pPr>
        <w:pStyle w:val="127"/>
        <w:rPr>
          <w:rFonts w:ascii="宋体" w:cs="Times New Roman"/>
          <w:color w:val="000000" w:themeColor="text1"/>
          <w:sz w:val="28"/>
          <w:szCs w:val="28"/>
          <w:highlight w:val="none"/>
          <w14:textFill>
            <w14:solidFill>
              <w14:schemeClr w14:val="tx1"/>
            </w14:solidFill>
          </w14:textFill>
        </w:rPr>
      </w:pPr>
    </w:p>
    <w:p w14:paraId="546C0C5F">
      <w:pPr>
        <w:pStyle w:val="127"/>
        <w:rPr>
          <w:rFonts w:ascii="宋体" w:cs="Times New Roman"/>
          <w:color w:val="000000" w:themeColor="text1"/>
          <w:sz w:val="28"/>
          <w:szCs w:val="28"/>
          <w:highlight w:val="none"/>
          <w14:textFill>
            <w14:solidFill>
              <w14:schemeClr w14:val="tx1"/>
            </w14:solidFill>
          </w14:textFill>
        </w:rPr>
      </w:pPr>
    </w:p>
    <w:p w14:paraId="26E42145">
      <w:pPr>
        <w:pStyle w:val="128"/>
        <w:rPr>
          <w:rFonts w:ascii="宋体" w:cs="Times New Roman"/>
          <w:color w:val="000000" w:themeColor="text1"/>
          <w:sz w:val="28"/>
          <w:szCs w:val="28"/>
          <w:highlight w:val="none"/>
          <w14:textFill>
            <w14:solidFill>
              <w14:schemeClr w14:val="tx1"/>
            </w14:solidFill>
          </w14:textFill>
        </w:rPr>
      </w:pPr>
    </w:p>
    <w:p w14:paraId="7138131E">
      <w:pPr>
        <w:pStyle w:val="41"/>
        <w:rPr>
          <w:rFonts w:ascii="宋体" w:cs="Times New Roman"/>
          <w:color w:val="000000" w:themeColor="text1"/>
          <w:sz w:val="28"/>
          <w:szCs w:val="28"/>
          <w:highlight w:val="none"/>
          <w14:textFill>
            <w14:solidFill>
              <w14:schemeClr w14:val="tx1"/>
            </w14:solidFill>
          </w14:textFill>
        </w:rPr>
      </w:pPr>
    </w:p>
    <w:p w14:paraId="47C924E6">
      <w:pPr>
        <w:pStyle w:val="42"/>
        <w:rPr>
          <w:rFonts w:ascii="宋体" w:cs="Times New Roman"/>
          <w:color w:val="000000" w:themeColor="text1"/>
          <w:sz w:val="28"/>
          <w:szCs w:val="28"/>
          <w:highlight w:val="none"/>
          <w14:textFill>
            <w14:solidFill>
              <w14:schemeClr w14:val="tx1"/>
            </w14:solidFill>
          </w14:textFill>
        </w:rPr>
      </w:pPr>
    </w:p>
    <w:p w14:paraId="3FEFE08A">
      <w:pPr>
        <w:rPr>
          <w:rFonts w:ascii="宋体" w:cs="Times New Roman"/>
          <w:color w:val="000000" w:themeColor="text1"/>
          <w:sz w:val="28"/>
          <w:szCs w:val="28"/>
          <w:highlight w:val="none"/>
          <w14:textFill>
            <w14:solidFill>
              <w14:schemeClr w14:val="tx1"/>
            </w14:solidFill>
          </w14:textFill>
        </w:rPr>
      </w:pPr>
    </w:p>
    <w:p w14:paraId="3F7BDA0A">
      <w:pPr>
        <w:pStyle w:val="14"/>
      </w:pPr>
    </w:p>
    <w:p w14:paraId="60B92BA4">
      <w:pPr>
        <w:pStyle w:val="127"/>
        <w:rPr>
          <w:rFonts w:ascii="宋体" w:cs="Times New Roman"/>
          <w:color w:val="000000" w:themeColor="text1"/>
          <w:sz w:val="28"/>
          <w:szCs w:val="28"/>
          <w:highlight w:val="none"/>
          <w14:textFill>
            <w14:solidFill>
              <w14:schemeClr w14:val="tx1"/>
            </w14:solidFill>
          </w14:textFill>
        </w:rPr>
      </w:pPr>
    </w:p>
    <w:p w14:paraId="53E8ABB2">
      <w:pPr>
        <w:pStyle w:val="127"/>
        <w:rPr>
          <w:rFonts w:ascii="宋体" w:cs="Times New Roman"/>
          <w:color w:val="000000" w:themeColor="text1"/>
          <w:sz w:val="28"/>
          <w:szCs w:val="28"/>
          <w:highlight w:val="none"/>
          <w14:textFill>
            <w14:solidFill>
              <w14:schemeClr w14:val="tx1"/>
            </w14:solidFill>
          </w14:textFill>
        </w:rPr>
      </w:pPr>
    </w:p>
    <w:p w14:paraId="6BAF0CB3">
      <w:pPr>
        <w:ind w:left="0" w:leftChars="0" w:firstLine="0" w:firstLineChars="0"/>
      </w:pPr>
    </w:p>
    <w:p w14:paraId="2F283DBB">
      <w:pPr>
        <w:pStyle w:val="127"/>
        <w:rPr>
          <w:rFonts w:ascii="宋体" w:cs="Times New Roman"/>
          <w:color w:val="000000" w:themeColor="text1"/>
          <w:sz w:val="28"/>
          <w:szCs w:val="28"/>
          <w:highlight w:val="none"/>
          <w14:textFill>
            <w14:solidFill>
              <w14:schemeClr w14:val="tx1"/>
            </w14:solidFill>
          </w14:textFill>
        </w:rPr>
      </w:pPr>
    </w:p>
    <w:p w14:paraId="4C9078A6">
      <w:pPr>
        <w:pStyle w:val="128"/>
      </w:pPr>
    </w:p>
    <w:p w14:paraId="61BAB018">
      <w:pPr>
        <w:adjustRightInd w:val="0"/>
        <w:snapToGrid w:val="0"/>
        <w:spacing w:line="360" w:lineRule="auto"/>
        <w:rPr>
          <w:rFonts w:ascii="宋体" w:cs="Times New Roman"/>
          <w:color w:val="000000" w:themeColor="text1"/>
          <w:sz w:val="28"/>
          <w:szCs w:val="28"/>
          <w:highlight w:val="none"/>
          <w14:textFill>
            <w14:solidFill>
              <w14:schemeClr w14:val="tx1"/>
            </w14:solidFill>
          </w14:textFill>
        </w:rPr>
      </w:pPr>
    </w:p>
    <w:p w14:paraId="1010759D">
      <w:pPr>
        <w:adjustRightInd w:val="0"/>
        <w:snapToGrid w:val="0"/>
        <w:spacing w:line="480" w:lineRule="auto"/>
        <w:jc w:val="center"/>
        <w:rPr>
          <w:rFonts w:ascii="宋体" w:cs="Times New Roman"/>
          <w:color w:val="000000" w:themeColor="text1"/>
          <w:sz w:val="28"/>
          <w:szCs w:val="28"/>
          <w:highlight w:val="none"/>
          <w14:textFill>
            <w14:solidFill>
              <w14:schemeClr w14:val="tx1"/>
            </w14:solidFill>
          </w14:textFill>
        </w:rPr>
      </w:pPr>
      <w:bookmarkStart w:id="962" w:name="_Toc17617_WPSOffice_Level1"/>
      <w:bookmarkStart w:id="963" w:name="_Toc3861_WPSOffice_Level1"/>
      <w:r>
        <w:rPr>
          <w:rFonts w:hint="eastAsia" w:ascii="宋体" w:hAnsi="宋体" w:cs="宋体"/>
          <w:color w:val="000000" w:themeColor="text1"/>
          <w:sz w:val="28"/>
          <w:szCs w:val="28"/>
          <w:highlight w:val="none"/>
          <w14:textFill>
            <w14:solidFill>
              <w14:schemeClr w14:val="tx1"/>
            </w14:solidFill>
          </w14:textFill>
        </w:rPr>
        <w:t>投标人：</w:t>
      </w:r>
      <w:r>
        <w:rPr>
          <w:rFonts w:ascii="宋体" w:hAnsi="宋体" w:cs="宋体"/>
          <w:color w:val="000000" w:themeColor="text1"/>
          <w:sz w:val="28"/>
          <w:szCs w:val="28"/>
          <w:highlight w:val="none"/>
          <w14:textFill>
            <w14:solidFill>
              <w14:schemeClr w14:val="tx1"/>
            </w14:solidFill>
          </w14:textFill>
        </w:rPr>
        <w:t>__________________</w:t>
      </w:r>
      <w:r>
        <w:rPr>
          <w:rFonts w:hint="eastAsia" w:ascii="黑体" w:eastAsia="黑体" w:cs="黑体"/>
          <w:color w:val="000000" w:themeColor="text1"/>
          <w:sz w:val="28"/>
          <w:szCs w:val="28"/>
          <w:highlight w:val="none"/>
          <w14:textFill>
            <w14:solidFill>
              <w14:schemeClr w14:val="tx1"/>
            </w14:solidFill>
          </w14:textFill>
        </w:rPr>
        <w:t>（电子签章）</w:t>
      </w:r>
      <w:bookmarkEnd w:id="962"/>
      <w:bookmarkEnd w:id="963"/>
    </w:p>
    <w:p w14:paraId="4EA8A898">
      <w:pPr>
        <w:adjustRightInd w:val="0"/>
        <w:snapToGrid w:val="0"/>
        <w:spacing w:line="480" w:lineRule="auto"/>
        <w:ind w:firstLine="280" w:firstLineChars="100"/>
        <w:rPr>
          <w:rFonts w:ascii="宋体" w:cs="Times New Roman"/>
          <w:color w:val="000000" w:themeColor="text1"/>
          <w:sz w:val="28"/>
          <w:szCs w:val="28"/>
          <w:highlight w:val="none"/>
          <w14:textFill>
            <w14:solidFill>
              <w14:schemeClr w14:val="tx1"/>
            </w14:solidFill>
          </w14:textFill>
        </w:rPr>
      </w:pPr>
      <w:bookmarkStart w:id="964" w:name="_Toc19835_WPSOffice_Level2"/>
      <w:bookmarkStart w:id="965" w:name="_Toc27735_WPSOffice_Level2"/>
      <w:r>
        <w:rPr>
          <w:rFonts w:hint="eastAsia" w:ascii="宋体" w:hAnsi="宋体" w:cs="宋体"/>
          <w:color w:val="000000" w:themeColor="text1"/>
          <w:sz w:val="28"/>
          <w:szCs w:val="28"/>
          <w:highlight w:val="none"/>
          <w14:textFill>
            <w14:solidFill>
              <w14:schemeClr w14:val="tx1"/>
            </w14:solidFill>
          </w14:textFill>
        </w:rPr>
        <w:t>法定代表人或其委托代理人：</w:t>
      </w:r>
      <w:r>
        <w:rPr>
          <w:rFonts w:ascii="宋体" w:hAnsi="宋体" w:cs="宋体"/>
          <w:color w:val="000000" w:themeColor="text1"/>
          <w:sz w:val="28"/>
          <w:szCs w:val="28"/>
          <w:highlight w:val="none"/>
          <w14:textFill>
            <w14:solidFill>
              <w14:schemeClr w14:val="tx1"/>
            </w14:solidFill>
          </w14:textFill>
        </w:rPr>
        <w:t xml:space="preserve">______________ </w:t>
      </w:r>
      <w:r>
        <w:rPr>
          <w:rFonts w:hint="eastAsia" w:ascii="黑体" w:eastAsia="黑体" w:cs="黑体"/>
          <w:color w:val="000000" w:themeColor="text1"/>
          <w:sz w:val="28"/>
          <w:szCs w:val="28"/>
          <w:highlight w:val="none"/>
          <w14:textFill>
            <w14:solidFill>
              <w14:schemeClr w14:val="tx1"/>
            </w14:solidFill>
          </w14:textFill>
        </w:rPr>
        <w:t>（电子签章）</w:t>
      </w:r>
      <w:bookmarkEnd w:id="964"/>
      <w:bookmarkEnd w:id="965"/>
    </w:p>
    <w:p w14:paraId="57578237">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bookmarkStart w:id="966" w:name="_Toc16868_WPSOffice_Level1"/>
      <w:bookmarkStart w:id="967" w:name="_Toc20964_WPSOffice_Level1"/>
      <w:r>
        <w:rPr>
          <w:rFonts w:ascii="宋体" w:hAnsi="宋体" w:cs="宋体"/>
          <w:color w:val="000000" w:themeColor="text1"/>
          <w:sz w:val="28"/>
          <w:szCs w:val="28"/>
          <w:highlight w:val="none"/>
          <w14:textFill>
            <w14:solidFill>
              <w14:schemeClr w14:val="tx1"/>
            </w14:solidFill>
          </w14:textFill>
        </w:rPr>
        <w:t>______</w:t>
      </w:r>
      <w:r>
        <w:rPr>
          <w:rFonts w:hint="eastAsia" w:ascii="宋体" w:hAnsi="宋体" w:cs="宋体"/>
          <w:color w:val="000000" w:themeColor="text1"/>
          <w:sz w:val="28"/>
          <w:szCs w:val="28"/>
          <w:highlight w:val="none"/>
          <w14:textFill>
            <w14:solidFill>
              <w14:schemeClr w14:val="tx1"/>
            </w14:solidFill>
          </w14:textFill>
        </w:rPr>
        <w:t>年</w:t>
      </w:r>
      <w:r>
        <w:rPr>
          <w:rFonts w:ascii="宋体" w:hAnsi="宋体" w:cs="宋体"/>
          <w:color w:val="000000" w:themeColor="text1"/>
          <w:sz w:val="28"/>
          <w:szCs w:val="28"/>
          <w:highlight w:val="none"/>
          <w14:textFill>
            <w14:solidFill>
              <w14:schemeClr w14:val="tx1"/>
            </w14:solidFill>
          </w14:textFill>
        </w:rPr>
        <w:t>___</w:t>
      </w:r>
      <w:r>
        <w:rPr>
          <w:rFonts w:hint="eastAsia" w:ascii="宋体" w:hAnsi="宋体" w:cs="宋体"/>
          <w:color w:val="000000" w:themeColor="text1"/>
          <w:sz w:val="28"/>
          <w:szCs w:val="28"/>
          <w:highlight w:val="none"/>
          <w14:textFill>
            <w14:solidFill>
              <w14:schemeClr w14:val="tx1"/>
            </w14:solidFill>
          </w14:textFill>
        </w:rPr>
        <w:t>月</w:t>
      </w:r>
      <w:r>
        <w:rPr>
          <w:rFonts w:ascii="宋体" w:hAnsi="宋体" w:cs="宋体"/>
          <w:color w:val="000000" w:themeColor="text1"/>
          <w:sz w:val="28"/>
          <w:szCs w:val="28"/>
          <w:highlight w:val="none"/>
          <w14:textFill>
            <w14:solidFill>
              <w14:schemeClr w14:val="tx1"/>
            </w14:solidFill>
          </w14:textFill>
        </w:rPr>
        <w:t>____</w:t>
      </w:r>
      <w:r>
        <w:rPr>
          <w:rFonts w:hint="eastAsia" w:ascii="宋体" w:hAnsi="宋体" w:cs="宋体"/>
          <w:color w:val="000000" w:themeColor="text1"/>
          <w:sz w:val="28"/>
          <w:szCs w:val="28"/>
          <w:highlight w:val="none"/>
          <w14:textFill>
            <w14:solidFill>
              <w14:schemeClr w14:val="tx1"/>
            </w14:solidFill>
          </w14:textFill>
        </w:rPr>
        <w:t>日</w:t>
      </w:r>
      <w:bookmarkEnd w:id="966"/>
      <w:bookmarkEnd w:id="967"/>
      <w:r>
        <w:rPr>
          <w:rFonts w:hint="eastAsia" w:ascii="宋体" w:hAnsi="宋体" w:cs="宋体"/>
          <w:b/>
          <w:bCs/>
          <w:color w:val="auto"/>
          <w:kern w:val="2"/>
          <w:sz w:val="24"/>
          <w:szCs w:val="32"/>
          <w:highlight w:val="none"/>
          <w:lang w:val="zh-CN"/>
        </w:rPr>
        <w:br w:type="page"/>
      </w:r>
      <w:bookmarkEnd w:id="950"/>
      <w:bookmarkEnd w:id="951"/>
      <w:bookmarkEnd w:id="952"/>
      <w:bookmarkEnd w:id="953"/>
      <w:bookmarkEnd w:id="954"/>
      <w:bookmarkEnd w:id="955"/>
      <w:bookmarkEnd w:id="956"/>
      <w:bookmarkEnd w:id="957"/>
      <w:bookmarkEnd w:id="958"/>
      <w:bookmarkEnd w:id="959"/>
      <w:bookmarkStart w:id="968" w:name="_Toc4695"/>
      <w:bookmarkStart w:id="969" w:name="_Toc18728"/>
      <w:bookmarkStart w:id="970" w:name="_Toc31451"/>
      <w:bookmarkStart w:id="971" w:name="_Toc4473"/>
      <w:bookmarkStart w:id="972" w:name="_Toc4490"/>
      <w:bookmarkStart w:id="973" w:name="_Toc23807"/>
    </w:p>
    <w:p w14:paraId="7E51E4DC">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04912295">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69EC3CBF">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16AD8C5C">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430ED62E">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3CCD154F">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53DEEFC2">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398EB427">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5E100E1E">
      <w:pPr>
        <w:pStyle w:val="372"/>
        <w:numPr>
          <w:ilvl w:val="0"/>
          <w:numId w:val="0"/>
        </w:numPr>
        <w:snapToGrid w:val="0"/>
        <w:spacing w:before="120" w:beforeLines="50" w:after="240" w:afterLines="100" w:line="360" w:lineRule="auto"/>
        <w:jc w:val="center"/>
        <w:rPr>
          <w:rFonts w:hint="eastAsia" w:ascii="宋体" w:hAnsi="宋体" w:cs="宋体"/>
          <w:b/>
          <w:bCs/>
          <w:color w:val="auto"/>
          <w:kern w:val="2"/>
          <w:sz w:val="24"/>
          <w:szCs w:val="32"/>
          <w:highlight w:val="none"/>
          <w:lang w:val="zh-CN"/>
        </w:rPr>
      </w:pPr>
    </w:p>
    <w:p w14:paraId="192737AF">
      <w:pPr>
        <w:pStyle w:val="372"/>
        <w:numPr>
          <w:ilvl w:val="0"/>
          <w:numId w:val="0"/>
        </w:numPr>
        <w:snapToGrid w:val="0"/>
        <w:spacing w:before="120" w:beforeLines="50" w:after="240" w:afterLines="100" w:line="360" w:lineRule="auto"/>
        <w:jc w:val="center"/>
        <w:rPr>
          <w:rFonts w:cs="Times New Roman"/>
          <w:b/>
          <w:bCs/>
          <w:color w:val="000000" w:themeColor="text1"/>
          <w:sz w:val="28"/>
          <w:szCs w:val="28"/>
          <w:highlight w:val="none"/>
          <w14:textFill>
            <w14:solidFill>
              <w14:schemeClr w14:val="tx1"/>
            </w14:solidFill>
          </w14:textFill>
        </w:rPr>
      </w:pPr>
      <w:r>
        <w:rPr>
          <w:rFonts w:hint="eastAsia" w:cs="宋体"/>
          <w:b/>
          <w:bCs/>
          <w:color w:val="000000" w:themeColor="text1"/>
          <w:sz w:val="28"/>
          <w:szCs w:val="28"/>
          <w:highlight w:val="none"/>
          <w14:textFill>
            <w14:solidFill>
              <w14:schemeClr w14:val="tx1"/>
            </w14:solidFill>
          </w14:textFill>
        </w:rPr>
        <w:t>第</w:t>
      </w:r>
      <w:r>
        <w:rPr>
          <w:rFonts w:hint="eastAsia" w:cs="宋体"/>
          <w:b/>
          <w:bCs/>
          <w:color w:val="000000" w:themeColor="text1"/>
          <w:sz w:val="28"/>
          <w:szCs w:val="28"/>
          <w:highlight w:val="none"/>
          <w:lang w:eastAsia="zh-CN"/>
          <w14:textFill>
            <w14:solidFill>
              <w14:schemeClr w14:val="tx1"/>
            </w14:solidFill>
          </w14:textFill>
        </w:rPr>
        <w:t>一</w:t>
      </w:r>
      <w:r>
        <w:rPr>
          <w:rFonts w:hint="eastAsia" w:cs="宋体"/>
          <w:b/>
          <w:bCs/>
          <w:color w:val="000000" w:themeColor="text1"/>
          <w:sz w:val="28"/>
          <w:szCs w:val="28"/>
          <w:highlight w:val="none"/>
          <w14:textFill>
            <w14:solidFill>
              <w14:schemeClr w14:val="tx1"/>
            </w14:solidFill>
          </w14:textFill>
        </w:rPr>
        <w:t>部分</w:t>
      </w:r>
      <w:r>
        <w:rPr>
          <w:b/>
          <w:bCs/>
          <w:color w:val="000000" w:themeColor="text1"/>
          <w:sz w:val="28"/>
          <w:szCs w:val="28"/>
          <w:highlight w:val="none"/>
          <w14:textFill>
            <w14:solidFill>
              <w14:schemeClr w14:val="tx1"/>
            </w14:solidFill>
          </w14:textFill>
        </w:rPr>
        <w:t xml:space="preserve">   </w:t>
      </w:r>
      <w:r>
        <w:rPr>
          <w:rFonts w:hint="eastAsia" w:cs="宋体"/>
          <w:b/>
          <w:bCs/>
          <w:color w:val="000000" w:themeColor="text1"/>
          <w:sz w:val="28"/>
          <w:szCs w:val="28"/>
          <w:highlight w:val="none"/>
          <w:lang w:eastAsia="zh-CN"/>
          <w14:textFill>
            <w14:solidFill>
              <w14:schemeClr w14:val="tx1"/>
            </w14:solidFill>
          </w14:textFill>
        </w:rPr>
        <w:t>报价</w:t>
      </w:r>
      <w:r>
        <w:rPr>
          <w:rFonts w:hint="eastAsia" w:cs="宋体"/>
          <w:b/>
          <w:bCs/>
          <w:color w:val="000000" w:themeColor="text1"/>
          <w:sz w:val="28"/>
          <w:szCs w:val="28"/>
          <w:highlight w:val="none"/>
          <w14:textFill>
            <w14:solidFill>
              <w14:schemeClr w14:val="tx1"/>
            </w14:solidFill>
          </w14:textFill>
        </w:rPr>
        <w:t>部分</w:t>
      </w:r>
    </w:p>
    <w:p w14:paraId="5920BAB2">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0ABBF4E3">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4052D174">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737FD118">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2E9533F0">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1234715B">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264EFFE2">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3F51DA5F">
      <w:pPr>
        <w:pStyle w:val="372"/>
        <w:numPr>
          <w:ilvl w:val="0"/>
          <w:numId w:val="0"/>
        </w:numPr>
        <w:snapToGrid w:val="0"/>
        <w:spacing w:before="120" w:beforeLines="50" w:after="240" w:afterLines="100" w:line="360" w:lineRule="auto"/>
        <w:jc w:val="center"/>
        <w:rPr>
          <w:rFonts w:hint="eastAsia" w:cs="宋体"/>
          <w:b/>
          <w:bCs/>
          <w:color w:val="000000" w:themeColor="text1"/>
          <w:sz w:val="28"/>
          <w:szCs w:val="28"/>
          <w:highlight w:val="none"/>
          <w14:textFill>
            <w14:solidFill>
              <w14:schemeClr w14:val="tx1"/>
            </w14:solidFill>
          </w14:textFill>
        </w:rPr>
      </w:pPr>
    </w:p>
    <w:p w14:paraId="669848A9">
      <w:pPr>
        <w:pStyle w:val="372"/>
        <w:numPr>
          <w:ilvl w:val="0"/>
          <w:numId w:val="0"/>
        </w:numPr>
        <w:snapToGrid w:val="0"/>
        <w:spacing w:before="120" w:beforeLines="50" w:after="240" w:afterLines="100" w:line="360" w:lineRule="auto"/>
        <w:jc w:val="center"/>
        <w:rPr>
          <w:rFonts w:cs="Times New Roman"/>
          <w:b/>
          <w:bCs/>
          <w:color w:val="000000" w:themeColor="text1"/>
          <w:sz w:val="28"/>
          <w:szCs w:val="28"/>
          <w:highlight w:val="none"/>
          <w14:textFill>
            <w14:solidFill>
              <w14:schemeClr w14:val="tx1"/>
            </w14:solidFill>
          </w14:textFill>
        </w:rPr>
      </w:pPr>
      <w:r>
        <w:rPr>
          <w:rFonts w:hint="eastAsia" w:cs="宋体"/>
          <w:b/>
          <w:bCs/>
          <w:color w:val="000000" w:themeColor="text1"/>
          <w:sz w:val="28"/>
          <w:szCs w:val="28"/>
          <w:highlight w:val="none"/>
          <w14:textFill>
            <w14:solidFill>
              <w14:schemeClr w14:val="tx1"/>
            </w14:solidFill>
          </w14:textFill>
        </w:rPr>
        <w:t>投标（唱标）一览表</w:t>
      </w:r>
    </w:p>
    <w:p w14:paraId="1BCA886F">
      <w:pPr>
        <w:spacing w:line="360" w:lineRule="auto"/>
        <w:ind w:left="-410" w:firstLine="360"/>
        <w:rPr>
          <w:color w:val="000000" w:themeColor="text1"/>
          <w:highlight w:val="none"/>
          <w14:textFill>
            <w14:solidFill>
              <w14:schemeClr w14:val="tx1"/>
            </w14:solidFill>
          </w14:textFill>
        </w:rPr>
      </w:pPr>
      <w:r>
        <w:rPr>
          <w:rFonts w:hint="eastAsia" w:cs="宋体"/>
          <w:color w:val="000000" w:themeColor="text1"/>
          <w:highlight w:val="none"/>
          <w:lang w:eastAsia="zh-CN"/>
          <w14:textFill>
            <w14:solidFill>
              <w14:schemeClr w14:val="tx1"/>
            </w14:solidFill>
          </w14:textFill>
        </w:rPr>
        <w:t>项目</w:t>
      </w:r>
      <w:r>
        <w:rPr>
          <w:rFonts w:hint="eastAsia" w:cs="宋体"/>
          <w:color w:val="000000" w:themeColor="text1"/>
          <w:highlight w:val="none"/>
          <w14:textFill>
            <w14:solidFill>
              <w14:schemeClr w14:val="tx1"/>
            </w14:solidFill>
          </w14:textFill>
        </w:rPr>
        <w:t>名称：</w:t>
      </w:r>
      <w:r>
        <w:rPr>
          <w:color w:val="000000" w:themeColor="text1"/>
          <w:highlight w:val="none"/>
          <w14:textFill>
            <w14:solidFill>
              <w14:schemeClr w14:val="tx1"/>
            </w14:solidFill>
          </w14:textFill>
        </w:rPr>
        <w:t xml:space="preserve">                       </w:t>
      </w:r>
    </w:p>
    <w:p w14:paraId="4532F8EC">
      <w:pPr>
        <w:spacing w:line="360" w:lineRule="auto"/>
        <w:ind w:left="-410" w:firstLine="36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投标单位：</w:t>
      </w:r>
      <w:r>
        <w:rPr>
          <w:color w:val="000000" w:themeColor="text1"/>
          <w:highlight w:val="none"/>
          <w14:textFill>
            <w14:solidFill>
              <w14:schemeClr w14:val="tx1"/>
            </w14:solidFill>
          </w14:textFill>
        </w:rPr>
        <w:t xml:space="preserve">                       </w:t>
      </w:r>
    </w:p>
    <w:tbl>
      <w:tblPr>
        <w:tblStyle w:val="52"/>
        <w:tblW w:w="9345" w:type="dxa"/>
        <w:tblInd w:w="108" w:type="dxa"/>
        <w:tblLayout w:type="fixed"/>
        <w:tblCellMar>
          <w:top w:w="0" w:type="dxa"/>
          <w:left w:w="108" w:type="dxa"/>
          <w:bottom w:w="0" w:type="dxa"/>
          <w:right w:w="108" w:type="dxa"/>
        </w:tblCellMar>
      </w:tblPr>
      <w:tblGrid>
        <w:gridCol w:w="1054"/>
        <w:gridCol w:w="3789"/>
        <w:gridCol w:w="4502"/>
      </w:tblGrid>
      <w:tr w14:paraId="6169EAD8">
        <w:trPr>
          <w:trHeight w:val="607"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6E6DAF62">
            <w:pPr>
              <w:spacing w:line="240" w:lineRule="auto"/>
              <w:ind w:left="0" w:leftChars="0" w:firstLine="0" w:firstLineChars="0"/>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序号</w:t>
            </w:r>
          </w:p>
        </w:tc>
        <w:tc>
          <w:tcPr>
            <w:tcW w:w="3789" w:type="dxa"/>
            <w:tcBorders>
              <w:top w:val="single" w:color="000000" w:sz="4" w:space="0"/>
              <w:bottom w:val="single" w:color="000000" w:sz="4" w:space="0"/>
              <w:right w:val="single" w:color="000000" w:sz="4" w:space="0"/>
            </w:tcBorders>
            <w:vAlign w:val="center"/>
          </w:tcPr>
          <w:p w14:paraId="2C3E398B">
            <w:pPr>
              <w:spacing w:line="240" w:lineRule="auto"/>
              <w:ind w:left="0" w:leftChars="0" w:firstLine="0" w:firstLineChars="0"/>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项目</w:t>
            </w:r>
          </w:p>
        </w:tc>
        <w:tc>
          <w:tcPr>
            <w:tcW w:w="4502" w:type="dxa"/>
            <w:tcBorders>
              <w:top w:val="single" w:color="000000" w:sz="4" w:space="0"/>
              <w:bottom w:val="single" w:color="000000" w:sz="4" w:space="0"/>
              <w:right w:val="single" w:color="000000" w:sz="4" w:space="0"/>
            </w:tcBorders>
            <w:vAlign w:val="center"/>
          </w:tcPr>
          <w:p w14:paraId="77C4DFE1">
            <w:pPr>
              <w:spacing w:line="240" w:lineRule="auto"/>
              <w:ind w:left="0" w:leftChars="0" w:firstLine="0" w:firstLineChars="0"/>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填报内容</w:t>
            </w:r>
          </w:p>
        </w:tc>
      </w:tr>
      <w:tr w14:paraId="78AED8B0">
        <w:tblPrEx>
          <w:tblCellMar>
            <w:top w:w="0" w:type="dxa"/>
            <w:left w:w="108" w:type="dxa"/>
            <w:bottom w:w="0" w:type="dxa"/>
            <w:right w:w="108" w:type="dxa"/>
          </w:tblCellMar>
        </w:tblPrEx>
        <w:trPr>
          <w:trHeight w:val="501"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761EFEEB">
            <w:pPr>
              <w:spacing w:line="360" w:lineRule="auto"/>
              <w:ind w:left="0" w:leftChars="0" w:firstLine="0" w:firstLineChars="0"/>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1</w:t>
            </w:r>
          </w:p>
        </w:tc>
        <w:tc>
          <w:tcPr>
            <w:tcW w:w="3789" w:type="dxa"/>
            <w:tcBorders>
              <w:top w:val="single" w:color="000000" w:sz="4" w:space="0"/>
              <w:bottom w:val="single" w:color="000000" w:sz="4" w:space="0"/>
              <w:right w:val="single" w:color="000000" w:sz="4" w:space="0"/>
            </w:tcBorders>
            <w:vAlign w:val="center"/>
          </w:tcPr>
          <w:p w14:paraId="62AE9134">
            <w:pPr>
              <w:spacing w:line="240" w:lineRule="auto"/>
              <w:ind w:left="0" w:leftChars="0" w:firstLine="0" w:firstLineChars="0"/>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 餐厨垃圾处理服务费</w:t>
            </w:r>
          </w:p>
        </w:tc>
        <w:tc>
          <w:tcPr>
            <w:tcW w:w="4502" w:type="dxa"/>
            <w:tcBorders>
              <w:top w:val="single" w:color="000000" w:sz="4" w:space="0"/>
              <w:bottom w:val="single" w:color="000000" w:sz="4" w:space="0"/>
              <w:right w:val="single" w:color="000000" w:sz="4" w:space="0"/>
            </w:tcBorders>
            <w:vAlign w:val="center"/>
          </w:tcPr>
          <w:p w14:paraId="667A43F2">
            <w:pPr>
              <w:spacing w:line="240" w:lineRule="auto"/>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元</w:t>
            </w:r>
            <w:r>
              <w:rPr>
                <w:rFonts w:hint="eastAsia" w:ascii="宋体" w:hAnsi="宋体" w:eastAsia="宋体" w:cs="宋体"/>
                <w:color w:val="000000" w:themeColor="text1"/>
                <w:sz w:val="22"/>
                <w:szCs w:val="22"/>
                <w:highlight w:val="none"/>
                <w:lang w:val="en-US" w:eastAsia="zh-CN"/>
                <w14:textFill>
                  <w14:solidFill>
                    <w14:schemeClr w14:val="tx1"/>
                  </w14:solidFill>
                </w14:textFill>
              </w:rPr>
              <w:t>/吨；大写：</w:t>
            </w:r>
          </w:p>
        </w:tc>
      </w:tr>
      <w:tr w14:paraId="19F28A70">
        <w:tblPrEx>
          <w:tblCellMar>
            <w:top w:w="0" w:type="dxa"/>
            <w:left w:w="108" w:type="dxa"/>
            <w:bottom w:w="0" w:type="dxa"/>
            <w:right w:w="108" w:type="dxa"/>
          </w:tblCellMar>
        </w:tblPrEx>
        <w:trPr>
          <w:trHeight w:val="56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34D4DF34">
            <w:pPr>
              <w:spacing w:line="360" w:lineRule="auto"/>
              <w:ind w:left="0" w:leftChars="0" w:firstLine="0" w:firstLineChars="0"/>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2</w:t>
            </w:r>
          </w:p>
        </w:tc>
        <w:tc>
          <w:tcPr>
            <w:tcW w:w="3789" w:type="dxa"/>
            <w:tcBorders>
              <w:top w:val="single" w:color="000000" w:sz="4" w:space="0"/>
              <w:bottom w:val="single" w:color="000000" w:sz="4" w:space="0"/>
              <w:right w:val="single" w:color="000000" w:sz="4" w:space="0"/>
            </w:tcBorders>
            <w:vAlign w:val="center"/>
          </w:tcPr>
          <w:p w14:paraId="2608EA4C">
            <w:pPr>
              <w:spacing w:line="240" w:lineRule="auto"/>
              <w:ind w:left="0" w:leftChars="0" w:firstLine="0" w:firstLineChars="0"/>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投标保证金</w:t>
            </w:r>
          </w:p>
        </w:tc>
        <w:tc>
          <w:tcPr>
            <w:tcW w:w="4502" w:type="dxa"/>
            <w:tcBorders>
              <w:top w:val="single" w:color="000000" w:sz="4" w:space="0"/>
              <w:bottom w:val="single" w:color="000000" w:sz="4" w:space="0"/>
              <w:right w:val="single" w:color="000000" w:sz="4" w:space="0"/>
            </w:tcBorders>
            <w:vAlign w:val="center"/>
          </w:tcPr>
          <w:p w14:paraId="2EC05443">
            <w:pPr>
              <w:spacing w:line="240" w:lineRule="auto"/>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元；交纳方式：</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     。</w:t>
            </w:r>
          </w:p>
        </w:tc>
      </w:tr>
      <w:tr w14:paraId="3BAC7A25">
        <w:tblPrEx>
          <w:tblCellMar>
            <w:top w:w="0" w:type="dxa"/>
            <w:left w:w="108" w:type="dxa"/>
            <w:bottom w:w="0" w:type="dxa"/>
            <w:right w:w="108" w:type="dxa"/>
          </w:tblCellMar>
        </w:tblPrEx>
        <w:trPr>
          <w:trHeight w:val="560" w:hRule="atLeast"/>
        </w:trPr>
        <w:tc>
          <w:tcPr>
            <w:tcW w:w="1054" w:type="dxa"/>
            <w:tcBorders>
              <w:top w:val="single" w:color="000000" w:sz="4" w:space="0"/>
              <w:left w:val="single" w:color="000000" w:sz="4" w:space="0"/>
              <w:bottom w:val="single" w:color="000000" w:sz="4" w:space="0"/>
              <w:right w:val="single" w:color="000000" w:sz="4" w:space="0"/>
            </w:tcBorders>
            <w:vAlign w:val="center"/>
          </w:tcPr>
          <w:p w14:paraId="64DEEA65">
            <w:pPr>
              <w:spacing w:line="360" w:lineRule="auto"/>
              <w:ind w:left="0" w:leftChars="0" w:firstLine="0" w:firstLineChars="0"/>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3</w:t>
            </w:r>
          </w:p>
        </w:tc>
        <w:tc>
          <w:tcPr>
            <w:tcW w:w="3789" w:type="dxa"/>
            <w:tcBorders>
              <w:top w:val="single" w:color="000000" w:sz="4" w:space="0"/>
              <w:bottom w:val="single" w:color="000000" w:sz="4" w:space="0"/>
              <w:right w:val="single" w:color="000000" w:sz="4" w:space="0"/>
            </w:tcBorders>
            <w:vAlign w:val="center"/>
          </w:tcPr>
          <w:p w14:paraId="59245C2C">
            <w:pPr>
              <w:spacing w:line="240" w:lineRule="auto"/>
              <w:ind w:left="0" w:leftChars="0" w:firstLine="0" w:firstLineChars="0"/>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拟投入本项目负责人</w:t>
            </w:r>
          </w:p>
        </w:tc>
        <w:tc>
          <w:tcPr>
            <w:tcW w:w="4502" w:type="dxa"/>
            <w:tcBorders>
              <w:top w:val="single" w:color="000000" w:sz="4" w:space="0"/>
              <w:bottom w:val="single" w:color="000000" w:sz="4" w:space="0"/>
              <w:right w:val="single" w:color="000000" w:sz="4" w:space="0"/>
            </w:tcBorders>
            <w:vAlign w:val="center"/>
          </w:tcPr>
          <w:p w14:paraId="543781F1">
            <w:pPr>
              <w:spacing w:line="360" w:lineRule="auto"/>
              <w:ind w:left="0" w:leftChars="0" w:firstLine="0" w:firstLineChars="0"/>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姓名：</w:t>
            </w:r>
          </w:p>
          <w:p w14:paraId="6E641645">
            <w:pPr>
              <w:pStyle w:val="14"/>
              <w:spacing w:line="360" w:lineRule="auto"/>
              <w:ind w:left="0" w:leftChars="0" w:firstLine="0" w:firstLineChars="0"/>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身份证号码：</w:t>
            </w:r>
          </w:p>
          <w:p w14:paraId="1BE45953">
            <w:pPr>
              <w:spacing w:line="360" w:lineRule="auto"/>
              <w:ind w:left="0" w:leftChars="0" w:firstLine="0" w:firstLineChars="0"/>
              <w:jc w:val="left"/>
              <w:rPr>
                <w:rFonts w:hint="eastAsia" w:ascii="宋体" w:hAnsi="宋体" w:eastAsia="宋体" w:cs="宋体"/>
                <w:sz w:val="22"/>
                <w:szCs w:val="22"/>
                <w:lang w:eastAsia="zh-CN"/>
              </w:rPr>
            </w:pPr>
            <w:r>
              <w:rPr>
                <w:rFonts w:hint="eastAsia" w:ascii="宋体" w:hAnsi="宋体" w:eastAsia="宋体" w:cs="宋体"/>
                <w:color w:val="000000" w:themeColor="text1"/>
                <w:sz w:val="22"/>
                <w:szCs w:val="22"/>
                <w:highlight w:val="none"/>
                <w:lang w:eastAsia="zh-CN"/>
                <w14:textFill>
                  <w14:solidFill>
                    <w14:schemeClr w14:val="tx1"/>
                  </w14:solidFill>
                </w14:textFill>
              </w:rPr>
              <w:t>联系电话：</w:t>
            </w:r>
          </w:p>
          <w:p w14:paraId="36D6B226">
            <w:pPr>
              <w:pStyle w:val="14"/>
              <w:spacing w:line="360" w:lineRule="auto"/>
              <w:ind w:left="0" w:leftChars="0" w:firstLine="0" w:firstLineChars="0"/>
              <w:jc w:val="left"/>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eastAsia="zh-CN"/>
                <w14:textFill>
                  <w14:solidFill>
                    <w14:schemeClr w14:val="tx1"/>
                  </w14:solidFill>
                </w14:textFill>
              </w:rPr>
              <w:t>职务：</w:t>
            </w:r>
          </w:p>
          <w:p w14:paraId="64B7C050">
            <w:pPr>
              <w:spacing w:line="360" w:lineRule="auto"/>
              <w:ind w:left="0" w:leftChars="0" w:firstLine="0" w:firstLineChars="0"/>
              <w:jc w:val="left"/>
              <w:rPr>
                <w:rFonts w:hint="eastAsia" w:ascii="宋体" w:hAnsi="宋体" w:eastAsia="宋体" w:cs="宋体"/>
                <w:sz w:val="22"/>
                <w:szCs w:val="22"/>
                <w:lang w:eastAsia="zh-CN"/>
              </w:rPr>
            </w:pPr>
            <w:r>
              <w:rPr>
                <w:rFonts w:hint="eastAsia" w:ascii="宋体" w:hAnsi="宋体" w:eastAsia="宋体" w:cs="宋体"/>
                <w:color w:val="000000" w:themeColor="text1"/>
                <w:sz w:val="22"/>
                <w:szCs w:val="22"/>
                <w:highlight w:val="none"/>
                <w:lang w:eastAsia="zh-CN"/>
                <w14:textFill>
                  <w14:solidFill>
                    <w14:schemeClr w14:val="tx1"/>
                  </w14:solidFill>
                </w14:textFill>
              </w:rPr>
              <w:t>职称（或注册资格）：</w:t>
            </w:r>
          </w:p>
        </w:tc>
      </w:tr>
      <w:tr w14:paraId="5E895385">
        <w:tblPrEx>
          <w:tblCellMar>
            <w:top w:w="0" w:type="dxa"/>
            <w:left w:w="108" w:type="dxa"/>
            <w:bottom w:w="0" w:type="dxa"/>
            <w:right w:w="108" w:type="dxa"/>
          </w:tblCellMar>
        </w:tblPrEx>
        <w:trPr>
          <w:trHeight w:val="563" w:hRule="exact"/>
        </w:trPr>
        <w:tc>
          <w:tcPr>
            <w:tcW w:w="1054" w:type="dxa"/>
            <w:tcBorders>
              <w:top w:val="single" w:color="000000" w:sz="4" w:space="0"/>
              <w:left w:val="single" w:color="000000" w:sz="4" w:space="0"/>
              <w:bottom w:val="single" w:color="000000" w:sz="4" w:space="0"/>
              <w:right w:val="single" w:color="000000" w:sz="4" w:space="0"/>
            </w:tcBorders>
            <w:vAlign w:val="center"/>
          </w:tcPr>
          <w:p w14:paraId="062ED44D">
            <w:pPr>
              <w:spacing w:line="360" w:lineRule="auto"/>
              <w:ind w:left="0" w:leftChars="0" w:firstLine="0" w:firstLineChars="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789" w:type="dxa"/>
            <w:tcBorders>
              <w:top w:val="single" w:color="000000" w:sz="4" w:space="0"/>
              <w:bottom w:val="single" w:color="000000" w:sz="4" w:space="0"/>
              <w:right w:val="single" w:color="000000" w:sz="4" w:space="0"/>
            </w:tcBorders>
            <w:vAlign w:val="center"/>
          </w:tcPr>
          <w:p w14:paraId="5CF8B89A">
            <w:pPr>
              <w:spacing w:line="240" w:lineRule="auto"/>
              <w:ind w:left="0" w:leftChars="0" w:firstLine="0" w:firstLineChars="0"/>
              <w:jc w:val="center"/>
              <w:rPr>
                <w:rFonts w:cs="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备注</w:t>
            </w:r>
          </w:p>
        </w:tc>
        <w:tc>
          <w:tcPr>
            <w:tcW w:w="4502" w:type="dxa"/>
            <w:tcBorders>
              <w:top w:val="single" w:color="000000" w:sz="4" w:space="0"/>
              <w:bottom w:val="single" w:color="000000" w:sz="4" w:space="0"/>
              <w:right w:val="single" w:color="000000" w:sz="4" w:space="0"/>
            </w:tcBorders>
            <w:vAlign w:val="center"/>
          </w:tcPr>
          <w:p w14:paraId="091A7635">
            <w:pPr>
              <w:spacing w:line="240" w:lineRule="auto"/>
              <w:jc w:val="center"/>
              <w:rPr>
                <w:rFonts w:cs="Times New Roman"/>
                <w:color w:val="000000" w:themeColor="text1"/>
                <w:highlight w:val="none"/>
                <w14:textFill>
                  <w14:solidFill>
                    <w14:schemeClr w14:val="tx1"/>
                  </w14:solidFill>
                </w14:textFill>
              </w:rPr>
            </w:pPr>
          </w:p>
        </w:tc>
      </w:tr>
    </w:tbl>
    <w:p w14:paraId="5C955E03">
      <w:pPr>
        <w:spacing w:line="300" w:lineRule="auto"/>
        <w:rPr>
          <w:rFonts w:ascii="宋体" w:cs="Times New Roman"/>
          <w:color w:val="000000" w:themeColor="text1"/>
          <w:highlight w:val="none"/>
          <w14:textFill>
            <w14:solidFill>
              <w14:schemeClr w14:val="tx1"/>
            </w14:solidFill>
          </w14:textFill>
        </w:rPr>
      </w:pPr>
    </w:p>
    <w:p w14:paraId="501C770A">
      <w:pPr>
        <w:spacing w:line="300" w:lineRule="auto"/>
        <w:ind w:firstLine="2268" w:firstLineChars="1031"/>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标</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（电子签章）</w:t>
      </w:r>
    </w:p>
    <w:p w14:paraId="28EEEE1A">
      <w:pPr>
        <w:spacing w:line="300" w:lineRule="auto"/>
        <w:ind w:firstLine="490"/>
        <w:rPr>
          <w:rFonts w:ascii="宋体" w:cs="Times New Roman"/>
          <w:color w:val="000000" w:themeColor="text1"/>
          <w:highlight w:val="none"/>
          <w14:textFill>
            <w14:solidFill>
              <w14:schemeClr w14:val="tx1"/>
            </w14:solidFill>
          </w14:textFill>
        </w:rPr>
      </w:pPr>
    </w:p>
    <w:p w14:paraId="62787A5A">
      <w:pPr>
        <w:spacing w:line="300" w:lineRule="auto"/>
        <w:ind w:firstLine="49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w:t>
      </w:r>
      <w:r>
        <w:rPr>
          <w:rFonts w:hint="eastAsia" w:cs="宋体"/>
          <w:color w:val="000000" w:themeColor="text1"/>
          <w:highlight w:val="none"/>
          <w14:textFill>
            <w14:solidFill>
              <w14:schemeClr w14:val="tx1"/>
            </w14:solidFill>
          </w14:textFill>
        </w:rPr>
        <w:t>其委托代理人</w:t>
      </w:r>
      <w:r>
        <w:rPr>
          <w:rFonts w:hint="eastAsia" w:ascii="宋体" w:hAnsi="宋体" w:cs="宋体"/>
          <w:color w:val="000000" w:themeColor="text1"/>
          <w:highlight w:val="none"/>
          <w:u w:val="none"/>
          <w14:textFill>
            <w14:solidFill>
              <w14:schemeClr w14:val="tx1"/>
            </w14:solidFill>
          </w14:textFill>
        </w:rPr>
        <w:t>：</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（电子签章）</w:t>
      </w:r>
    </w:p>
    <w:p w14:paraId="6A01A81D">
      <w:pPr>
        <w:spacing w:line="300" w:lineRule="auto"/>
        <w:ind w:firstLine="490"/>
        <w:rPr>
          <w:rFonts w:ascii="宋体" w:cs="Times New Roman"/>
          <w:color w:val="000000" w:themeColor="text1"/>
          <w:highlight w:val="none"/>
          <w14:textFill>
            <w14:solidFill>
              <w14:schemeClr w14:val="tx1"/>
            </w14:solidFill>
          </w14:textFill>
        </w:rPr>
      </w:pPr>
    </w:p>
    <w:p w14:paraId="29F4068D">
      <w:pPr>
        <w:spacing w:line="440" w:lineRule="exact"/>
        <w:ind w:firstLine="2420" w:firstLineChars="1100"/>
        <w:rPr>
          <w:rFonts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日</w:t>
      </w:r>
    </w:p>
    <w:p w14:paraId="73159908">
      <w:pPr>
        <w:keepNext/>
        <w:keepLines/>
        <w:widowControl w:val="0"/>
        <w:spacing w:before="260" w:after="260" w:line="416" w:lineRule="auto"/>
        <w:ind w:firstLine="482" w:firstLineChars="200"/>
        <w:jc w:val="center"/>
        <w:outlineLvl w:val="1"/>
        <w:rPr>
          <w:rFonts w:hint="eastAsia" w:ascii="宋体" w:hAnsi="宋体" w:cs="宋体"/>
          <w:b/>
          <w:bCs/>
          <w:color w:val="auto"/>
          <w:kern w:val="2"/>
          <w:sz w:val="24"/>
          <w:szCs w:val="32"/>
          <w:highlight w:val="none"/>
          <w:lang w:val="zh-CN"/>
        </w:rPr>
      </w:pPr>
    </w:p>
    <w:p w14:paraId="25E0F970">
      <w:pPr>
        <w:pStyle w:val="14"/>
        <w:rPr>
          <w:rFonts w:hint="eastAsia" w:ascii="宋体" w:hAnsi="宋体" w:cs="宋体"/>
          <w:b/>
          <w:bCs/>
          <w:color w:val="auto"/>
          <w:kern w:val="2"/>
          <w:sz w:val="24"/>
          <w:szCs w:val="32"/>
          <w:highlight w:val="none"/>
          <w:lang w:val="zh-CN"/>
        </w:rPr>
      </w:pPr>
    </w:p>
    <w:p w14:paraId="64B2864A">
      <w:pPr>
        <w:keepNext/>
        <w:keepLines/>
        <w:widowControl w:val="0"/>
        <w:spacing w:before="260" w:after="260" w:line="416" w:lineRule="auto"/>
        <w:ind w:left="0" w:leftChars="0" w:firstLine="0" w:firstLineChars="0"/>
        <w:jc w:val="both"/>
        <w:outlineLvl w:val="1"/>
        <w:rPr>
          <w:rFonts w:hint="eastAsia" w:ascii="宋体" w:hAnsi="宋体" w:cs="宋体"/>
          <w:b/>
          <w:bCs/>
          <w:color w:val="auto"/>
          <w:kern w:val="2"/>
          <w:sz w:val="24"/>
          <w:szCs w:val="32"/>
          <w:highlight w:val="none"/>
        </w:rPr>
      </w:pPr>
    </w:p>
    <w:p w14:paraId="7FF7F82E">
      <w:pPr>
        <w:pStyle w:val="14"/>
        <w:rPr>
          <w:rFonts w:hint="eastAsia"/>
        </w:rPr>
      </w:pPr>
    </w:p>
    <w:p w14:paraId="6D54EE0F">
      <w:pPr>
        <w:rPr>
          <w:rFonts w:hint="eastAsia"/>
        </w:rPr>
      </w:pPr>
    </w:p>
    <w:p w14:paraId="64FA0DEC">
      <w:pPr>
        <w:pStyle w:val="63"/>
        <w:rPr>
          <w:rFonts w:hint="eastAsia"/>
        </w:rPr>
      </w:pPr>
    </w:p>
    <w:p w14:paraId="6F569B42">
      <w:pPr>
        <w:rPr>
          <w:rFonts w:hint="eastAsia"/>
        </w:rPr>
      </w:pPr>
    </w:p>
    <w:p w14:paraId="08BE75CE">
      <w:pPr>
        <w:pStyle w:val="14"/>
        <w:rPr>
          <w:rFonts w:hint="eastAsia"/>
        </w:rPr>
      </w:pPr>
    </w:p>
    <w:p w14:paraId="654338F0">
      <w:pPr>
        <w:rPr>
          <w:rFonts w:hint="eastAsia"/>
        </w:rPr>
      </w:pPr>
    </w:p>
    <w:p w14:paraId="7B2C6BE0">
      <w:pPr>
        <w:keepNext/>
        <w:keepLines/>
        <w:widowControl w:val="0"/>
        <w:spacing w:before="260" w:after="260" w:line="416" w:lineRule="auto"/>
        <w:ind w:left="0" w:leftChars="0" w:firstLine="0" w:firstLineChars="0"/>
        <w:jc w:val="center"/>
        <w:outlineLvl w:val="1"/>
        <w:rPr>
          <w:rFonts w:hint="eastAsia" w:ascii="宋体" w:hAnsi="宋体" w:cs="宋体"/>
          <w:b/>
          <w:bCs/>
          <w:color w:val="auto"/>
          <w:kern w:val="2"/>
          <w:sz w:val="28"/>
          <w:szCs w:val="28"/>
          <w:highlight w:val="none"/>
        </w:rPr>
      </w:pPr>
      <w:r>
        <w:rPr>
          <w:rFonts w:hint="eastAsia" w:ascii="宋体" w:hAnsi="宋体" w:cs="宋体"/>
          <w:b/>
          <w:bCs/>
          <w:color w:val="auto"/>
          <w:kern w:val="2"/>
          <w:sz w:val="28"/>
          <w:szCs w:val="28"/>
          <w:highlight w:val="none"/>
        </w:rPr>
        <w:t>一、</w:t>
      </w:r>
      <w:bookmarkEnd w:id="968"/>
      <w:bookmarkEnd w:id="969"/>
      <w:bookmarkStart w:id="974" w:name="_Toc7708_WPSOffice_Level2"/>
      <w:bookmarkStart w:id="975" w:name="_Toc17906"/>
      <w:bookmarkStart w:id="976" w:name="_Toc21526"/>
      <w:bookmarkStart w:id="977" w:name="_Toc27625_WPSOffice_Level2"/>
      <w:bookmarkStart w:id="978" w:name="_Toc16308"/>
      <w:bookmarkStart w:id="979" w:name="_Toc25201_WPSOffice_Level2"/>
      <w:bookmarkStart w:id="980" w:name="_Toc31838"/>
      <w:bookmarkStart w:id="981" w:name="_Toc23730_WPSOffice_Level2"/>
      <w:r>
        <w:rPr>
          <w:rFonts w:hint="eastAsia" w:ascii="宋体" w:hAnsi="宋体" w:cs="宋体"/>
          <w:b/>
          <w:bCs/>
          <w:color w:val="auto"/>
          <w:kern w:val="2"/>
          <w:sz w:val="28"/>
          <w:szCs w:val="28"/>
          <w:highlight w:val="none"/>
          <w:lang w:val="zh-CN"/>
        </w:rPr>
        <w:t>投标函</w:t>
      </w:r>
      <w:bookmarkEnd w:id="970"/>
      <w:bookmarkEnd w:id="971"/>
      <w:bookmarkEnd w:id="972"/>
      <w:bookmarkEnd w:id="973"/>
      <w:bookmarkEnd w:id="974"/>
      <w:bookmarkEnd w:id="975"/>
      <w:bookmarkEnd w:id="976"/>
      <w:bookmarkEnd w:id="977"/>
      <w:bookmarkEnd w:id="978"/>
      <w:bookmarkEnd w:id="979"/>
      <w:bookmarkEnd w:id="980"/>
      <w:bookmarkEnd w:id="981"/>
    </w:p>
    <w:p w14:paraId="4AC01FC8">
      <w:pPr>
        <w:widowControl w:val="0"/>
        <w:spacing w:line="560" w:lineRule="exact"/>
        <w:ind w:firstLine="422" w:firstLineChars="200"/>
        <w:jc w:val="both"/>
        <w:rPr>
          <w:rFonts w:hint="eastAsia" w:ascii="宋体" w:hAnsi="宋体" w:cs="宋体"/>
          <w:b/>
          <w:bCs/>
          <w:color w:val="auto"/>
          <w:kern w:val="2"/>
          <w:sz w:val="21"/>
          <w:szCs w:val="21"/>
          <w:highlight w:val="none"/>
          <w:lang w:val="zh-CN"/>
        </w:rPr>
      </w:pPr>
      <w:r>
        <w:rPr>
          <w:rFonts w:hint="eastAsia" w:ascii="宋体" w:hAnsi="宋体" w:cs="宋体"/>
          <w:b/>
          <w:bCs/>
          <w:color w:val="auto"/>
          <w:kern w:val="2"/>
          <w:sz w:val="21"/>
          <w:szCs w:val="21"/>
          <w:highlight w:val="none"/>
          <w:lang w:val="zh-CN"/>
        </w:rPr>
        <w:t>致：牟定县住房和城乡建设局</w:t>
      </w:r>
    </w:p>
    <w:p w14:paraId="6A534E58">
      <w:pPr>
        <w:widowControl w:val="0"/>
        <w:spacing w:line="560" w:lineRule="exact"/>
        <w:ind w:firstLine="420" w:firstLineChars="200"/>
        <w:jc w:val="both"/>
        <w:rPr>
          <w:rFonts w:hint="eastAsia" w:ascii="宋体" w:hAnsi="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一、</w:t>
      </w:r>
      <w:r>
        <w:rPr>
          <w:rFonts w:hint="eastAsia" w:ascii="宋体" w:hAnsi="宋体" w:eastAsia="宋体" w:cs="宋体"/>
          <w:color w:val="000000" w:themeColor="text1"/>
          <w:sz w:val="21"/>
          <w:szCs w:val="21"/>
          <w:highlight w:val="none"/>
          <w14:textFill>
            <w14:solidFill>
              <w14:schemeClr w14:val="tx1"/>
            </w14:solidFill>
          </w14:textFill>
        </w:rPr>
        <w:t>我方已仔细研究了</w:t>
      </w:r>
      <w:r>
        <w:rPr>
          <w:rFonts w:hint="eastAsia" w:ascii="宋体" w:hAnsi="宋体" w:cs="宋体"/>
          <w:color w:val="000000"/>
          <w:u w:val="single"/>
          <w:lang w:val="zh-CN" w:eastAsia="zh-CN"/>
        </w:rPr>
        <w:t>楚雄州牟定县餐厨垃圾收运处理及综合利用项目特许经营</w:t>
      </w:r>
      <w:r>
        <w:rPr>
          <w:rFonts w:hint="eastAsia" w:ascii="宋体" w:hAnsi="宋体" w:eastAsia="宋体" w:cs="宋体"/>
          <w:color w:val="000000" w:themeColor="text1"/>
          <w:sz w:val="21"/>
          <w:szCs w:val="21"/>
          <w:highlight w:val="none"/>
          <w14:textFill>
            <w14:solidFill>
              <w14:schemeClr w14:val="tx1"/>
            </w14:solidFill>
          </w14:textFill>
        </w:rPr>
        <w:t>招标文件</w:t>
      </w:r>
      <w:r>
        <w:rPr>
          <w:rFonts w:hint="eastAsia" w:ascii="宋体" w:hAnsi="宋体" w:cs="宋体"/>
          <w:color w:val="000000" w:themeColor="text1"/>
          <w:sz w:val="21"/>
          <w:szCs w:val="21"/>
          <w:highlight w:val="none"/>
          <w:lang w:eastAsia="zh-CN"/>
          <w14:textFill>
            <w14:solidFill>
              <w14:schemeClr w14:val="tx1"/>
            </w14:solidFill>
          </w14:textFill>
        </w:rPr>
        <w:t>（含澄清、补遗等资料）</w:t>
      </w:r>
      <w:r>
        <w:rPr>
          <w:rFonts w:hint="eastAsia" w:ascii="宋体" w:hAnsi="宋体" w:eastAsia="宋体" w:cs="宋体"/>
          <w:color w:val="000000" w:themeColor="text1"/>
          <w:sz w:val="21"/>
          <w:szCs w:val="21"/>
          <w:highlight w:val="none"/>
          <w14:textFill>
            <w14:solidFill>
              <w14:schemeClr w14:val="tx1"/>
            </w14:solidFill>
          </w14:textFill>
        </w:rPr>
        <w:t>的全部内容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auto"/>
          <w:kern w:val="2"/>
          <w:sz w:val="21"/>
          <w:szCs w:val="21"/>
          <w:highlight w:val="none"/>
          <w:lang w:val="zh-CN"/>
        </w:rPr>
        <w:t>并知悉招标文件所有</w:t>
      </w:r>
      <w:r>
        <w:rPr>
          <w:rFonts w:hint="eastAsia" w:ascii="宋体" w:hAnsi="宋体" w:eastAsia="宋体" w:cs="宋体"/>
          <w:color w:val="auto"/>
          <w:kern w:val="2"/>
          <w:sz w:val="21"/>
          <w:szCs w:val="21"/>
          <w:highlight w:val="none"/>
          <w:lang w:val="zh-CN"/>
        </w:rPr>
        <w:t>条款和</w:t>
      </w:r>
      <w:r>
        <w:rPr>
          <w:rFonts w:hint="eastAsia" w:ascii="宋体" w:hAnsi="宋体" w:cs="宋体"/>
          <w:color w:val="auto"/>
          <w:kern w:val="2"/>
          <w:sz w:val="21"/>
          <w:szCs w:val="21"/>
          <w:highlight w:val="none"/>
          <w:lang w:val="zh-CN"/>
        </w:rPr>
        <w:t>要求</w:t>
      </w:r>
      <w:r>
        <w:rPr>
          <w:rFonts w:hint="eastAsia" w:ascii="宋体" w:hAnsi="宋体" w:eastAsia="宋体" w:cs="宋体"/>
          <w:color w:val="auto"/>
          <w:kern w:val="2"/>
          <w:sz w:val="21"/>
          <w:szCs w:val="21"/>
          <w:highlight w:val="none"/>
          <w:lang w:val="zh-CN"/>
        </w:rPr>
        <w:t>，</w:t>
      </w:r>
      <w:r>
        <w:rPr>
          <w:rFonts w:hint="eastAsia" w:ascii="宋体" w:hAnsi="宋体" w:cs="宋体"/>
          <w:color w:val="auto"/>
          <w:kern w:val="2"/>
          <w:sz w:val="21"/>
          <w:szCs w:val="21"/>
          <w:highlight w:val="none"/>
          <w:lang w:val="zh-CN"/>
        </w:rPr>
        <w:t>并承诺放弃以对上述文件和资料的所有条款存有含糊不清或不理解之处为由而要求免于承担责任的权利。</w:t>
      </w:r>
      <w:r>
        <w:rPr>
          <w:rFonts w:hint="eastAsia" w:ascii="宋体" w:hAnsi="宋体" w:eastAsia="宋体" w:cs="宋体"/>
          <w:color w:val="auto"/>
          <w:kern w:val="2"/>
          <w:sz w:val="21"/>
          <w:szCs w:val="21"/>
          <w:highlight w:val="none"/>
          <w:lang w:val="zh-CN"/>
        </w:rPr>
        <w:t>在此递交完全符合招标文件规定的</w:t>
      </w:r>
      <w:r>
        <w:rPr>
          <w:rFonts w:hint="eastAsia" w:ascii="宋体" w:hAnsi="宋体" w:cs="宋体"/>
          <w:color w:val="000000"/>
          <w:u w:val="single"/>
          <w:lang w:val="zh-CN" w:eastAsia="zh-CN"/>
        </w:rPr>
        <w:t>楚雄州牟定县餐厨垃圾收运处理及综合利用项目特许经营</w:t>
      </w:r>
      <w:r>
        <w:rPr>
          <w:rFonts w:hint="eastAsia" w:ascii="宋体" w:hAnsi="宋体" w:eastAsia="宋体" w:cs="宋体"/>
          <w:color w:val="auto"/>
          <w:kern w:val="2"/>
          <w:sz w:val="21"/>
          <w:szCs w:val="21"/>
          <w:highlight w:val="none"/>
        </w:rPr>
        <w:t>的</w:t>
      </w:r>
      <w:r>
        <w:rPr>
          <w:rFonts w:hint="eastAsia" w:ascii="宋体" w:hAnsi="宋体" w:eastAsia="宋体" w:cs="宋体"/>
          <w:color w:val="auto"/>
          <w:kern w:val="2"/>
          <w:sz w:val="21"/>
          <w:szCs w:val="21"/>
          <w:highlight w:val="none"/>
          <w:lang w:val="zh-CN"/>
        </w:rPr>
        <w:t>投标文件。</w:t>
      </w:r>
    </w:p>
    <w:p w14:paraId="59E366CC">
      <w:pPr>
        <w:widowControl w:val="0"/>
        <w:spacing w:line="560" w:lineRule="exact"/>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二、我方</w:t>
      </w:r>
      <w:r>
        <w:rPr>
          <w:rFonts w:hint="eastAsia" w:ascii="宋体" w:hAnsi="宋体" w:eastAsia="宋体" w:cs="宋体"/>
          <w:color w:val="000000" w:themeColor="text1"/>
          <w:highlight w:val="none"/>
          <w14:textFill>
            <w14:solidFill>
              <w14:schemeClr w14:val="tx1"/>
            </w14:solidFill>
          </w14:textFill>
        </w:rPr>
        <w:t>愿意以</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元/吨</w:t>
      </w:r>
      <w:r>
        <w:rPr>
          <w:rFonts w:hint="eastAsia" w:ascii="宋体" w:hAnsi="宋体" w:eastAsia="宋体" w:cs="宋体"/>
          <w:color w:val="000000" w:themeColor="text1"/>
          <w:highlight w:val="none"/>
          <w:lang w:val="en-US" w:eastAsia="zh-CN"/>
          <w14:textFill>
            <w14:solidFill>
              <w14:schemeClr w14:val="tx1"/>
            </w14:solidFill>
          </w14:textFill>
        </w:rPr>
        <w:t>的餐厨垃圾处理服务费</w:t>
      </w:r>
      <w:r>
        <w:rPr>
          <w:rFonts w:hint="eastAsia" w:ascii="宋体" w:hAnsi="宋体" w:cs="宋体"/>
          <w:color w:val="auto"/>
          <w:kern w:val="2"/>
          <w:sz w:val="21"/>
          <w:szCs w:val="21"/>
          <w:highlight w:val="none"/>
          <w:lang w:val="zh-CN"/>
        </w:rPr>
        <w:t>，投融资</w:t>
      </w:r>
      <w:r>
        <w:rPr>
          <w:rFonts w:hint="eastAsia" w:ascii="宋体" w:hAnsi="宋体" w:cs="宋体"/>
          <w:color w:val="auto"/>
          <w:kern w:val="2"/>
          <w:sz w:val="21"/>
          <w:szCs w:val="21"/>
          <w:highlight w:val="none"/>
          <w:u w:val="single"/>
          <w:lang w:val="en-US" w:eastAsia="zh-CN"/>
        </w:rPr>
        <w:t xml:space="preserve">    万元</w:t>
      </w:r>
      <w:r>
        <w:rPr>
          <w:rFonts w:hint="eastAsia" w:ascii="宋体" w:hAnsi="宋体" w:cs="宋体"/>
          <w:color w:val="auto"/>
          <w:kern w:val="2"/>
          <w:sz w:val="21"/>
          <w:szCs w:val="21"/>
          <w:highlight w:val="none"/>
          <w:lang w:val="en-US" w:eastAsia="zh-CN"/>
        </w:rPr>
        <w:t>承担本项目</w:t>
      </w:r>
      <w:r>
        <w:rPr>
          <w:rFonts w:hint="eastAsia" w:ascii="宋体" w:hAnsi="宋体" w:cs="宋体"/>
          <w:color w:val="000000"/>
          <w:u w:val="single"/>
          <w:lang w:val="zh-CN" w:eastAsia="zh-CN"/>
        </w:rPr>
        <w:t>特许经营权</w:t>
      </w:r>
      <w:r>
        <w:rPr>
          <w:rFonts w:hint="eastAsia" w:ascii="宋体" w:hAnsi="宋体" w:cs="宋体"/>
          <w:color w:val="auto"/>
          <w:kern w:val="2"/>
          <w:sz w:val="21"/>
          <w:szCs w:val="21"/>
          <w:highlight w:val="none"/>
          <w:lang w:val="zh-CN"/>
        </w:rPr>
        <w:t>。</w:t>
      </w:r>
    </w:p>
    <w:p w14:paraId="32D6CEF8">
      <w:pPr>
        <w:spacing w:line="440" w:lineRule="exact"/>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auto"/>
          <w:kern w:val="2"/>
          <w:sz w:val="21"/>
          <w:szCs w:val="21"/>
          <w:highlight w:val="none"/>
          <w:lang w:val="zh-CN"/>
        </w:rPr>
        <w:t>三、</w:t>
      </w:r>
      <w:r>
        <w:rPr>
          <w:rFonts w:hint="eastAsia" w:ascii="宋体" w:hAnsi="宋体" w:eastAsia="宋体" w:cs="宋体"/>
          <w:color w:val="000000" w:themeColor="text1"/>
          <w:highlight w:val="none"/>
          <w14:textFill>
            <w14:solidFill>
              <w14:schemeClr w14:val="tx1"/>
            </w14:solidFill>
          </w14:textFill>
        </w:rPr>
        <w:t>我方承诺在招标文件规定的投标有效期内不修改、撤销投标文件。</w:t>
      </w:r>
    </w:p>
    <w:p w14:paraId="6CAD7B12">
      <w:pPr>
        <w:spacing w:line="440" w:lineRule="exact"/>
        <w:ind w:firstLine="440" w:firstLineChars="200"/>
        <w:rPr>
          <w:rFonts w:hint="eastAsia" w:ascii="宋体" w:hAnsi="宋体" w:cs="宋体"/>
          <w:color w:val="auto"/>
          <w:kern w:val="2"/>
          <w:sz w:val="21"/>
          <w:szCs w:val="21"/>
          <w:highlight w:val="none"/>
          <w:lang w:val="zh-CN"/>
        </w:rPr>
      </w:pPr>
      <w:r>
        <w:rPr>
          <w:rFonts w:hint="eastAsia" w:ascii="宋体" w:hAnsi="宋体" w:eastAsia="宋体" w:cs="宋体"/>
          <w:color w:val="000000" w:themeColor="text1"/>
          <w:highlight w:val="none"/>
          <w:lang w:eastAsia="zh-CN"/>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随同本投标函提交投标保证金一份，金额为人民币（大写）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，交纳方式为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p>
    <w:p w14:paraId="5A884B77">
      <w:pPr>
        <w:widowControl w:val="0"/>
        <w:spacing w:line="560" w:lineRule="exact"/>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五、我们确认，我们完全同意招标文件制定的招标投标活动规则，并承诺按照这些规则履行我们的所有义务，包括一旦投标文件被贵方接受，并履行中标人的义务。</w:t>
      </w:r>
    </w:p>
    <w:p w14:paraId="5AB61A87">
      <w:pPr>
        <w:widowControl w:val="0"/>
        <w:spacing w:line="560" w:lineRule="exact"/>
        <w:ind w:firstLine="440" w:firstLineChars="200"/>
        <w:jc w:val="both"/>
        <w:rPr>
          <w:rFonts w:hint="eastAsia" w:ascii="宋体" w:hAnsi="宋体" w:cs="宋体"/>
          <w:color w:val="auto"/>
          <w:kern w:val="2"/>
          <w:szCs w:val="20"/>
          <w:highlight w:val="none"/>
          <w:lang w:val="zh-CN"/>
        </w:rPr>
      </w:pPr>
      <w:r>
        <w:rPr>
          <w:rFonts w:hint="eastAsia" w:ascii="宋体" w:hAnsi="宋体" w:cs="宋体"/>
          <w:color w:val="auto"/>
          <w:kern w:val="2"/>
          <w:szCs w:val="20"/>
          <w:highlight w:val="none"/>
          <w:lang w:val="zh-CN"/>
        </w:rPr>
        <w:t>六、我们同意，如果我们的投标文件在其有效期内被贵方接受，将按照贵方所接受的格式以及投标人须知前附表的规定，确保项目公司签署所有项目协议。</w:t>
      </w:r>
    </w:p>
    <w:p w14:paraId="152135A8">
      <w:pPr>
        <w:widowControl w:val="0"/>
        <w:spacing w:line="560" w:lineRule="exact"/>
        <w:ind w:firstLine="440" w:firstLineChars="200"/>
        <w:jc w:val="both"/>
        <w:rPr>
          <w:rFonts w:hint="eastAsia" w:ascii="宋体" w:hAnsi="宋体" w:cs="宋体"/>
          <w:color w:val="auto"/>
          <w:kern w:val="2"/>
          <w:szCs w:val="20"/>
          <w:highlight w:val="none"/>
          <w:lang w:val="zh-CN"/>
        </w:rPr>
      </w:pPr>
      <w:r>
        <w:rPr>
          <w:rFonts w:hint="eastAsia" w:ascii="宋体" w:hAnsi="宋体" w:cs="宋体"/>
          <w:color w:val="auto"/>
          <w:kern w:val="2"/>
          <w:szCs w:val="20"/>
          <w:highlight w:val="none"/>
          <w:lang w:val="zh-CN"/>
        </w:rPr>
        <w:t>七、在项目协议最终签署以前，以双方就可能达成协议作出任何修改为条件，本投标文件对我们有约束力。我们同意贵方不一定要接受我们的投标文件或接受任何一份投标文件的约束，并无义务</w:t>
      </w:r>
      <w:r>
        <w:rPr>
          <w:rFonts w:hint="eastAsia" w:ascii="宋体" w:hAnsi="宋体" w:cs="宋体"/>
          <w:color w:val="auto"/>
          <w:kern w:val="2"/>
          <w:szCs w:val="20"/>
          <w:highlight w:val="none"/>
        </w:rPr>
        <w:t>必须</w:t>
      </w:r>
      <w:r>
        <w:rPr>
          <w:rFonts w:hint="eastAsia" w:ascii="宋体" w:hAnsi="宋体" w:cs="宋体"/>
          <w:color w:val="auto"/>
          <w:kern w:val="2"/>
          <w:szCs w:val="20"/>
          <w:highlight w:val="none"/>
          <w:lang w:val="zh-CN"/>
        </w:rPr>
        <w:t>接受所收到的价格最低的或其他任何投标文件。</w:t>
      </w:r>
    </w:p>
    <w:p w14:paraId="64F03554">
      <w:pPr>
        <w:widowControl w:val="0"/>
        <w:spacing w:line="560" w:lineRule="exact"/>
        <w:ind w:firstLine="440" w:firstLineChars="200"/>
        <w:jc w:val="both"/>
        <w:rPr>
          <w:rFonts w:hint="eastAsia" w:ascii="宋体" w:hAnsi="宋体" w:cs="宋体"/>
          <w:color w:val="auto"/>
          <w:kern w:val="2"/>
          <w:szCs w:val="20"/>
          <w:highlight w:val="none"/>
          <w:lang w:val="zh-CN"/>
        </w:rPr>
      </w:pPr>
      <w:r>
        <w:rPr>
          <w:rFonts w:hint="eastAsia" w:ascii="宋体" w:hAnsi="宋体" w:cs="宋体"/>
          <w:color w:val="auto"/>
          <w:kern w:val="2"/>
          <w:szCs w:val="20"/>
          <w:highlight w:val="none"/>
          <w:lang w:val="zh-CN"/>
        </w:rPr>
        <w:t>八、我们在此保证，本投标文件中陈述和资料是完整、真实和准确的。</w:t>
      </w:r>
    </w:p>
    <w:p w14:paraId="7D98E115">
      <w:pPr>
        <w:widowControl w:val="0"/>
        <w:spacing w:line="560" w:lineRule="exact"/>
        <w:ind w:firstLine="440" w:firstLineChars="200"/>
        <w:jc w:val="both"/>
        <w:rPr>
          <w:rFonts w:hint="eastAsia" w:ascii="宋体" w:hAnsi="宋体" w:cs="宋体"/>
          <w:color w:val="auto"/>
          <w:kern w:val="2"/>
          <w:szCs w:val="20"/>
          <w:highlight w:val="none"/>
        </w:rPr>
      </w:pPr>
    </w:p>
    <w:p w14:paraId="2E04E5A1">
      <w:pPr>
        <w:spacing w:line="300" w:lineRule="auto"/>
        <w:ind w:firstLine="2268" w:firstLineChars="1031"/>
        <w:rPr>
          <w:rFonts w:ascii="宋体" w:cs="Times New Roman"/>
          <w:color w:val="000000" w:themeColor="text1"/>
          <w:highlight w:val="none"/>
          <w14:textFill>
            <w14:solidFill>
              <w14:schemeClr w14:val="tx1"/>
            </w14:solidFill>
          </w14:textFill>
        </w:rPr>
      </w:pPr>
      <w:bookmarkStart w:id="982" w:name="_Toc32266"/>
      <w:bookmarkStart w:id="983" w:name="_Toc23137"/>
      <w:bookmarkStart w:id="984" w:name="_Toc17694"/>
      <w:r>
        <w:rPr>
          <w:rFonts w:hint="eastAsia" w:ascii="宋体" w:hAnsi="宋体" w:cs="宋体"/>
          <w:color w:val="000000" w:themeColor="text1"/>
          <w:highlight w:val="none"/>
          <w14:textFill>
            <w14:solidFill>
              <w14:schemeClr w14:val="tx1"/>
            </w14:solidFill>
          </w14:textFill>
        </w:rPr>
        <w:t>投</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标</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人：</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（电子签章）</w:t>
      </w:r>
    </w:p>
    <w:p w14:paraId="33E3BC16">
      <w:pPr>
        <w:spacing w:line="300" w:lineRule="auto"/>
        <w:ind w:firstLine="490"/>
        <w:rPr>
          <w:rFonts w:ascii="宋体" w:cs="Times New Roman"/>
          <w:color w:val="000000" w:themeColor="text1"/>
          <w:highlight w:val="none"/>
          <w14:textFill>
            <w14:solidFill>
              <w14:schemeClr w14:val="tx1"/>
            </w14:solidFill>
          </w14:textFill>
        </w:rPr>
      </w:pPr>
    </w:p>
    <w:p w14:paraId="7CA09204">
      <w:pPr>
        <w:spacing w:line="300" w:lineRule="auto"/>
        <w:ind w:firstLine="49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w:t>
      </w:r>
      <w:r>
        <w:rPr>
          <w:rFonts w:hint="eastAsia" w:cs="宋体"/>
          <w:color w:val="000000" w:themeColor="text1"/>
          <w:highlight w:val="none"/>
          <w14:textFill>
            <w14:solidFill>
              <w14:schemeClr w14:val="tx1"/>
            </w14:solidFill>
          </w14:textFill>
        </w:rPr>
        <w:t>其委托代理人</w:t>
      </w:r>
      <w:r>
        <w:rPr>
          <w:rFonts w:hint="eastAsia" w:ascii="宋体" w:hAnsi="宋体" w:cs="宋体"/>
          <w:color w:val="000000" w:themeColor="text1"/>
          <w:highlight w:val="none"/>
          <w:u w:val="none"/>
          <w14:textFill>
            <w14:solidFill>
              <w14:schemeClr w14:val="tx1"/>
            </w14:solidFill>
          </w14:textFill>
        </w:rPr>
        <w:t>：</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（电子签章）</w:t>
      </w:r>
    </w:p>
    <w:p w14:paraId="2A5D5156">
      <w:pPr>
        <w:spacing w:line="300" w:lineRule="auto"/>
        <w:ind w:firstLine="490"/>
        <w:rPr>
          <w:rFonts w:ascii="宋体" w:cs="Times New Roman"/>
          <w:color w:val="000000" w:themeColor="text1"/>
          <w:highlight w:val="none"/>
          <w14:textFill>
            <w14:solidFill>
              <w14:schemeClr w14:val="tx1"/>
            </w14:solidFill>
          </w14:textFill>
        </w:rPr>
      </w:pPr>
    </w:p>
    <w:p w14:paraId="33AF728E">
      <w:pPr>
        <w:spacing w:line="440" w:lineRule="exact"/>
        <w:ind w:firstLine="2420" w:firstLineChars="1100"/>
        <w:rPr>
          <w:rFonts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日</w:t>
      </w:r>
    </w:p>
    <w:p w14:paraId="5C09D596">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334FF9D0">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3DBE43DC">
      <w:pPr>
        <w:adjustRightInd w:val="0"/>
        <w:snapToGrid w:val="0"/>
        <w:spacing w:line="360" w:lineRule="auto"/>
        <w:ind w:left="0" w:leftChars="0" w:firstLine="0" w:firstLineChars="0"/>
        <w:jc w:val="center"/>
        <w:rPr>
          <w:rFonts w:ascii="宋体" w:cs="Times New Roman"/>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lang w:eastAsia="zh-CN"/>
          <w14:textFill>
            <w14:solidFill>
              <w14:schemeClr w14:val="tx1"/>
            </w14:solidFill>
          </w14:textFill>
        </w:rPr>
        <w:t>二、</w:t>
      </w:r>
      <w:r>
        <w:rPr>
          <w:rFonts w:hint="eastAsia" w:ascii="宋体" w:hAnsi="宋体" w:cs="宋体"/>
          <w:b/>
          <w:bCs/>
          <w:color w:val="000000" w:themeColor="text1"/>
          <w:sz w:val="28"/>
          <w:szCs w:val="28"/>
          <w:highlight w:val="none"/>
          <w14:textFill>
            <w14:solidFill>
              <w14:schemeClr w14:val="tx1"/>
            </w14:solidFill>
          </w14:textFill>
        </w:rPr>
        <w:t>法定代表人身份证明</w:t>
      </w:r>
    </w:p>
    <w:p w14:paraId="51CC783E">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p>
    <w:p w14:paraId="764370ED">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 标 人：_________________________________________________________</w:t>
      </w:r>
    </w:p>
    <w:p w14:paraId="46843AE0">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单位性质：_________________________________________________________</w:t>
      </w:r>
    </w:p>
    <w:p w14:paraId="4C3332B2">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    址：_________________________________________________________</w:t>
      </w:r>
    </w:p>
    <w:p w14:paraId="09009B2E">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成立时间：____________年____________月_______________日</w:t>
      </w:r>
    </w:p>
    <w:p w14:paraId="55A2634F">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经营期限：_________________________________________________________</w:t>
      </w:r>
    </w:p>
    <w:p w14:paraId="4397F948">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姓    名：____________________________   性  别：__________________</w:t>
      </w:r>
    </w:p>
    <w:p w14:paraId="788BF242">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年    龄：____________________________   职  务：__________________</w:t>
      </w:r>
    </w:p>
    <w:p w14:paraId="34C91E2B">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系__________________________________________（投标人名称）的法定代表人。</w:t>
      </w:r>
    </w:p>
    <w:p w14:paraId="110F7743">
      <w:pPr>
        <w:spacing w:line="500" w:lineRule="exact"/>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特此证明。</w:t>
      </w:r>
    </w:p>
    <w:p w14:paraId="1E1A9FB0">
      <w:pPr>
        <w:spacing w:line="500" w:lineRule="exact"/>
        <w:jc w:val="left"/>
        <w:rPr>
          <w:rFonts w:hint="eastAsia" w:ascii="宋体" w:hAnsi="宋体" w:eastAsia="宋体" w:cs="宋体"/>
          <w:color w:val="000000" w:themeColor="text1"/>
          <w:highlight w:val="none"/>
          <w14:textFill>
            <w14:solidFill>
              <w14:schemeClr w14:val="tx1"/>
            </w14:solidFill>
          </w14:textFill>
        </w:rPr>
      </w:pPr>
    </w:p>
    <w:p w14:paraId="28C13058">
      <w:pPr>
        <w:spacing w:line="500" w:lineRule="exact"/>
        <w:jc w:val="left"/>
        <w:rPr>
          <w:rFonts w:hint="eastAsia" w:ascii="宋体" w:hAnsi="宋体" w:eastAsia="宋体" w:cs="宋体"/>
          <w:color w:val="000000" w:themeColor="text1"/>
          <w:highlight w:val="none"/>
          <w14:textFill>
            <w14:solidFill>
              <w14:schemeClr w14:val="tx1"/>
            </w14:solidFill>
          </w14:textFill>
        </w:rPr>
      </w:pPr>
    </w:p>
    <w:p w14:paraId="5AF0A058">
      <w:pPr>
        <w:spacing w:line="500" w:lineRule="exact"/>
        <w:ind w:right="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注：附法定代表人身份证扫描件（正反面）。</w:t>
      </w:r>
    </w:p>
    <w:p w14:paraId="218B28DE">
      <w:pPr>
        <w:adjustRightInd w:val="0"/>
        <w:snapToGrid w:val="0"/>
        <w:spacing w:line="360" w:lineRule="auto"/>
        <w:ind w:firstLine="440" w:firstLineChars="200"/>
        <w:rPr>
          <w:rFonts w:hint="eastAsia" w:ascii="宋体" w:hAnsi="宋体" w:eastAsia="宋体" w:cs="宋体"/>
          <w:color w:val="000000" w:themeColor="text1"/>
          <w:highlight w:val="none"/>
          <w14:textFill>
            <w14:solidFill>
              <w14:schemeClr w14:val="tx1"/>
            </w14:solidFill>
          </w14:textFill>
        </w:rPr>
      </w:pPr>
    </w:p>
    <w:p w14:paraId="34D04990">
      <w:pPr>
        <w:adjustRightInd w:val="0"/>
        <w:snapToGrid w:val="0"/>
        <w:spacing w:line="360" w:lineRule="auto"/>
        <w:ind w:firstLine="440" w:firstLineChars="20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p>
    <w:p w14:paraId="30E447B5">
      <w:pPr>
        <w:adjustRightInd w:val="0"/>
        <w:snapToGrid w:val="0"/>
        <w:spacing w:line="360" w:lineRule="auto"/>
        <w:ind w:firstLine="440" w:firstLineChars="200"/>
        <w:jc w:val="righ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投标人：_______________（电子签章）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p>
    <w:p w14:paraId="3E7F4334">
      <w:pPr>
        <w:adjustRightInd w:val="0"/>
        <w:snapToGrid w:val="0"/>
        <w:spacing w:line="360" w:lineRule="auto"/>
        <w:ind w:firstLine="440" w:firstLineChars="200"/>
        <w:jc w:val="right"/>
        <w:rPr>
          <w:rFonts w:hint="eastAsia" w:ascii="宋体" w:hAnsi="宋体" w:eastAsia="宋体" w:cs="宋体"/>
          <w:color w:val="000000" w:themeColor="text1"/>
          <w:highlight w:val="none"/>
          <w:lang w:val="en-US" w:eastAsia="zh-CN"/>
          <w14:textFill>
            <w14:solidFill>
              <w14:schemeClr w14:val="tx1"/>
            </w14:solidFill>
          </w14:textFill>
        </w:rPr>
      </w:pPr>
    </w:p>
    <w:p w14:paraId="6656B5DD">
      <w:pPr>
        <w:adjustRightInd w:val="0"/>
        <w:snapToGrid w:val="0"/>
        <w:spacing w:line="360" w:lineRule="auto"/>
        <w:ind w:firstLine="440" w:firstLineChars="200"/>
        <w:jc w:val="center"/>
        <w:rPr>
          <w:rFonts w:hint="eastAsia" w:eastAsia="黑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______年___月____日</w:t>
      </w:r>
    </w:p>
    <w:p w14:paraId="1A9C8181">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17F216A4">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74B7D7D4">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5D7DCBC8">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62CC3A5D">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462C16A6">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485872CF">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7ABB99AB">
      <w:pPr>
        <w:pStyle w:val="14"/>
        <w:rPr>
          <w:rFonts w:hint="eastAsia"/>
          <w:lang w:eastAsia="zh-CN"/>
        </w:rPr>
      </w:pPr>
    </w:p>
    <w:p w14:paraId="60A41B46">
      <w:pPr>
        <w:adjustRightInd w:val="0"/>
        <w:snapToGrid w:val="0"/>
        <w:spacing w:line="360" w:lineRule="auto"/>
        <w:jc w:val="center"/>
        <w:rPr>
          <w:rFonts w:hint="eastAsia"/>
          <w:color w:val="000000" w:themeColor="text1"/>
          <w:sz w:val="30"/>
          <w:szCs w:val="30"/>
          <w:highlight w:val="none"/>
          <w:lang w:eastAsia="zh-CN"/>
          <w14:textFill>
            <w14:solidFill>
              <w14:schemeClr w14:val="tx1"/>
            </w14:solidFill>
          </w14:textFill>
        </w:rPr>
      </w:pPr>
    </w:p>
    <w:p w14:paraId="129DF434">
      <w:pPr>
        <w:adjustRightInd w:val="0"/>
        <w:snapToGrid w:val="0"/>
        <w:spacing w:line="360" w:lineRule="auto"/>
        <w:ind w:left="0" w:leftChars="0" w:firstLine="0" w:firstLineChars="0"/>
        <w:jc w:val="center"/>
        <w:rPr>
          <w:rFonts w:ascii="宋体" w:cs="Times New Roman"/>
          <w:b/>
          <w:bCs/>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三、</w:t>
      </w:r>
      <w:r>
        <w:rPr>
          <w:rFonts w:hint="eastAsia" w:ascii="宋体" w:hAnsi="宋体" w:cs="宋体"/>
          <w:b/>
          <w:bCs/>
          <w:color w:val="000000" w:themeColor="text1"/>
          <w:sz w:val="28"/>
          <w:szCs w:val="28"/>
          <w:highlight w:val="none"/>
          <w14:textFill>
            <w14:solidFill>
              <w14:schemeClr w14:val="tx1"/>
            </w14:solidFill>
          </w14:textFill>
        </w:rPr>
        <w:t>授权委托书</w:t>
      </w:r>
    </w:p>
    <w:p w14:paraId="22E1CF19">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p>
    <w:p w14:paraId="38464CFF">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本人</w:t>
      </w:r>
      <w:r>
        <w:rPr>
          <w:rFonts w:ascii="宋体" w:hAnsi="宋体" w:cs="宋体"/>
          <w:color w:val="000000" w:themeColor="text1"/>
          <w:highlight w:val="none"/>
          <w14:textFill>
            <w14:solidFill>
              <w14:schemeClr w14:val="tx1"/>
            </w14:solidFill>
          </w14:textFill>
        </w:rPr>
        <w:t>________</w:t>
      </w:r>
      <w:r>
        <w:rPr>
          <w:rFonts w:hint="eastAsia" w:ascii="宋体" w:hAnsi="宋体" w:cs="宋体"/>
          <w:color w:val="000000" w:themeColor="text1"/>
          <w:highlight w:val="none"/>
          <w14:textFill>
            <w14:solidFill>
              <w14:schemeClr w14:val="tx1"/>
            </w14:solidFill>
          </w14:textFill>
        </w:rPr>
        <w:t>（姓名）系</w:t>
      </w:r>
      <w:r>
        <w:rPr>
          <w:rFonts w:ascii="宋体" w:hAnsi="宋体" w:cs="宋体"/>
          <w:color w:val="000000" w:themeColor="text1"/>
          <w:highlight w:val="none"/>
          <w14:textFill>
            <w14:solidFill>
              <w14:schemeClr w14:val="tx1"/>
            </w14:solidFill>
          </w14:textFill>
        </w:rPr>
        <w:t>__________________</w:t>
      </w:r>
      <w:r>
        <w:rPr>
          <w:rFonts w:hint="eastAsia" w:ascii="宋体" w:hAnsi="宋体" w:cs="宋体"/>
          <w:color w:val="000000" w:themeColor="text1"/>
          <w:highlight w:val="none"/>
          <w14:textFill>
            <w14:solidFill>
              <w14:schemeClr w14:val="tx1"/>
            </w14:solidFill>
          </w14:textFill>
        </w:rPr>
        <w:t>（投标人名称）的法定代表人，现委托</w:t>
      </w:r>
      <w:r>
        <w:rPr>
          <w:rFonts w:ascii="宋体" w:hAnsi="宋体" w:cs="宋体"/>
          <w:color w:val="000000" w:themeColor="text1"/>
          <w:highlight w:val="none"/>
          <w14:textFill>
            <w14:solidFill>
              <w14:schemeClr w14:val="tx1"/>
            </w14:solidFill>
          </w14:textFill>
        </w:rPr>
        <w:t>________</w:t>
      </w:r>
      <w:r>
        <w:rPr>
          <w:rFonts w:hint="eastAsia" w:ascii="宋体" w:hAnsi="宋体" w:cs="宋体"/>
          <w:color w:val="000000" w:themeColor="text1"/>
          <w:highlight w:val="none"/>
          <w14:textFill>
            <w14:solidFill>
              <w14:schemeClr w14:val="tx1"/>
            </w14:solidFill>
          </w14:textFill>
        </w:rPr>
        <w:t>（姓名）为我方代理人。代理人根据授权，以我方名义签署、澄清、说明、补正、递交、撤回、修改</w:t>
      </w:r>
      <w:r>
        <w:rPr>
          <w:rFonts w:ascii="宋体" w:hAnsi="宋体" w:cs="宋体"/>
          <w:color w:val="000000" w:themeColor="text1"/>
          <w:highlight w:val="none"/>
          <w14:textFill>
            <w14:solidFill>
              <w14:schemeClr w14:val="tx1"/>
            </w14:solidFill>
          </w14:textFill>
        </w:rPr>
        <w:t>__________________________</w:t>
      </w:r>
      <w:r>
        <w:rPr>
          <w:rFonts w:hint="eastAsia" w:ascii="宋体" w:hAnsi="宋体" w:cs="宋体"/>
          <w:color w:val="000000" w:themeColor="text1"/>
          <w:highlight w:val="none"/>
          <w14:textFill>
            <w14:solidFill>
              <w14:schemeClr w14:val="tx1"/>
            </w14:solidFill>
          </w14:textFill>
        </w:rPr>
        <w:t>（项目名称）的投标文件、签订合同和处理有关事宜，其法律后果由我方承担。</w:t>
      </w:r>
    </w:p>
    <w:p w14:paraId="18BD197E">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委托期限：</w:t>
      </w:r>
      <w:r>
        <w:rPr>
          <w:rFonts w:ascii="宋体" w:hAnsi="宋体" w:cs="宋体"/>
          <w:color w:val="000000" w:themeColor="text1"/>
          <w:highlight w:val="none"/>
          <w14:textFill>
            <w14:solidFill>
              <w14:schemeClr w14:val="tx1"/>
            </w14:solidFill>
          </w14:textFill>
        </w:rPr>
        <w:t>________</w:t>
      </w:r>
      <w:r>
        <w:rPr>
          <w:rFonts w:hint="eastAsia" w:ascii="宋体" w:hAnsi="宋体" w:cs="宋体"/>
          <w:color w:val="000000" w:themeColor="text1"/>
          <w:highlight w:val="none"/>
          <w14:textFill>
            <w14:solidFill>
              <w14:schemeClr w14:val="tx1"/>
            </w14:solidFill>
          </w14:textFill>
        </w:rPr>
        <w:t>。</w:t>
      </w:r>
    </w:p>
    <w:p w14:paraId="5AE3D811">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w:t>
      </w:r>
    </w:p>
    <w:p w14:paraId="0588F172">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p>
    <w:p w14:paraId="0F22FB09">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w:t>
      </w:r>
      <w:r>
        <w:rPr>
          <w:rFonts w:hint="eastAsia" w:cs="宋体"/>
          <w:color w:val="000000" w:themeColor="text1"/>
          <w:highlight w:val="none"/>
          <w14:textFill>
            <w14:solidFill>
              <w14:schemeClr w14:val="tx1"/>
            </w14:solidFill>
          </w14:textFill>
        </w:rPr>
        <w:t>委托代理人身份证扫描件（正反面）</w:t>
      </w:r>
    </w:p>
    <w:p w14:paraId="3990C2FE">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p>
    <w:p w14:paraId="2136307E">
      <w:pPr>
        <w:adjustRightInd w:val="0"/>
        <w:snapToGrid w:val="0"/>
        <w:spacing w:line="360" w:lineRule="auto"/>
        <w:ind w:firstLine="440" w:firstLineChars="200"/>
        <w:rPr>
          <w:rFonts w:ascii="宋体" w:cs="Times New Roman"/>
          <w:color w:val="000000" w:themeColor="text1"/>
          <w:highlight w:val="none"/>
          <w14:textFill>
            <w14:solidFill>
              <w14:schemeClr w14:val="tx1"/>
            </w14:solidFill>
          </w14:textFill>
        </w:rPr>
      </w:pPr>
    </w:p>
    <w:p w14:paraId="20A86727">
      <w:pPr>
        <w:adjustRightInd w:val="0"/>
        <w:snapToGrid w:val="0"/>
        <w:spacing w:line="360" w:lineRule="auto"/>
        <w:ind w:firstLine="440" w:firstLineChars="200"/>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w:t>
      </w:r>
      <w:r>
        <w:rPr>
          <w:rFonts w:ascii="宋体" w:hAnsi="宋体" w:cs="宋体"/>
          <w:color w:val="000000" w:themeColor="text1"/>
          <w:highlight w:val="none"/>
          <w14:textFill>
            <w14:solidFill>
              <w14:schemeClr w14:val="tx1"/>
            </w14:solidFill>
          </w14:textFill>
        </w:rPr>
        <w:t>________________________</w:t>
      </w:r>
      <w:r>
        <w:rPr>
          <w:rFonts w:hint="eastAsia" w:ascii="宋体" w:hAnsi="宋体" w:cs="宋体"/>
          <w:color w:val="000000" w:themeColor="text1"/>
          <w:highlight w:val="none"/>
          <w14:textFill>
            <w14:solidFill>
              <w14:schemeClr w14:val="tx1"/>
            </w14:solidFill>
          </w14:textFill>
        </w:rPr>
        <w:t>（电子签章）</w:t>
      </w:r>
    </w:p>
    <w:p w14:paraId="49106AB2">
      <w:pPr>
        <w:pStyle w:val="14"/>
      </w:pPr>
    </w:p>
    <w:p w14:paraId="5A120453">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r>
        <w:rPr>
          <w:rFonts w:ascii="宋体" w:hAnsi="宋体" w:cs="宋体"/>
          <w:color w:val="000000" w:themeColor="text1"/>
          <w:highlight w:val="none"/>
          <w14:textFill>
            <w14:solidFill>
              <w14:schemeClr w14:val="tx1"/>
            </w14:solidFill>
          </w14:textFill>
        </w:rPr>
        <w:t>________________________</w:t>
      </w:r>
      <w:r>
        <w:rPr>
          <w:rFonts w:hint="eastAsia" w:ascii="宋体" w:hAnsi="宋体" w:cs="宋体"/>
          <w:color w:val="000000" w:themeColor="text1"/>
          <w:highlight w:val="none"/>
          <w14:textFill>
            <w14:solidFill>
              <w14:schemeClr w14:val="tx1"/>
            </w14:solidFill>
          </w14:textFill>
        </w:rPr>
        <w:t>（电子签章）</w:t>
      </w:r>
    </w:p>
    <w:p w14:paraId="6937E706">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p>
    <w:p w14:paraId="01E4E5E7">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身份证号码：</w:t>
      </w:r>
      <w:r>
        <w:rPr>
          <w:rFonts w:ascii="宋体" w:hAnsi="宋体" w:cs="宋体"/>
          <w:color w:val="000000" w:themeColor="text1"/>
          <w:highlight w:val="none"/>
          <w14:textFill>
            <w14:solidFill>
              <w14:schemeClr w14:val="tx1"/>
            </w14:solidFill>
          </w14:textFill>
        </w:rPr>
        <w:t>____________________________________</w:t>
      </w:r>
    </w:p>
    <w:p w14:paraId="35964A0D">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p>
    <w:p w14:paraId="3ED2078D">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委托代理人：</w:t>
      </w:r>
      <w:r>
        <w:rPr>
          <w:rFonts w:ascii="宋体" w:hAnsi="宋体" w:cs="宋体"/>
          <w:color w:val="000000" w:themeColor="text1"/>
          <w:highlight w:val="none"/>
          <w14:textFill>
            <w14:solidFill>
              <w14:schemeClr w14:val="tx1"/>
            </w14:solidFill>
          </w14:textFill>
        </w:rPr>
        <w:t>____________________________________</w:t>
      </w:r>
    </w:p>
    <w:p w14:paraId="4C41F689">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p>
    <w:p w14:paraId="349DCAA8">
      <w:pPr>
        <w:adjustRightInd w:val="0"/>
        <w:snapToGrid w:val="0"/>
        <w:spacing w:line="360" w:lineRule="auto"/>
        <w:ind w:firstLine="440" w:firstLineChars="200"/>
        <w:jc w:val="righ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身份证号码：</w:t>
      </w:r>
      <w:r>
        <w:rPr>
          <w:rFonts w:ascii="宋体" w:hAnsi="宋体" w:cs="宋体"/>
          <w:color w:val="000000" w:themeColor="text1"/>
          <w:highlight w:val="none"/>
          <w14:textFill>
            <w14:solidFill>
              <w14:schemeClr w14:val="tx1"/>
            </w14:solidFill>
          </w14:textFill>
        </w:rPr>
        <w:t>____________________________________</w:t>
      </w:r>
    </w:p>
    <w:p w14:paraId="09E912CE">
      <w:pPr>
        <w:pStyle w:val="5"/>
        <w:ind w:firstLine="147"/>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                                              _________年_______月_______日</w:t>
      </w:r>
    </w:p>
    <w:p w14:paraId="42C660CA">
      <w:pPr>
        <w:pStyle w:val="5"/>
        <w:ind w:firstLine="147"/>
        <w:jc w:val="center"/>
        <w:rPr>
          <w:rFonts w:hint="eastAsia" w:eastAsia="方正书宋简体"/>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p>
    <w:p w14:paraId="78A445FD">
      <w:pPr>
        <w:pStyle w:val="5"/>
        <w:ind w:firstLine="147"/>
        <w:jc w:val="center"/>
        <w:rPr>
          <w:rFonts w:hint="eastAsia"/>
          <w:color w:val="000000" w:themeColor="text1"/>
          <w:sz w:val="30"/>
          <w:szCs w:val="30"/>
          <w:highlight w:val="none"/>
          <w14:textFill>
            <w14:solidFill>
              <w14:schemeClr w14:val="tx1"/>
            </w14:solidFill>
          </w14:textFill>
        </w:rPr>
      </w:pPr>
    </w:p>
    <w:p w14:paraId="1A41415B">
      <w:pPr>
        <w:pStyle w:val="5"/>
        <w:ind w:firstLine="147"/>
        <w:jc w:val="center"/>
        <w:rPr>
          <w:rFonts w:hint="eastAsia"/>
          <w:color w:val="000000" w:themeColor="text1"/>
          <w:sz w:val="30"/>
          <w:szCs w:val="30"/>
          <w:highlight w:val="none"/>
          <w14:textFill>
            <w14:solidFill>
              <w14:schemeClr w14:val="tx1"/>
            </w14:solidFill>
          </w14:textFill>
        </w:rPr>
      </w:pPr>
    </w:p>
    <w:p w14:paraId="70D83133">
      <w:pPr>
        <w:rPr>
          <w:rFonts w:hint="eastAsia"/>
        </w:rPr>
      </w:pPr>
    </w:p>
    <w:p w14:paraId="243166C6">
      <w:pPr>
        <w:rPr>
          <w:rFonts w:hint="eastAsia"/>
          <w:color w:val="000000" w:themeColor="text1"/>
          <w:sz w:val="30"/>
          <w:szCs w:val="30"/>
          <w:highlight w:val="none"/>
          <w14:textFill>
            <w14:solidFill>
              <w14:schemeClr w14:val="tx1"/>
            </w14:solidFill>
          </w14:textFill>
        </w:rPr>
      </w:pPr>
    </w:p>
    <w:p w14:paraId="61ECD5D5">
      <w:pPr>
        <w:pStyle w:val="14"/>
        <w:rPr>
          <w:rFonts w:hint="eastAsia"/>
          <w:color w:val="000000" w:themeColor="text1"/>
          <w:sz w:val="30"/>
          <w:szCs w:val="30"/>
          <w:highlight w:val="none"/>
          <w14:textFill>
            <w14:solidFill>
              <w14:schemeClr w14:val="tx1"/>
            </w14:solidFill>
          </w14:textFill>
        </w:rPr>
      </w:pPr>
    </w:p>
    <w:p w14:paraId="40587E97">
      <w:pPr>
        <w:rPr>
          <w:rFonts w:hint="eastAsia"/>
          <w:color w:val="000000" w:themeColor="text1"/>
          <w:sz w:val="30"/>
          <w:szCs w:val="30"/>
          <w:highlight w:val="none"/>
          <w14:textFill>
            <w14:solidFill>
              <w14:schemeClr w14:val="tx1"/>
            </w14:solidFill>
          </w14:textFill>
        </w:rPr>
      </w:pPr>
    </w:p>
    <w:p w14:paraId="087A98AF">
      <w:pPr>
        <w:pStyle w:val="63"/>
        <w:rPr>
          <w:rFonts w:hint="eastAsia"/>
        </w:rPr>
      </w:pPr>
    </w:p>
    <w:p w14:paraId="23F09ABE">
      <w:pPr>
        <w:rPr>
          <w:rFonts w:hint="eastAsia"/>
        </w:rPr>
      </w:pPr>
    </w:p>
    <w:p w14:paraId="5DE38F75">
      <w:pPr>
        <w:adjustRightInd w:val="0"/>
        <w:snapToGrid w:val="0"/>
        <w:spacing w:line="360" w:lineRule="auto"/>
        <w:ind w:left="0" w:leftChars="0" w:firstLine="0" w:firstLineChars="0"/>
        <w:jc w:val="center"/>
        <w:rPr>
          <w:rFonts w:ascii="宋体" w:cs="Times New Roman"/>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四、</w:t>
      </w:r>
      <w:r>
        <w:rPr>
          <w:rFonts w:ascii="宋体" w:hAnsi="宋体" w:cs="宋体"/>
          <w:b/>
          <w:bCs/>
          <w:color w:val="000000" w:themeColor="text1"/>
          <w:sz w:val="28"/>
          <w:szCs w:val="28"/>
          <w:highlight w:val="none"/>
          <w14:textFill>
            <w14:solidFill>
              <w14:schemeClr w14:val="tx1"/>
            </w14:solidFill>
          </w14:textFill>
        </w:rPr>
        <w:fldChar w:fldCharType="begin"/>
      </w:r>
      <w:r>
        <w:rPr>
          <w:rFonts w:ascii="宋体" w:hAnsi="宋体" w:cs="宋体"/>
          <w:b/>
          <w:bCs/>
          <w:color w:val="000000" w:themeColor="text1"/>
          <w:sz w:val="28"/>
          <w:szCs w:val="28"/>
          <w:highlight w:val="none"/>
          <w14:textFill>
            <w14:solidFill>
              <w14:schemeClr w14:val="tx1"/>
            </w14:solidFill>
          </w14:textFill>
        </w:rPr>
        <w:instrText xml:space="preserve"> AUTOTEXT  </w:instrText>
      </w:r>
      <w:r>
        <w:rPr>
          <w:rFonts w:hint="eastAsia" w:ascii="宋体" w:hAnsi="宋体" w:cs="宋体"/>
          <w:b/>
          <w:bCs/>
          <w:color w:val="000000" w:themeColor="text1"/>
          <w:sz w:val="28"/>
          <w:szCs w:val="28"/>
          <w:highlight w:val="none"/>
          <w14:textFill>
            <w14:solidFill>
              <w14:schemeClr w14:val="tx1"/>
            </w14:solidFill>
          </w14:textFill>
        </w:rPr>
        <w:instrText xml:space="preserve">其他要求</w:instrText>
      </w:r>
      <w:r>
        <w:rPr>
          <w:rFonts w:ascii="宋体" w:hAnsi="宋体" w:cs="宋体"/>
          <w:b/>
          <w:bCs/>
          <w:color w:val="000000" w:themeColor="text1"/>
          <w:sz w:val="28"/>
          <w:szCs w:val="28"/>
          <w:highlight w:val="none"/>
          <w14:textFill>
            <w14:solidFill>
              <w14:schemeClr w14:val="tx1"/>
            </w14:solidFill>
          </w14:textFill>
        </w:rPr>
        <w:instrText xml:space="preserve"> \* MERGEFORMAT </w:instrText>
      </w:r>
      <w:r>
        <w:rPr>
          <w:rFonts w:ascii="宋体" w:hAnsi="宋体" w:cs="宋体"/>
          <w:b/>
          <w:bCs/>
          <w:color w:val="000000" w:themeColor="text1"/>
          <w:sz w:val="28"/>
          <w:szCs w:val="28"/>
          <w:highlight w:val="none"/>
          <w14:textFill>
            <w14:solidFill>
              <w14:schemeClr w14:val="tx1"/>
            </w14:solidFill>
          </w14:textFill>
        </w:rPr>
        <w:fldChar w:fldCharType="separate"/>
      </w:r>
      <w:r>
        <w:rPr>
          <w:rFonts w:ascii="宋体" w:hAnsi="宋体" w:cs="宋体"/>
          <w:b/>
          <w:bCs/>
          <w:color w:val="000000" w:themeColor="text1"/>
          <w:sz w:val="28"/>
          <w:szCs w:val="28"/>
          <w:highlight w:val="none"/>
          <w14:textFill>
            <w14:solidFill>
              <w14:schemeClr w14:val="tx1"/>
            </w14:solidFill>
          </w14:textFill>
        </w:rPr>
        <w:fldChar w:fldCharType="end"/>
      </w:r>
      <w:r>
        <w:rPr>
          <w:rFonts w:hint="eastAsia" w:ascii="宋体" w:hAnsi="宋体" w:cs="宋体"/>
          <w:b/>
          <w:bCs/>
          <w:color w:val="000000" w:themeColor="text1"/>
          <w:sz w:val="28"/>
          <w:szCs w:val="28"/>
          <w:highlight w:val="none"/>
          <w14:textFill>
            <w14:solidFill>
              <w14:schemeClr w14:val="tx1"/>
            </w14:solidFill>
          </w14:textFill>
        </w:rPr>
        <w:t>投标保证金缴纳凭证</w:t>
      </w:r>
    </w:p>
    <w:p w14:paraId="3091C463">
      <w:pPr>
        <w:adjustRightInd w:val="0"/>
        <w:snapToGrid w:val="0"/>
        <w:spacing w:line="360" w:lineRule="auto"/>
        <w:rPr>
          <w:rStyle w:val="373"/>
          <w:rFonts w:ascii="宋体" w:hAnsi="Times New Roman" w:cs="Times New Roman"/>
          <w:color w:val="000000" w:themeColor="text1"/>
          <w:sz w:val="28"/>
          <w:szCs w:val="28"/>
          <w:highlight w:val="none"/>
          <w14:textFill>
            <w14:solidFill>
              <w14:schemeClr w14:val="tx1"/>
            </w14:solidFill>
          </w14:textFill>
        </w:rPr>
      </w:pPr>
    </w:p>
    <w:p w14:paraId="71DDFC1F">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u w:val="single"/>
          <w14:textFill>
            <w14:solidFill>
              <w14:schemeClr w14:val="tx1"/>
            </w14:solidFill>
          </w14:textFill>
        </w:rPr>
        <w:t>（招标人名称）</w:t>
      </w:r>
      <w:r>
        <w:rPr>
          <w:rStyle w:val="373"/>
          <w:rFonts w:hint="eastAsia" w:ascii="宋体" w:hAnsi="宋体" w:cs="宋体"/>
          <w:color w:val="000000" w:themeColor="text1"/>
          <w:highlight w:val="none"/>
          <w14:textFill>
            <w14:solidFill>
              <w14:schemeClr w14:val="tx1"/>
            </w14:solidFill>
          </w14:textFill>
        </w:rPr>
        <w:t>：</w:t>
      </w:r>
    </w:p>
    <w:p w14:paraId="7B84BDED">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本投标人自愿参加</w:t>
      </w:r>
      <w:r>
        <w:rPr>
          <w:rStyle w:val="373"/>
          <w:rFonts w:ascii="宋体" w:hAnsi="宋体" w:cs="宋体"/>
          <w:color w:val="000000" w:themeColor="text1"/>
          <w:highlight w:val="none"/>
          <w14:textFill>
            <w14:solidFill>
              <w14:schemeClr w14:val="tx1"/>
            </w14:solidFill>
          </w14:textFill>
        </w:rPr>
        <w:t xml:space="preserve"> </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u w:val="single"/>
          <w14:textFill>
            <w14:solidFill>
              <w14:schemeClr w14:val="tx1"/>
            </w14:solidFill>
          </w14:textFill>
        </w:rPr>
        <w:t>（项目名称）</w:t>
      </w:r>
      <w:r>
        <w:rPr>
          <w:rStyle w:val="373"/>
          <w:rFonts w:hint="eastAsia" w:ascii="宋体" w:hAnsi="宋体" w:cs="宋体"/>
          <w:color w:val="000000" w:themeColor="text1"/>
          <w:highlight w:val="none"/>
          <w14:textFill>
            <w14:solidFill>
              <w14:schemeClr w14:val="tx1"/>
            </w14:solidFill>
          </w14:textFill>
        </w:rPr>
        <w:t>的投标，并按招标文件要求缴纳投标保证金，金额为￥</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（大写：</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w:t>
      </w:r>
    </w:p>
    <w:p w14:paraId="61ABE8EA">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本投标人承诺所缴纳投标保证金是从本公司基本账户缴纳的，若有虚假，由此引起的一切责任均由我公司承担。</w:t>
      </w:r>
    </w:p>
    <w:p w14:paraId="6B9CB477">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附件：</w:t>
      </w:r>
    </w:p>
    <w:p w14:paraId="638A93B4">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ascii="宋体" w:hAnsi="宋体" w:cs="宋体"/>
          <w:color w:val="000000" w:themeColor="text1"/>
          <w:highlight w:val="none"/>
          <w14:textFill>
            <w14:solidFill>
              <w14:schemeClr w14:val="tx1"/>
            </w14:solidFill>
          </w14:textFill>
        </w:rPr>
        <w:t>(1)</w:t>
      </w:r>
      <w:r>
        <w:rPr>
          <w:rStyle w:val="373"/>
          <w:rFonts w:hint="eastAsia" w:ascii="宋体" w:hAnsi="宋体" w:cs="宋体"/>
          <w:color w:val="000000" w:themeColor="text1"/>
          <w:highlight w:val="none"/>
          <w14:textFill>
            <w14:solidFill>
              <w14:schemeClr w14:val="tx1"/>
            </w14:solidFill>
          </w14:textFill>
        </w:rPr>
        <w:t>人民银行颁发的基本存款账户开户许可证原件扫描件；</w:t>
      </w:r>
    </w:p>
    <w:p w14:paraId="76FF1008">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ascii="宋体" w:hAnsi="宋体" w:cs="宋体"/>
          <w:color w:val="000000" w:themeColor="text1"/>
          <w:highlight w:val="none"/>
          <w14:textFill>
            <w14:solidFill>
              <w14:schemeClr w14:val="tx1"/>
            </w14:solidFill>
          </w14:textFill>
        </w:rPr>
        <w:t>(2)</w:t>
      </w:r>
      <w:r>
        <w:rPr>
          <w:rStyle w:val="373"/>
          <w:rFonts w:hint="eastAsia" w:ascii="宋体" w:hAnsi="宋体" w:cs="宋体"/>
          <w:color w:val="000000" w:themeColor="text1"/>
          <w:highlight w:val="none"/>
          <w14:textFill>
            <w14:solidFill>
              <w14:schemeClr w14:val="tx1"/>
            </w14:solidFill>
          </w14:textFill>
        </w:rPr>
        <w:t>采用现金缴纳（转账或电汇）投标保证金的，投标文件中须扫描上传基本账户开户许可证原件和投标人在</w:t>
      </w:r>
      <w:r>
        <w:rPr>
          <w:rStyle w:val="373"/>
          <w:rFonts w:hint="eastAsia" w:ascii="宋体" w:hAnsi="宋体" w:cs="宋体"/>
          <w:color w:val="000000" w:themeColor="text1"/>
          <w:highlight w:val="none"/>
          <w:lang w:eastAsia="zh-CN"/>
          <w14:textFill>
            <w14:solidFill>
              <w14:schemeClr w14:val="tx1"/>
            </w14:solidFill>
          </w14:textFill>
        </w:rPr>
        <w:t>交易电子平台</w:t>
      </w:r>
      <w:r>
        <w:rPr>
          <w:rStyle w:val="373"/>
          <w:rFonts w:hint="eastAsia" w:ascii="宋体" w:hAnsi="宋体" w:cs="宋体"/>
          <w:color w:val="000000" w:themeColor="text1"/>
          <w:highlight w:val="none"/>
          <w14:textFill>
            <w14:solidFill>
              <w14:schemeClr w14:val="tx1"/>
            </w14:solidFill>
          </w14:textFill>
        </w:rPr>
        <w:t>中打印的保证金缴纳回执原件；采用保证保险方式缴纳投标保证金的，投标文件中扫描上传保证保险缴纳回执原件、投标保证保险保函原件和保险单（正本）原件。</w:t>
      </w:r>
    </w:p>
    <w:p w14:paraId="29ACE9A5">
      <w:pPr>
        <w:adjustRightInd w:val="0"/>
        <w:snapToGrid w:val="0"/>
        <w:spacing w:line="36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ascii="宋体" w:hAnsi="宋体" w:cs="宋体"/>
          <w:color w:val="000000" w:themeColor="text1"/>
          <w:highlight w:val="none"/>
          <w14:textFill>
            <w14:solidFill>
              <w14:schemeClr w14:val="tx1"/>
            </w14:solidFill>
          </w14:textFill>
        </w:rPr>
        <w:t xml:space="preserve"> </w:t>
      </w:r>
    </w:p>
    <w:p w14:paraId="64214B19">
      <w:pPr>
        <w:adjustRightInd w:val="0"/>
        <w:snapToGrid w:val="0"/>
        <w:spacing w:line="480" w:lineRule="auto"/>
        <w:ind w:firstLine="3960" w:firstLineChars="1800"/>
        <w:rPr>
          <w:rStyle w:val="373"/>
          <w:rFonts w:hint="eastAsia" w:ascii="宋体" w:hAnsi="宋体" w:cs="宋体"/>
          <w:color w:val="000000" w:themeColor="text1"/>
          <w:highlight w:val="none"/>
          <w14:textFill>
            <w14:solidFill>
              <w14:schemeClr w14:val="tx1"/>
            </w14:solidFill>
          </w14:textFill>
        </w:rPr>
      </w:pPr>
    </w:p>
    <w:p w14:paraId="2F8E1681">
      <w:pPr>
        <w:adjustRightInd w:val="0"/>
        <w:snapToGrid w:val="0"/>
        <w:spacing w:line="480" w:lineRule="auto"/>
        <w:ind w:firstLine="3960" w:firstLineChars="1800"/>
        <w:rPr>
          <w:rStyle w:val="373"/>
          <w:rFonts w:hint="eastAsia" w:ascii="宋体" w:hAnsi="宋体" w:cs="宋体"/>
          <w:color w:val="000000" w:themeColor="text1"/>
          <w:highlight w:val="none"/>
          <w14:textFill>
            <w14:solidFill>
              <w14:schemeClr w14:val="tx1"/>
            </w14:solidFill>
          </w14:textFill>
        </w:rPr>
      </w:pPr>
    </w:p>
    <w:p w14:paraId="791728D0">
      <w:pPr>
        <w:adjustRightInd w:val="0"/>
        <w:snapToGrid w:val="0"/>
        <w:spacing w:line="480" w:lineRule="auto"/>
        <w:ind w:firstLine="5196" w:firstLineChars="2362"/>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投标人：</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u w:val="single"/>
          <w:lang w:val="en-US" w:eastAsia="zh-CN"/>
          <w14:textFill>
            <w14:solidFill>
              <w14:schemeClr w14:val="tx1"/>
            </w14:solidFill>
          </w14:textFill>
        </w:rPr>
        <w:t xml:space="preserve">    </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（电子签章）</w:t>
      </w:r>
      <w:r>
        <w:rPr>
          <w:rStyle w:val="373"/>
          <w:rFonts w:ascii="宋体" w:hAnsi="宋体" w:cs="宋体"/>
          <w:color w:val="000000" w:themeColor="text1"/>
          <w:highlight w:val="none"/>
          <w14:textFill>
            <w14:solidFill>
              <w14:schemeClr w14:val="tx1"/>
            </w14:solidFill>
          </w14:textFill>
        </w:rPr>
        <w:t xml:space="preserve">        </w:t>
      </w:r>
    </w:p>
    <w:p w14:paraId="71D9250F">
      <w:pPr>
        <w:spacing w:line="480" w:lineRule="exact"/>
        <w:ind w:firstLine="3300" w:firstLineChars="1500"/>
        <w:jc w:val="lef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r>
        <w:rPr>
          <w:rFonts w:hint="eastAsia" w:cs="宋体"/>
          <w:color w:val="000000" w:themeColor="text1"/>
          <w:highlight w:val="none"/>
          <w14:textFill>
            <w14:solidFill>
              <w14:schemeClr w14:val="tx1"/>
            </w14:solidFill>
          </w14:textFill>
        </w:rPr>
        <w:t>或其委托代理人</w:t>
      </w: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____</w:t>
      </w:r>
      <w:r>
        <w:rPr>
          <w:rFonts w:hint="eastAsia" w:ascii="宋体" w:hAnsi="宋体" w:cs="宋体"/>
          <w:color w:val="000000" w:themeColor="text1"/>
          <w:highlight w:val="none"/>
          <w:lang w:val="en-US" w:eastAsia="zh-CN"/>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_____</w:t>
      </w:r>
      <w:r>
        <w:rPr>
          <w:rFonts w:hint="eastAsia" w:ascii="宋体" w:hAnsi="宋体" w:cs="宋体"/>
          <w:color w:val="000000" w:themeColor="text1"/>
          <w:highlight w:val="none"/>
          <w14:textFill>
            <w14:solidFill>
              <w14:schemeClr w14:val="tx1"/>
            </w14:solidFill>
          </w14:textFill>
        </w:rPr>
        <w:t>（电子签章）</w:t>
      </w:r>
    </w:p>
    <w:p w14:paraId="7E3E08A9">
      <w:pPr>
        <w:adjustRightInd w:val="0"/>
        <w:snapToGrid w:val="0"/>
        <w:spacing w:line="480" w:lineRule="auto"/>
        <w:ind w:firstLine="5060" w:firstLineChars="23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lang w:val="en-US" w:eastAsia="zh-CN"/>
          <w14:textFill>
            <w14:solidFill>
              <w14:schemeClr w14:val="tx1"/>
            </w14:solidFill>
          </w14:textFill>
        </w:rPr>
        <w:t xml:space="preserve"> </w:t>
      </w:r>
      <w:r>
        <w:rPr>
          <w:rStyle w:val="373"/>
          <w:rFonts w:ascii="宋体" w:hAnsi="宋体" w:cs="宋体"/>
          <w:color w:val="000000" w:themeColor="text1"/>
          <w:highlight w:val="none"/>
          <w14:textFill>
            <w14:solidFill>
              <w14:schemeClr w14:val="tx1"/>
            </w14:solidFill>
          </w14:textFill>
        </w:rPr>
        <w:t xml:space="preserve">             </w:t>
      </w:r>
    </w:p>
    <w:p w14:paraId="4D8E53D0">
      <w:pPr>
        <w:adjustRightInd w:val="0"/>
        <w:snapToGrid w:val="0"/>
        <w:spacing w:line="480" w:lineRule="auto"/>
        <w:ind w:firstLine="440" w:firstLineChars="200"/>
        <w:rPr>
          <w:rStyle w:val="373"/>
          <w:rFonts w:ascii="宋体" w:hAnsi="Times New Roman" w:cs="Times New Roman"/>
          <w:color w:val="000000" w:themeColor="text1"/>
          <w:highlight w:val="none"/>
          <w14:textFill>
            <w14:solidFill>
              <w14:schemeClr w14:val="tx1"/>
            </w14:solidFill>
          </w14:textFill>
        </w:rPr>
      </w:pPr>
      <w:r>
        <w:rPr>
          <w:rStyle w:val="373"/>
          <w:rFonts w:ascii="宋体" w:hAnsi="宋体" w:cs="宋体"/>
          <w:color w:val="000000" w:themeColor="text1"/>
          <w:highlight w:val="none"/>
          <w14:textFill>
            <w14:solidFill>
              <w14:schemeClr w14:val="tx1"/>
            </w14:solidFill>
          </w14:textFill>
        </w:rPr>
        <w:t xml:space="preserve">      </w:t>
      </w:r>
      <w:r>
        <w:rPr>
          <w:rStyle w:val="373"/>
          <w:rFonts w:hint="eastAsia" w:ascii="宋体" w:hAnsi="宋体" w:cs="宋体"/>
          <w:color w:val="000000" w:themeColor="text1"/>
          <w:highlight w:val="none"/>
          <w:lang w:val="en-US" w:eastAsia="zh-CN"/>
          <w14:textFill>
            <w14:solidFill>
              <w14:schemeClr w14:val="tx1"/>
            </w14:solidFill>
          </w14:textFill>
        </w:rPr>
        <w:t xml:space="preserve">                                   </w:t>
      </w:r>
      <w:r>
        <w:rPr>
          <w:rStyle w:val="373"/>
          <w:rFonts w:hint="eastAsia" w:ascii="宋体" w:hAnsi="宋体" w:cs="宋体"/>
          <w:color w:val="000000" w:themeColor="text1"/>
          <w:highlight w:val="none"/>
          <w:u w:val="single"/>
          <w:lang w:val="en-US" w:eastAsia="zh-CN"/>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年</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月</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日</w:t>
      </w:r>
    </w:p>
    <w:p w14:paraId="34F05177">
      <w:pPr>
        <w:keepNext/>
        <w:keepLines/>
        <w:widowControl w:val="0"/>
        <w:spacing w:before="260" w:after="260" w:line="416" w:lineRule="auto"/>
        <w:ind w:firstLine="643" w:firstLineChars="200"/>
        <w:jc w:val="both"/>
        <w:rPr>
          <w:rFonts w:hint="eastAsia" w:ascii="宋体" w:hAnsi="宋体" w:cs="宋体"/>
          <w:b/>
          <w:bCs/>
          <w:color w:val="auto"/>
          <w:kern w:val="2"/>
          <w:sz w:val="32"/>
          <w:szCs w:val="32"/>
          <w:highlight w:val="none"/>
        </w:rPr>
      </w:pPr>
    </w:p>
    <w:p w14:paraId="5A5BE092">
      <w:pPr>
        <w:pStyle w:val="14"/>
        <w:rPr>
          <w:rFonts w:hint="eastAsia" w:ascii="宋体" w:hAnsi="宋体" w:cs="宋体"/>
          <w:b/>
          <w:bCs/>
          <w:color w:val="auto"/>
          <w:kern w:val="2"/>
          <w:sz w:val="32"/>
          <w:szCs w:val="32"/>
          <w:highlight w:val="none"/>
        </w:rPr>
      </w:pPr>
    </w:p>
    <w:p w14:paraId="2C8B038F">
      <w:pPr>
        <w:rPr>
          <w:rFonts w:hint="eastAsia" w:ascii="宋体" w:hAnsi="宋体" w:cs="宋体"/>
          <w:b/>
          <w:bCs/>
          <w:color w:val="auto"/>
          <w:kern w:val="2"/>
          <w:sz w:val="32"/>
          <w:szCs w:val="32"/>
          <w:highlight w:val="none"/>
        </w:rPr>
      </w:pPr>
    </w:p>
    <w:p w14:paraId="1177B89E">
      <w:pPr>
        <w:pStyle w:val="14"/>
        <w:rPr>
          <w:rFonts w:hint="eastAsia" w:ascii="宋体" w:hAnsi="宋体" w:cs="宋体"/>
          <w:b/>
          <w:bCs/>
          <w:color w:val="auto"/>
          <w:kern w:val="2"/>
          <w:sz w:val="32"/>
          <w:szCs w:val="32"/>
          <w:highlight w:val="none"/>
        </w:rPr>
      </w:pPr>
    </w:p>
    <w:p w14:paraId="79849366">
      <w:pPr>
        <w:rPr>
          <w:rFonts w:hint="eastAsia" w:ascii="宋体" w:hAnsi="宋体" w:cs="宋体"/>
          <w:b/>
          <w:bCs/>
          <w:color w:val="auto"/>
          <w:kern w:val="2"/>
          <w:sz w:val="32"/>
          <w:szCs w:val="32"/>
          <w:highlight w:val="none"/>
        </w:rPr>
      </w:pPr>
    </w:p>
    <w:p w14:paraId="1467D7D8">
      <w:pPr>
        <w:pStyle w:val="14"/>
        <w:rPr>
          <w:rFonts w:hint="eastAsia" w:ascii="宋体" w:hAnsi="宋体" w:cs="宋体"/>
          <w:b/>
          <w:bCs/>
          <w:color w:val="auto"/>
          <w:kern w:val="2"/>
          <w:sz w:val="32"/>
          <w:szCs w:val="32"/>
          <w:highlight w:val="none"/>
        </w:rPr>
      </w:pPr>
    </w:p>
    <w:p w14:paraId="4C1F114F">
      <w:pPr>
        <w:jc w:val="center"/>
        <w:rPr>
          <w:rFonts w:hint="eastAsia"/>
          <w:b/>
          <w:bCs/>
          <w:color w:val="000000" w:themeColor="text1"/>
          <w:sz w:val="28"/>
          <w:szCs w:val="28"/>
          <w:highlight w:val="none"/>
          <w14:textFill>
            <w14:solidFill>
              <w14:schemeClr w14:val="tx1"/>
            </w14:solidFill>
          </w14:textFill>
        </w:rPr>
      </w:pPr>
    </w:p>
    <w:p w14:paraId="1632A563">
      <w:pPr>
        <w:jc w:val="center"/>
        <w:rPr>
          <w:rFonts w:hint="eastAsia"/>
          <w:b/>
          <w:bCs/>
          <w:color w:val="000000" w:themeColor="text1"/>
          <w:sz w:val="28"/>
          <w:szCs w:val="28"/>
          <w:highlight w:val="none"/>
          <w14:textFill>
            <w14:solidFill>
              <w14:schemeClr w14:val="tx1"/>
            </w14:solidFill>
          </w14:textFill>
        </w:rPr>
      </w:pPr>
    </w:p>
    <w:p w14:paraId="7033DBFC">
      <w:pPr>
        <w:jc w:val="center"/>
        <w:rPr>
          <w:rFonts w:hint="eastAsia"/>
          <w:b/>
          <w:bCs/>
          <w:color w:val="000000" w:themeColor="text1"/>
          <w:sz w:val="28"/>
          <w:szCs w:val="28"/>
          <w:highlight w:val="none"/>
          <w14:textFill>
            <w14:solidFill>
              <w14:schemeClr w14:val="tx1"/>
            </w14:solidFill>
          </w14:textFill>
        </w:rPr>
      </w:pPr>
    </w:p>
    <w:p w14:paraId="3339CA6F">
      <w:pPr>
        <w:jc w:val="center"/>
        <w:rPr>
          <w:rFonts w:hint="eastAsia"/>
          <w:b/>
          <w:bCs/>
          <w:color w:val="000000" w:themeColor="text1"/>
          <w:sz w:val="28"/>
          <w:szCs w:val="28"/>
          <w:highlight w:val="none"/>
          <w14:textFill>
            <w14:solidFill>
              <w14:schemeClr w14:val="tx1"/>
            </w14:solidFill>
          </w14:textFill>
        </w:rPr>
      </w:pPr>
    </w:p>
    <w:p w14:paraId="6D1CAF36">
      <w:pPr>
        <w:jc w:val="center"/>
        <w:rPr>
          <w:rFonts w:hint="eastAsia"/>
          <w:b/>
          <w:bCs/>
          <w:color w:val="000000" w:themeColor="text1"/>
          <w:sz w:val="28"/>
          <w:szCs w:val="28"/>
          <w:highlight w:val="none"/>
          <w14:textFill>
            <w14:solidFill>
              <w14:schemeClr w14:val="tx1"/>
            </w14:solidFill>
          </w14:textFill>
        </w:rPr>
      </w:pPr>
    </w:p>
    <w:p w14:paraId="5ECFE651">
      <w:pPr>
        <w:jc w:val="center"/>
        <w:rPr>
          <w:rFonts w:hint="eastAsia"/>
          <w:b/>
          <w:bCs/>
          <w:color w:val="000000" w:themeColor="text1"/>
          <w:sz w:val="28"/>
          <w:szCs w:val="28"/>
          <w:highlight w:val="none"/>
          <w14:textFill>
            <w14:solidFill>
              <w14:schemeClr w14:val="tx1"/>
            </w14:solidFill>
          </w14:textFill>
        </w:rPr>
      </w:pPr>
    </w:p>
    <w:p w14:paraId="1BC58513">
      <w:pPr>
        <w:jc w:val="center"/>
        <w:rPr>
          <w:rFonts w:hint="eastAsia"/>
          <w:b/>
          <w:bCs/>
          <w:color w:val="000000" w:themeColor="text1"/>
          <w:sz w:val="28"/>
          <w:szCs w:val="28"/>
          <w:highlight w:val="none"/>
          <w14:textFill>
            <w14:solidFill>
              <w14:schemeClr w14:val="tx1"/>
            </w14:solidFill>
          </w14:textFill>
        </w:rPr>
      </w:pPr>
    </w:p>
    <w:p w14:paraId="0EEF69CA">
      <w:pPr>
        <w:jc w:val="center"/>
        <w:rPr>
          <w:rFonts w:hint="eastAsia"/>
          <w:b/>
          <w:bCs/>
          <w:color w:val="000000" w:themeColor="text1"/>
          <w:sz w:val="28"/>
          <w:szCs w:val="28"/>
          <w:highlight w:val="none"/>
          <w14:textFill>
            <w14:solidFill>
              <w14:schemeClr w14:val="tx1"/>
            </w14:solidFill>
          </w14:textFill>
        </w:rPr>
      </w:pPr>
    </w:p>
    <w:p w14:paraId="6230411F">
      <w:pPr>
        <w:pStyle w:val="63"/>
        <w:rPr>
          <w:rFonts w:hint="eastAsia"/>
          <w:b/>
          <w:bCs/>
          <w:color w:val="000000" w:themeColor="text1"/>
          <w:sz w:val="28"/>
          <w:szCs w:val="28"/>
          <w:highlight w:val="none"/>
          <w14:textFill>
            <w14:solidFill>
              <w14:schemeClr w14:val="tx1"/>
            </w14:solidFill>
          </w14:textFill>
        </w:rPr>
      </w:pPr>
    </w:p>
    <w:p w14:paraId="38AE5DD8">
      <w:pPr>
        <w:pStyle w:val="63"/>
        <w:rPr>
          <w:rFonts w:hint="eastAsia"/>
          <w:b/>
          <w:bCs/>
          <w:color w:val="000000" w:themeColor="text1"/>
          <w:sz w:val="28"/>
          <w:szCs w:val="28"/>
          <w:highlight w:val="none"/>
          <w14:textFill>
            <w14:solidFill>
              <w14:schemeClr w14:val="tx1"/>
            </w14:solidFill>
          </w14:textFill>
        </w:rPr>
      </w:pPr>
    </w:p>
    <w:p w14:paraId="19551ACE">
      <w:pPr>
        <w:pStyle w:val="63"/>
        <w:rPr>
          <w:rFonts w:hint="eastAsia"/>
          <w:b/>
          <w:bCs/>
          <w:color w:val="000000" w:themeColor="text1"/>
          <w:sz w:val="28"/>
          <w:szCs w:val="28"/>
          <w:highlight w:val="none"/>
          <w14:textFill>
            <w14:solidFill>
              <w14:schemeClr w14:val="tx1"/>
            </w14:solidFill>
          </w14:textFill>
        </w:rPr>
      </w:pPr>
    </w:p>
    <w:p w14:paraId="7824FCB7">
      <w:pPr>
        <w:pStyle w:val="63"/>
        <w:rPr>
          <w:rFonts w:hint="eastAsia"/>
          <w:b/>
          <w:bCs/>
          <w:color w:val="000000" w:themeColor="text1"/>
          <w:sz w:val="28"/>
          <w:szCs w:val="28"/>
          <w:highlight w:val="none"/>
          <w14:textFill>
            <w14:solidFill>
              <w14:schemeClr w14:val="tx1"/>
            </w14:solidFill>
          </w14:textFill>
        </w:rPr>
      </w:pPr>
    </w:p>
    <w:p w14:paraId="3B750D0E">
      <w:pPr>
        <w:pStyle w:val="63"/>
        <w:rPr>
          <w:rFonts w:hint="eastAsia"/>
          <w:b/>
          <w:bCs/>
          <w:color w:val="000000" w:themeColor="text1"/>
          <w:sz w:val="28"/>
          <w:szCs w:val="28"/>
          <w:highlight w:val="none"/>
          <w14:textFill>
            <w14:solidFill>
              <w14:schemeClr w14:val="tx1"/>
            </w14:solidFill>
          </w14:textFill>
        </w:rPr>
      </w:pPr>
    </w:p>
    <w:p w14:paraId="468636F7">
      <w:pPr>
        <w:pStyle w:val="63"/>
        <w:rPr>
          <w:rFonts w:hint="eastAsia"/>
          <w:b/>
          <w:bCs/>
          <w:color w:val="000000" w:themeColor="text1"/>
          <w:sz w:val="28"/>
          <w:szCs w:val="28"/>
          <w:highlight w:val="none"/>
          <w14:textFill>
            <w14:solidFill>
              <w14:schemeClr w14:val="tx1"/>
            </w14:solidFill>
          </w14:textFill>
        </w:rPr>
      </w:pPr>
    </w:p>
    <w:p w14:paraId="0BC67CCD">
      <w:pPr>
        <w:pStyle w:val="63"/>
        <w:rPr>
          <w:rFonts w:hint="eastAsia"/>
          <w:b/>
          <w:bCs/>
          <w:color w:val="000000" w:themeColor="text1"/>
          <w:sz w:val="28"/>
          <w:szCs w:val="28"/>
          <w:highlight w:val="none"/>
          <w14:textFill>
            <w14:solidFill>
              <w14:schemeClr w14:val="tx1"/>
            </w14:solidFill>
          </w14:textFill>
        </w:rPr>
      </w:pPr>
    </w:p>
    <w:p w14:paraId="47DCB828">
      <w:pPr>
        <w:pStyle w:val="63"/>
        <w:rPr>
          <w:rFonts w:hint="eastAsia"/>
          <w:b/>
          <w:bCs/>
          <w:color w:val="000000" w:themeColor="text1"/>
          <w:sz w:val="28"/>
          <w:szCs w:val="28"/>
          <w:highlight w:val="none"/>
          <w14:textFill>
            <w14:solidFill>
              <w14:schemeClr w14:val="tx1"/>
            </w14:solidFill>
          </w14:textFill>
        </w:rPr>
      </w:pPr>
    </w:p>
    <w:p w14:paraId="57506E4C">
      <w:pPr>
        <w:pStyle w:val="63"/>
        <w:rPr>
          <w:rFonts w:hint="eastAsia"/>
          <w:b/>
          <w:bCs/>
          <w:color w:val="000000" w:themeColor="text1"/>
          <w:sz w:val="28"/>
          <w:szCs w:val="28"/>
          <w:highlight w:val="none"/>
          <w14:textFill>
            <w14:solidFill>
              <w14:schemeClr w14:val="tx1"/>
            </w14:solidFill>
          </w14:textFill>
        </w:rPr>
      </w:pPr>
    </w:p>
    <w:p w14:paraId="2CC27C28">
      <w:pPr>
        <w:jc w:val="center"/>
        <w:rPr>
          <w:rFonts w:hint="eastAsia"/>
          <w:b/>
          <w:bCs/>
          <w:color w:val="000000" w:themeColor="text1"/>
          <w:sz w:val="28"/>
          <w:szCs w:val="28"/>
          <w:highlight w:val="none"/>
          <w14:textFill>
            <w14:solidFill>
              <w14:schemeClr w14:val="tx1"/>
            </w14:solidFill>
          </w14:textFill>
        </w:rPr>
      </w:pPr>
    </w:p>
    <w:p w14:paraId="0F315FA9">
      <w:pPr>
        <w:ind w:left="0" w:leftChars="0" w:firstLine="0" w:firstLineChars="0"/>
        <w:jc w:val="center"/>
        <w:rPr>
          <w:rFonts w:hint="eastAsia" w:ascii="宋体" w:hAnsi="宋体" w:cs="宋体"/>
          <w:b/>
          <w:bCs/>
          <w:color w:val="auto"/>
          <w:kern w:val="2"/>
          <w:sz w:val="28"/>
          <w:szCs w:val="28"/>
          <w:highlight w:val="none"/>
        </w:rPr>
      </w:pPr>
      <w:r>
        <w:rPr>
          <w:rFonts w:hint="eastAsia"/>
          <w:b/>
          <w:bCs/>
          <w:color w:val="000000" w:themeColor="text1"/>
          <w:sz w:val="28"/>
          <w:szCs w:val="28"/>
          <w:highlight w:val="none"/>
          <w14:textFill>
            <w14:solidFill>
              <w14:schemeClr w14:val="tx1"/>
            </w14:solidFill>
          </w14:textFill>
        </w:rPr>
        <w:t>第</w:t>
      </w:r>
      <w:r>
        <w:rPr>
          <w:rFonts w:hint="eastAsia"/>
          <w:b/>
          <w:bCs/>
          <w:color w:val="000000" w:themeColor="text1"/>
          <w:sz w:val="28"/>
          <w:szCs w:val="28"/>
          <w:highlight w:val="none"/>
          <w:lang w:eastAsia="zh-CN"/>
          <w14:textFill>
            <w14:solidFill>
              <w14:schemeClr w14:val="tx1"/>
            </w14:solidFill>
          </w14:textFill>
        </w:rPr>
        <w:t>二</w:t>
      </w:r>
      <w:r>
        <w:rPr>
          <w:rFonts w:hint="eastAsia"/>
          <w:b/>
          <w:bCs/>
          <w:color w:val="000000" w:themeColor="text1"/>
          <w:sz w:val="28"/>
          <w:szCs w:val="28"/>
          <w:highlight w:val="none"/>
          <w14:textFill>
            <w14:solidFill>
              <w14:schemeClr w14:val="tx1"/>
            </w14:solidFill>
          </w14:textFill>
        </w:rPr>
        <w:t>部分</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资格审查部分</w:t>
      </w:r>
    </w:p>
    <w:p w14:paraId="34B34364">
      <w:pPr>
        <w:pStyle w:val="14"/>
        <w:rPr>
          <w:rFonts w:hint="eastAsia"/>
        </w:rPr>
      </w:pPr>
    </w:p>
    <w:bookmarkEnd w:id="982"/>
    <w:bookmarkEnd w:id="983"/>
    <w:bookmarkEnd w:id="984"/>
    <w:p w14:paraId="4292F704">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bookmarkStart w:id="985" w:name="_Toc22385"/>
      <w:bookmarkStart w:id="986" w:name="_Toc32028"/>
      <w:bookmarkStart w:id="987" w:name="_Toc2528"/>
      <w:bookmarkStart w:id="988" w:name="_Toc22519"/>
      <w:bookmarkStart w:id="989" w:name="_Toc11221"/>
      <w:bookmarkStart w:id="990" w:name="_Toc26415"/>
      <w:bookmarkStart w:id="991" w:name="_Toc27295"/>
      <w:bookmarkStart w:id="992" w:name="_Toc6607_WPSOffice_Level2"/>
      <w:bookmarkStart w:id="993" w:name="_Toc18206_WPSOffice_Level2"/>
      <w:bookmarkStart w:id="994" w:name="_Toc20763"/>
      <w:bookmarkStart w:id="995" w:name="_Toc15945"/>
      <w:bookmarkStart w:id="996" w:name="_Toc465945239"/>
      <w:bookmarkStart w:id="997" w:name="_Toc21175"/>
      <w:bookmarkStart w:id="998" w:name="_Toc30656_WPSOffice_Level2"/>
      <w:bookmarkStart w:id="999" w:name="_Toc7965_WPSOffice_Level2"/>
      <w:bookmarkStart w:id="1000" w:name="_Toc10774"/>
    </w:p>
    <w:p w14:paraId="08EAC944">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5CC625D5">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2944AAEC">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08C7636A">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70D017FD">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1A3DC129">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7EB45775">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35A75FE7">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220B4C6A">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0CEAB2A8">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5EE7B3E7">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462B5DB3">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2DCA6630">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74FCE834">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18BD313E">
      <w:pPr>
        <w:ind w:left="0" w:leftChars="0" w:firstLine="0" w:firstLineChars="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一、投标人基本情况</w:t>
      </w:r>
    </w:p>
    <w:p w14:paraId="00E0D0FC">
      <w:pPr>
        <w:pStyle w:val="374"/>
        <w:numPr>
          <w:ilvl w:val="0"/>
          <w:numId w:val="0"/>
        </w:numPr>
        <w:snapToGrid w:val="0"/>
        <w:spacing w:after="120" w:afterLines="50" w:line="360" w:lineRule="auto"/>
        <w:jc w:val="center"/>
        <w:rPr>
          <w:rFonts w:cs="Times New Roman"/>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（一）投标人基本情况表</w:t>
      </w:r>
    </w:p>
    <w:tbl>
      <w:tblPr>
        <w:tblStyle w:val="52"/>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4180EA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370" w:type="dxa"/>
            <w:tcBorders>
              <w:top w:val="single" w:color="auto" w:sz="12" w:space="0"/>
            </w:tcBorders>
            <w:vAlign w:val="center"/>
          </w:tcPr>
          <w:p w14:paraId="1A117288">
            <w:pPr>
              <w:topLinePunct/>
              <w:adjustRightInd w:val="0"/>
              <w:snapToGrid w:val="0"/>
              <w:ind w:left="0" w:leftChars="0" w:firstLine="0" w:firstLineChars="0"/>
              <w:jc w:val="center"/>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w:t>
            </w:r>
          </w:p>
        </w:tc>
        <w:tc>
          <w:tcPr>
            <w:tcW w:w="7102" w:type="dxa"/>
            <w:gridSpan w:val="9"/>
            <w:tcBorders>
              <w:top w:val="single" w:color="auto" w:sz="12" w:space="0"/>
            </w:tcBorders>
            <w:vAlign w:val="center"/>
          </w:tcPr>
          <w:p w14:paraId="6AC27ADB">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2468D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1432C941">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注册地址</w:t>
            </w:r>
          </w:p>
        </w:tc>
        <w:tc>
          <w:tcPr>
            <w:tcW w:w="3551" w:type="dxa"/>
            <w:gridSpan w:val="4"/>
            <w:vAlign w:val="center"/>
          </w:tcPr>
          <w:p w14:paraId="48764C7B">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775" w:type="dxa"/>
            <w:gridSpan w:val="3"/>
            <w:vAlign w:val="center"/>
          </w:tcPr>
          <w:p w14:paraId="178D1C8C">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邮政编码</w:t>
            </w:r>
          </w:p>
        </w:tc>
        <w:tc>
          <w:tcPr>
            <w:tcW w:w="1776" w:type="dxa"/>
            <w:gridSpan w:val="2"/>
            <w:vAlign w:val="center"/>
          </w:tcPr>
          <w:p w14:paraId="490BDF62">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6C5C6F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2370" w:type="dxa"/>
            <w:vMerge w:val="restart"/>
            <w:vAlign w:val="center"/>
          </w:tcPr>
          <w:p w14:paraId="712BFA16">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联系方式</w:t>
            </w:r>
          </w:p>
        </w:tc>
        <w:tc>
          <w:tcPr>
            <w:tcW w:w="1775" w:type="dxa"/>
            <w:gridSpan w:val="2"/>
            <w:vAlign w:val="center"/>
          </w:tcPr>
          <w:p w14:paraId="6106B078">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联系人</w:t>
            </w:r>
          </w:p>
        </w:tc>
        <w:tc>
          <w:tcPr>
            <w:tcW w:w="1776" w:type="dxa"/>
            <w:gridSpan w:val="2"/>
            <w:vAlign w:val="center"/>
          </w:tcPr>
          <w:p w14:paraId="6683F5A2">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775" w:type="dxa"/>
            <w:gridSpan w:val="3"/>
            <w:vAlign w:val="center"/>
          </w:tcPr>
          <w:p w14:paraId="17760C84">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 话</w:t>
            </w:r>
          </w:p>
        </w:tc>
        <w:tc>
          <w:tcPr>
            <w:tcW w:w="1776" w:type="dxa"/>
            <w:gridSpan w:val="2"/>
            <w:vAlign w:val="center"/>
          </w:tcPr>
          <w:p w14:paraId="670B3F1F">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0DA6AE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Merge w:val="continue"/>
            <w:vAlign w:val="center"/>
          </w:tcPr>
          <w:p w14:paraId="06192B82">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p>
        </w:tc>
        <w:tc>
          <w:tcPr>
            <w:tcW w:w="1775" w:type="dxa"/>
            <w:gridSpan w:val="2"/>
            <w:vAlign w:val="center"/>
          </w:tcPr>
          <w:p w14:paraId="418B2F1F">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传  真</w:t>
            </w:r>
          </w:p>
        </w:tc>
        <w:tc>
          <w:tcPr>
            <w:tcW w:w="1776" w:type="dxa"/>
            <w:gridSpan w:val="2"/>
            <w:vAlign w:val="center"/>
          </w:tcPr>
          <w:p w14:paraId="462A0579">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775" w:type="dxa"/>
            <w:gridSpan w:val="3"/>
            <w:vAlign w:val="center"/>
          </w:tcPr>
          <w:p w14:paraId="6228778D">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网 址</w:t>
            </w:r>
          </w:p>
        </w:tc>
        <w:tc>
          <w:tcPr>
            <w:tcW w:w="1776" w:type="dxa"/>
            <w:gridSpan w:val="2"/>
            <w:vAlign w:val="center"/>
          </w:tcPr>
          <w:p w14:paraId="70ACE961">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7DE8DC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0" w:type="dxa"/>
            <w:vAlign w:val="center"/>
          </w:tcPr>
          <w:p w14:paraId="1B87A3C7">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组织结构</w:t>
            </w:r>
          </w:p>
        </w:tc>
        <w:tc>
          <w:tcPr>
            <w:tcW w:w="7102" w:type="dxa"/>
            <w:gridSpan w:val="9"/>
            <w:vAlign w:val="center"/>
          </w:tcPr>
          <w:p w14:paraId="0BFCC52C">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07103F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2CB0F04E">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w:t>
            </w:r>
          </w:p>
        </w:tc>
        <w:tc>
          <w:tcPr>
            <w:tcW w:w="1183" w:type="dxa"/>
            <w:vAlign w:val="center"/>
          </w:tcPr>
          <w:p w14:paraId="7EE4833A">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姓名</w:t>
            </w:r>
          </w:p>
        </w:tc>
        <w:tc>
          <w:tcPr>
            <w:tcW w:w="1184" w:type="dxa"/>
            <w:gridSpan w:val="2"/>
            <w:vAlign w:val="center"/>
          </w:tcPr>
          <w:p w14:paraId="612171BC">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184" w:type="dxa"/>
            <w:vAlign w:val="center"/>
          </w:tcPr>
          <w:p w14:paraId="0B3A3391">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技术职称</w:t>
            </w:r>
          </w:p>
        </w:tc>
        <w:tc>
          <w:tcPr>
            <w:tcW w:w="1183" w:type="dxa"/>
            <w:gridSpan w:val="2"/>
            <w:vAlign w:val="center"/>
          </w:tcPr>
          <w:p w14:paraId="38E5D195">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184" w:type="dxa"/>
            <w:gridSpan w:val="2"/>
            <w:vAlign w:val="center"/>
          </w:tcPr>
          <w:p w14:paraId="7D91E337">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w:t>
            </w:r>
          </w:p>
        </w:tc>
        <w:tc>
          <w:tcPr>
            <w:tcW w:w="1184" w:type="dxa"/>
            <w:vAlign w:val="center"/>
          </w:tcPr>
          <w:p w14:paraId="375A04EC">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6B6661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59E14CCB">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技术负责人</w:t>
            </w:r>
          </w:p>
        </w:tc>
        <w:tc>
          <w:tcPr>
            <w:tcW w:w="1183" w:type="dxa"/>
            <w:vAlign w:val="center"/>
          </w:tcPr>
          <w:p w14:paraId="25A08A0A">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姓名</w:t>
            </w:r>
          </w:p>
        </w:tc>
        <w:tc>
          <w:tcPr>
            <w:tcW w:w="1184" w:type="dxa"/>
            <w:gridSpan w:val="2"/>
            <w:vAlign w:val="center"/>
          </w:tcPr>
          <w:p w14:paraId="05518743">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184" w:type="dxa"/>
            <w:vAlign w:val="center"/>
          </w:tcPr>
          <w:p w14:paraId="27DFCB8C">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技术职称</w:t>
            </w:r>
          </w:p>
        </w:tc>
        <w:tc>
          <w:tcPr>
            <w:tcW w:w="1183" w:type="dxa"/>
            <w:gridSpan w:val="2"/>
            <w:vAlign w:val="center"/>
          </w:tcPr>
          <w:p w14:paraId="724BCD6B">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184" w:type="dxa"/>
            <w:gridSpan w:val="2"/>
            <w:vAlign w:val="center"/>
          </w:tcPr>
          <w:p w14:paraId="22C23E90">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w:t>
            </w:r>
          </w:p>
        </w:tc>
        <w:tc>
          <w:tcPr>
            <w:tcW w:w="1184" w:type="dxa"/>
            <w:vAlign w:val="center"/>
          </w:tcPr>
          <w:p w14:paraId="320787DB">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413356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7E6DC9E7">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成立时间</w:t>
            </w:r>
          </w:p>
        </w:tc>
        <w:tc>
          <w:tcPr>
            <w:tcW w:w="3551" w:type="dxa"/>
            <w:gridSpan w:val="4"/>
            <w:vAlign w:val="center"/>
          </w:tcPr>
          <w:p w14:paraId="3F487845">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3551" w:type="dxa"/>
            <w:gridSpan w:val="5"/>
            <w:vAlign w:val="center"/>
          </w:tcPr>
          <w:p w14:paraId="3D176C3F">
            <w:pPr>
              <w:topLinePunct/>
              <w:adjustRightInd w:val="0"/>
              <w:snapToGrid w:val="0"/>
              <w:ind w:firstLine="110" w:firstLineChars="50"/>
              <w:jc w:val="center"/>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员工总人数：</w:t>
            </w:r>
            <w:r>
              <w:rPr>
                <w:rFonts w:ascii="宋体" w:hAnsi="宋体" w:cs="宋体"/>
                <w:color w:val="000000" w:themeColor="text1"/>
                <w:highlight w:val="none"/>
                <w14:textFill>
                  <w14:solidFill>
                    <w14:schemeClr w14:val="tx1"/>
                  </w14:solidFill>
                </w14:textFill>
              </w:rPr>
              <w:t>______________</w:t>
            </w:r>
          </w:p>
        </w:tc>
      </w:tr>
      <w:tr w14:paraId="07542D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4D163CEC">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企业资质等级</w:t>
            </w:r>
          </w:p>
        </w:tc>
        <w:tc>
          <w:tcPr>
            <w:tcW w:w="3551" w:type="dxa"/>
            <w:gridSpan w:val="4"/>
            <w:vAlign w:val="center"/>
          </w:tcPr>
          <w:p w14:paraId="6CD74EFF">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769" w:type="dxa"/>
            <w:vMerge w:val="restart"/>
            <w:vAlign w:val="center"/>
          </w:tcPr>
          <w:p w14:paraId="69D4E370">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w:t>
            </w:r>
          </w:p>
          <w:p w14:paraId="519B6DB1">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p>
          <w:p w14:paraId="72821116">
            <w:pPr>
              <w:topLinePunct/>
              <w:adjustRightInd w:val="0"/>
              <w:snapToGrid w:val="0"/>
              <w:ind w:left="0" w:leftChars="0" w:firstLine="0" w:firstLineChars="0"/>
              <w:jc w:val="center"/>
              <w:rPr>
                <w:rFonts w:ascii="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w:t>
            </w:r>
          </w:p>
        </w:tc>
        <w:tc>
          <w:tcPr>
            <w:tcW w:w="1598" w:type="dxa"/>
            <w:gridSpan w:val="3"/>
            <w:vAlign w:val="center"/>
          </w:tcPr>
          <w:p w14:paraId="7058AE83">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项目负责人</w:t>
            </w:r>
          </w:p>
        </w:tc>
        <w:tc>
          <w:tcPr>
            <w:tcW w:w="1184" w:type="dxa"/>
            <w:vAlign w:val="center"/>
          </w:tcPr>
          <w:p w14:paraId="56E998A2">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37C7C2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2550C0F4">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营业执照号</w:t>
            </w:r>
          </w:p>
        </w:tc>
        <w:tc>
          <w:tcPr>
            <w:tcW w:w="3551" w:type="dxa"/>
            <w:gridSpan w:val="4"/>
            <w:vAlign w:val="center"/>
          </w:tcPr>
          <w:p w14:paraId="0A85E851">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769" w:type="dxa"/>
            <w:vMerge w:val="continue"/>
            <w:vAlign w:val="center"/>
          </w:tcPr>
          <w:p w14:paraId="49D8F672">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598" w:type="dxa"/>
            <w:gridSpan w:val="3"/>
            <w:vAlign w:val="center"/>
          </w:tcPr>
          <w:p w14:paraId="3A104FDE">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高级职称人员</w:t>
            </w:r>
          </w:p>
        </w:tc>
        <w:tc>
          <w:tcPr>
            <w:tcW w:w="1184" w:type="dxa"/>
            <w:vAlign w:val="center"/>
          </w:tcPr>
          <w:p w14:paraId="3E06E4FD">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3557D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791E1E47">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注册资金</w:t>
            </w:r>
          </w:p>
        </w:tc>
        <w:tc>
          <w:tcPr>
            <w:tcW w:w="3551" w:type="dxa"/>
            <w:gridSpan w:val="4"/>
            <w:vAlign w:val="center"/>
          </w:tcPr>
          <w:p w14:paraId="1C785547">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769" w:type="dxa"/>
            <w:vMerge w:val="continue"/>
            <w:vAlign w:val="center"/>
          </w:tcPr>
          <w:p w14:paraId="740216AC">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598" w:type="dxa"/>
            <w:gridSpan w:val="3"/>
            <w:vAlign w:val="center"/>
          </w:tcPr>
          <w:p w14:paraId="4AAA9043">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中级职称人员</w:t>
            </w:r>
          </w:p>
        </w:tc>
        <w:tc>
          <w:tcPr>
            <w:tcW w:w="1184" w:type="dxa"/>
            <w:vAlign w:val="center"/>
          </w:tcPr>
          <w:p w14:paraId="72847FCC">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224804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7ECBC441">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开户银行</w:t>
            </w:r>
          </w:p>
        </w:tc>
        <w:tc>
          <w:tcPr>
            <w:tcW w:w="3551" w:type="dxa"/>
            <w:gridSpan w:val="4"/>
            <w:vAlign w:val="center"/>
          </w:tcPr>
          <w:p w14:paraId="2DE639D4">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769" w:type="dxa"/>
            <w:vMerge w:val="continue"/>
            <w:vAlign w:val="center"/>
          </w:tcPr>
          <w:p w14:paraId="44ED8A5C">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598" w:type="dxa"/>
            <w:gridSpan w:val="3"/>
            <w:vAlign w:val="center"/>
          </w:tcPr>
          <w:p w14:paraId="22DD7488">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初级职称人员</w:t>
            </w:r>
          </w:p>
        </w:tc>
        <w:tc>
          <w:tcPr>
            <w:tcW w:w="1184" w:type="dxa"/>
            <w:vAlign w:val="center"/>
          </w:tcPr>
          <w:p w14:paraId="792EC6C0">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66367C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6F4B9870">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账号</w:t>
            </w:r>
          </w:p>
        </w:tc>
        <w:tc>
          <w:tcPr>
            <w:tcW w:w="3551" w:type="dxa"/>
            <w:gridSpan w:val="4"/>
            <w:vAlign w:val="center"/>
          </w:tcPr>
          <w:p w14:paraId="51992572">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769" w:type="dxa"/>
            <w:vMerge w:val="continue"/>
            <w:vAlign w:val="center"/>
          </w:tcPr>
          <w:p w14:paraId="0BEDB7AC">
            <w:pPr>
              <w:topLinePunct/>
              <w:adjustRightInd w:val="0"/>
              <w:snapToGrid w:val="0"/>
              <w:jc w:val="center"/>
              <w:rPr>
                <w:rFonts w:ascii="宋体" w:cs="Times New Roman"/>
                <w:color w:val="000000" w:themeColor="text1"/>
                <w:highlight w:val="none"/>
                <w14:textFill>
                  <w14:solidFill>
                    <w14:schemeClr w14:val="tx1"/>
                  </w14:solidFill>
                </w14:textFill>
              </w:rPr>
            </w:pPr>
          </w:p>
        </w:tc>
        <w:tc>
          <w:tcPr>
            <w:tcW w:w="1598" w:type="dxa"/>
            <w:gridSpan w:val="3"/>
            <w:vAlign w:val="center"/>
          </w:tcPr>
          <w:p w14:paraId="012065EA">
            <w:pPr>
              <w:topLinePunct/>
              <w:adjustRightInd w:val="0"/>
              <w:snapToGrid w:val="0"/>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技工</w:t>
            </w:r>
          </w:p>
        </w:tc>
        <w:tc>
          <w:tcPr>
            <w:tcW w:w="1184" w:type="dxa"/>
            <w:vAlign w:val="center"/>
          </w:tcPr>
          <w:p w14:paraId="70184CA2">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268947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370" w:type="dxa"/>
            <w:vAlign w:val="center"/>
          </w:tcPr>
          <w:p w14:paraId="74E6FAFA">
            <w:pPr>
              <w:topLinePunct/>
              <w:adjustRightInd w:val="0"/>
              <w:snapToGrid w:val="0"/>
              <w:ind w:firstLine="220" w:firstLineChars="100"/>
              <w:jc w:val="center"/>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经营范围</w:t>
            </w:r>
          </w:p>
        </w:tc>
        <w:tc>
          <w:tcPr>
            <w:tcW w:w="7102" w:type="dxa"/>
            <w:gridSpan w:val="9"/>
            <w:vAlign w:val="center"/>
          </w:tcPr>
          <w:p w14:paraId="03C15C21">
            <w:pPr>
              <w:topLinePunct/>
              <w:adjustRightInd w:val="0"/>
              <w:snapToGrid w:val="0"/>
              <w:jc w:val="center"/>
              <w:rPr>
                <w:rFonts w:ascii="宋体" w:cs="Times New Roman"/>
                <w:color w:val="000000" w:themeColor="text1"/>
                <w:highlight w:val="none"/>
                <w14:textFill>
                  <w14:solidFill>
                    <w14:schemeClr w14:val="tx1"/>
                  </w14:solidFill>
                </w14:textFill>
              </w:rPr>
            </w:pPr>
          </w:p>
        </w:tc>
      </w:tr>
      <w:tr w14:paraId="5B6391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370" w:type="dxa"/>
            <w:tcBorders>
              <w:bottom w:val="single" w:color="auto" w:sz="12" w:space="0"/>
            </w:tcBorders>
            <w:vAlign w:val="center"/>
          </w:tcPr>
          <w:p w14:paraId="2B2844D6">
            <w:pPr>
              <w:topLinePunct/>
              <w:adjustRightInd w:val="0"/>
              <w:snapToGrid w:val="0"/>
              <w:jc w:val="center"/>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tc>
        <w:tc>
          <w:tcPr>
            <w:tcW w:w="7102" w:type="dxa"/>
            <w:gridSpan w:val="9"/>
            <w:tcBorders>
              <w:bottom w:val="single" w:color="auto" w:sz="12" w:space="0"/>
            </w:tcBorders>
            <w:vAlign w:val="center"/>
          </w:tcPr>
          <w:p w14:paraId="00841EB3">
            <w:pPr>
              <w:topLinePunct/>
              <w:adjustRightInd w:val="0"/>
              <w:snapToGrid w:val="0"/>
              <w:jc w:val="center"/>
              <w:rPr>
                <w:rFonts w:ascii="宋体" w:cs="Times New Roman"/>
                <w:color w:val="000000" w:themeColor="text1"/>
                <w:highlight w:val="none"/>
                <w14:textFill>
                  <w14:solidFill>
                    <w14:schemeClr w14:val="tx1"/>
                  </w14:solidFill>
                </w14:textFill>
              </w:rPr>
            </w:pPr>
          </w:p>
        </w:tc>
      </w:tr>
    </w:tbl>
    <w:p w14:paraId="2AA883B5">
      <w:pPr>
        <w:pStyle w:val="375"/>
        <w:adjustRightInd w:val="0"/>
        <w:snapToGrid w:val="0"/>
        <w:spacing w:before="120" w:beforeLines="50" w:line="360" w:lineRule="auto"/>
        <w:rPr>
          <w:rFonts w:hint="eastAsia" w:ascii="宋体" w:hAnsi="宋体" w:eastAsia="宋体" w:cs="宋体"/>
          <w:color w:val="000000" w:themeColor="text1"/>
          <w:highlight w:val="none"/>
          <w:lang w:val="zh-TW"/>
          <w14:textFill>
            <w14:solidFill>
              <w14:schemeClr w14:val="tx1"/>
            </w14:solidFill>
          </w14:textFill>
        </w:rPr>
      </w:pPr>
      <w:r>
        <w:rPr>
          <w:rFonts w:hint="eastAsia" w:ascii="宋体" w:hAnsi="宋体" w:eastAsia="宋体" w:cs="宋体"/>
          <w:color w:val="000000" w:themeColor="text1"/>
          <w:highlight w:val="none"/>
          <w:lang w:val="zh-TW"/>
          <w14:textFill>
            <w14:solidFill>
              <w14:schemeClr w14:val="tx1"/>
            </w14:solidFill>
          </w14:textFill>
        </w:rPr>
        <w:t>备注：</w:t>
      </w:r>
    </w:p>
    <w:p w14:paraId="174CC9DE">
      <w:pPr>
        <w:pStyle w:val="375"/>
        <w:adjustRightInd w:val="0"/>
        <w:snapToGrid w:val="0"/>
        <w:spacing w:before="120" w:beforeLines="50"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、本表后须附投标人营业执照副本及其年检合格的证明材料原件扫描件、资质证书副本原件扫描件（</w:t>
      </w:r>
      <w:r>
        <w:rPr>
          <w:rFonts w:hint="eastAsia" w:ascii="宋体" w:hAnsi="宋体" w:eastAsia="宋体" w:cs="宋体"/>
          <w:color w:val="000000" w:themeColor="text1"/>
          <w:highlight w:val="none"/>
          <w:lang w:eastAsia="zh-CN"/>
          <w14:textFill>
            <w14:solidFill>
              <w14:schemeClr w14:val="tx1"/>
            </w14:solidFill>
          </w14:textFill>
        </w:rPr>
        <w:t>若有</w:t>
      </w:r>
      <w:r>
        <w:rPr>
          <w:rFonts w:hint="eastAsia" w:ascii="宋体" w:hAnsi="宋体" w:eastAsia="宋体" w:cs="宋体"/>
          <w:color w:val="000000" w:themeColor="text1"/>
          <w:highlight w:val="none"/>
          <w14:textFill>
            <w14:solidFill>
              <w14:schemeClr w14:val="tx1"/>
            </w14:solidFill>
          </w14:textFill>
        </w:rPr>
        <w:t>），安全生产许可证副本原件扫描件（</w:t>
      </w:r>
      <w:r>
        <w:rPr>
          <w:rFonts w:hint="eastAsia" w:ascii="宋体" w:hAnsi="宋体" w:eastAsia="宋体" w:cs="宋体"/>
          <w:color w:val="000000" w:themeColor="text1"/>
          <w:highlight w:val="none"/>
          <w:lang w:eastAsia="zh-CN"/>
          <w14:textFill>
            <w14:solidFill>
              <w14:schemeClr w14:val="tx1"/>
            </w14:solidFill>
          </w14:textFill>
        </w:rPr>
        <w:t>若有</w:t>
      </w:r>
      <w:r>
        <w:rPr>
          <w:rFonts w:hint="eastAsia" w:ascii="宋体" w:hAnsi="宋体" w:eastAsia="宋体" w:cs="宋体"/>
          <w:color w:val="000000" w:themeColor="text1"/>
          <w:highlight w:val="none"/>
          <w14:textFill>
            <w14:solidFill>
              <w14:schemeClr w14:val="tx1"/>
            </w14:solidFill>
          </w14:textFill>
        </w:rPr>
        <w:t>）；</w:t>
      </w:r>
    </w:p>
    <w:p w14:paraId="0AB69743">
      <w:pPr>
        <w:pStyle w:val="375"/>
        <w:adjustRightInd w:val="0"/>
        <w:snapToGrid w:val="0"/>
        <w:spacing w:before="120" w:beforeLines="50"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2、此表投标人根据自身情况提供，有则填，无则空。</w:t>
      </w:r>
    </w:p>
    <w:p w14:paraId="5F80F023">
      <w:pPr>
        <w:pStyle w:val="375"/>
        <w:adjustRightInd w:val="0"/>
        <w:snapToGrid w:val="0"/>
        <w:spacing w:line="360" w:lineRule="auto"/>
        <w:ind w:firstLine="420" w:firstLineChars="200"/>
        <w:rPr>
          <w:rFonts w:hint="eastAsia" w:ascii="宋体" w:hAnsi="宋体" w:cs="宋体"/>
          <w:color w:val="auto"/>
          <w:highlight w:val="none"/>
          <w:lang w:val="zh-CN"/>
        </w:rPr>
      </w:pPr>
    </w:p>
    <w:p w14:paraId="26801B07">
      <w:pPr>
        <w:widowControl w:val="0"/>
        <w:spacing w:line="360" w:lineRule="auto"/>
        <w:ind w:firstLine="482" w:firstLineChars="200"/>
        <w:jc w:val="center"/>
        <w:outlineLvl w:val="1"/>
        <w:rPr>
          <w:rFonts w:hint="eastAsia" w:ascii="宋体" w:hAnsi="宋体" w:cs="宋体"/>
          <w:b/>
          <w:bCs/>
          <w:color w:val="auto"/>
          <w:kern w:val="2"/>
          <w:sz w:val="24"/>
          <w:szCs w:val="32"/>
          <w:highlight w:val="none"/>
          <w:lang w:val="en-US" w:eastAsia="zh-CN"/>
        </w:rPr>
      </w:pPr>
    </w:p>
    <w:p w14:paraId="20D8FC07">
      <w:pPr>
        <w:pStyle w:val="14"/>
        <w:rPr>
          <w:rFonts w:hint="eastAsia" w:ascii="宋体" w:hAnsi="宋体" w:cs="宋体"/>
          <w:b/>
          <w:bCs/>
          <w:color w:val="auto"/>
          <w:kern w:val="2"/>
          <w:sz w:val="24"/>
          <w:szCs w:val="32"/>
          <w:highlight w:val="none"/>
          <w:lang w:val="en-US" w:eastAsia="zh-CN"/>
        </w:rPr>
      </w:pPr>
    </w:p>
    <w:p w14:paraId="442DE88A">
      <w:pPr>
        <w:rPr>
          <w:rFonts w:hint="eastAsia" w:ascii="宋体" w:hAnsi="宋体" w:cs="宋体"/>
          <w:b/>
          <w:bCs/>
          <w:color w:val="auto"/>
          <w:kern w:val="2"/>
          <w:sz w:val="24"/>
          <w:szCs w:val="32"/>
          <w:highlight w:val="none"/>
          <w:lang w:val="en-US" w:eastAsia="zh-CN"/>
        </w:rPr>
      </w:pPr>
    </w:p>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14:paraId="069B4F46">
      <w:pPr>
        <w:widowControl w:val="0"/>
        <w:spacing w:line="560" w:lineRule="exact"/>
        <w:ind w:left="0" w:leftChars="0" w:firstLine="0" w:firstLineChars="0"/>
        <w:jc w:val="center"/>
        <w:outlineLvl w:val="2"/>
        <w:rPr>
          <w:rFonts w:hint="eastAsia" w:ascii="宋体" w:hAnsi="宋体" w:cs="宋体"/>
          <w:b/>
          <w:bCs/>
          <w:color w:val="auto"/>
          <w:kern w:val="2"/>
          <w:sz w:val="24"/>
          <w:szCs w:val="24"/>
          <w:highlight w:val="none"/>
        </w:rPr>
      </w:pPr>
      <w:bookmarkStart w:id="1001" w:name="_Toc2054"/>
      <w:bookmarkStart w:id="1002" w:name="_Toc484524762"/>
      <w:bookmarkStart w:id="1003" w:name="_Toc485073213"/>
      <w:bookmarkStart w:id="1004" w:name="_Toc939"/>
      <w:bookmarkStart w:id="1005" w:name="_Toc1394"/>
      <w:bookmarkStart w:id="1006" w:name="_Toc4694"/>
      <w:bookmarkStart w:id="1007" w:name="_Toc30802"/>
      <w:bookmarkStart w:id="1008" w:name="_Toc8625"/>
      <w:bookmarkStart w:id="1009" w:name="_Toc489632824"/>
      <w:bookmarkStart w:id="1010" w:name="_Toc484123033"/>
      <w:bookmarkStart w:id="1011" w:name="_Toc18771"/>
      <w:bookmarkStart w:id="1012" w:name="_Toc489633728"/>
      <w:bookmarkStart w:id="1013" w:name="_Toc30566"/>
      <w:bookmarkStart w:id="1014" w:name="_Toc485153075"/>
      <w:r>
        <w:rPr>
          <w:rFonts w:hint="eastAsia" w:ascii="宋体" w:hAnsi="宋体" w:cs="宋体"/>
          <w:b/>
          <w:bCs/>
          <w:color w:val="auto"/>
          <w:kern w:val="2"/>
          <w:sz w:val="24"/>
          <w:szCs w:val="24"/>
          <w:highlight w:val="none"/>
          <w:lang w:eastAsia="zh-CN"/>
        </w:rPr>
        <w:t>（二）</w:t>
      </w:r>
      <w:r>
        <w:rPr>
          <w:rFonts w:hint="eastAsia" w:ascii="宋体" w:hAnsi="宋体" w:cs="宋体"/>
          <w:b/>
          <w:bCs/>
          <w:color w:val="auto"/>
          <w:kern w:val="2"/>
          <w:sz w:val="24"/>
          <w:szCs w:val="24"/>
          <w:highlight w:val="none"/>
        </w:rPr>
        <w:t>组织结构框架</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14:paraId="02E566C8">
      <w:pPr>
        <w:widowControl w:val="0"/>
        <w:spacing w:line="560" w:lineRule="exact"/>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投标人名称：</w:t>
      </w:r>
    </w:p>
    <w:tbl>
      <w:tblPr>
        <w:tblStyle w:val="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9"/>
      </w:tblGrid>
      <w:tr w14:paraId="4AF0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2" w:hRule="atLeast"/>
        </w:trPr>
        <w:tc>
          <w:tcPr>
            <w:tcW w:w="5000" w:type="pct"/>
          </w:tcPr>
          <w:p w14:paraId="05572E27">
            <w:pPr>
              <w:widowControl w:val="0"/>
              <w:spacing w:line="240" w:lineRule="atLeast"/>
              <w:ind w:firstLine="420" w:firstLineChars="200"/>
              <w:jc w:val="both"/>
              <w:rPr>
                <w:rFonts w:hint="eastAsia" w:ascii="宋体" w:hAnsi="宋体" w:cs="宋体"/>
                <w:color w:val="auto"/>
                <w:kern w:val="2"/>
                <w:sz w:val="24"/>
                <w:szCs w:val="21"/>
                <w:highlight w:val="none"/>
              </w:rPr>
            </w:pPr>
            <w:r>
              <w:rPr>
                <w:rFonts w:hint="eastAsia" w:ascii="宋体" w:hAnsi="宋体" w:cs="宋体"/>
                <w:color w:val="auto"/>
                <w:kern w:val="2"/>
                <w:sz w:val="21"/>
                <w:szCs w:val="21"/>
                <w:highlight w:val="none"/>
              </w:rPr>
              <w:t>叙述或附图表示投标人的组织结构。</w:t>
            </w:r>
          </w:p>
        </w:tc>
      </w:tr>
    </w:tbl>
    <w:p w14:paraId="6A8CF131">
      <w:pPr>
        <w:adjustRightInd w:val="0"/>
        <w:snapToGrid w:val="0"/>
        <w:spacing w:line="480" w:lineRule="auto"/>
        <w:ind w:firstLine="5196" w:firstLineChars="2362"/>
        <w:rPr>
          <w:rStyle w:val="373"/>
          <w:rFonts w:hint="eastAsia" w:ascii="宋体" w:hAnsi="宋体" w:cs="宋体"/>
          <w:color w:val="000000" w:themeColor="text1"/>
          <w:highlight w:val="none"/>
          <w14:textFill>
            <w14:solidFill>
              <w14:schemeClr w14:val="tx1"/>
            </w14:solidFill>
          </w14:textFill>
        </w:rPr>
      </w:pPr>
      <w:bookmarkStart w:id="1015" w:name="_Toc7179_WPSOffice_Level2"/>
      <w:bookmarkStart w:id="1016" w:name="_Toc25215"/>
      <w:bookmarkStart w:id="1017" w:name="_Toc7001"/>
      <w:bookmarkStart w:id="1018" w:name="_Toc31891_WPSOffice_Level2"/>
      <w:bookmarkStart w:id="1019" w:name="_Toc25270"/>
      <w:bookmarkStart w:id="1020" w:name="_Toc15800"/>
      <w:bookmarkStart w:id="1021" w:name="_Toc15005_WPSOffice_Level2"/>
      <w:bookmarkStart w:id="1022" w:name="_Toc32_WPSOffice_Level2"/>
      <w:bookmarkStart w:id="1023" w:name="_Toc8289"/>
      <w:bookmarkStart w:id="1024" w:name="_Toc465945245"/>
      <w:bookmarkStart w:id="1025" w:name="_Toc12346"/>
    </w:p>
    <w:p w14:paraId="17C4324F">
      <w:pPr>
        <w:adjustRightInd w:val="0"/>
        <w:snapToGrid w:val="0"/>
        <w:spacing w:line="480" w:lineRule="auto"/>
        <w:ind w:firstLine="5196" w:firstLineChars="2362"/>
        <w:rPr>
          <w:rStyle w:val="373"/>
          <w:rFonts w:hint="eastAsia" w:ascii="宋体" w:hAnsi="宋体" w:cs="宋体"/>
          <w:color w:val="000000" w:themeColor="text1"/>
          <w:highlight w:val="none"/>
          <w14:textFill>
            <w14:solidFill>
              <w14:schemeClr w14:val="tx1"/>
            </w14:solidFill>
          </w14:textFill>
        </w:rPr>
      </w:pPr>
    </w:p>
    <w:p w14:paraId="42BB02EE">
      <w:pPr>
        <w:adjustRightInd w:val="0"/>
        <w:snapToGrid w:val="0"/>
        <w:spacing w:line="480" w:lineRule="auto"/>
        <w:ind w:firstLine="5196" w:firstLineChars="2362"/>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投标人：</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u w:val="single"/>
          <w:lang w:val="en-US" w:eastAsia="zh-CN"/>
          <w14:textFill>
            <w14:solidFill>
              <w14:schemeClr w14:val="tx1"/>
            </w14:solidFill>
          </w14:textFill>
        </w:rPr>
        <w:t xml:space="preserve">    </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（电子签章）</w:t>
      </w:r>
      <w:r>
        <w:rPr>
          <w:rStyle w:val="373"/>
          <w:rFonts w:ascii="宋体" w:hAnsi="宋体" w:cs="宋体"/>
          <w:color w:val="000000" w:themeColor="text1"/>
          <w:highlight w:val="none"/>
          <w14:textFill>
            <w14:solidFill>
              <w14:schemeClr w14:val="tx1"/>
            </w14:solidFill>
          </w14:textFill>
        </w:rPr>
        <w:t xml:space="preserve">        </w:t>
      </w:r>
    </w:p>
    <w:p w14:paraId="04E75B1F">
      <w:pPr>
        <w:spacing w:line="480" w:lineRule="exact"/>
        <w:ind w:firstLine="3300" w:firstLineChars="1500"/>
        <w:jc w:val="lef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r>
        <w:rPr>
          <w:rFonts w:hint="eastAsia" w:cs="宋体"/>
          <w:color w:val="000000" w:themeColor="text1"/>
          <w:highlight w:val="none"/>
          <w14:textFill>
            <w14:solidFill>
              <w14:schemeClr w14:val="tx1"/>
            </w14:solidFill>
          </w14:textFill>
        </w:rPr>
        <w:t>或其委托代理人</w:t>
      </w: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_________</w:t>
      </w:r>
      <w:r>
        <w:rPr>
          <w:rFonts w:hint="eastAsia" w:ascii="宋体" w:hAnsi="宋体" w:cs="宋体"/>
          <w:color w:val="000000" w:themeColor="text1"/>
          <w:highlight w:val="none"/>
          <w14:textFill>
            <w14:solidFill>
              <w14:schemeClr w14:val="tx1"/>
            </w14:solidFill>
          </w14:textFill>
        </w:rPr>
        <w:t>（电子签章）</w:t>
      </w:r>
    </w:p>
    <w:p w14:paraId="5BFEB957">
      <w:pPr>
        <w:adjustRightInd w:val="0"/>
        <w:snapToGrid w:val="0"/>
        <w:spacing w:line="480" w:lineRule="auto"/>
        <w:ind w:firstLine="5060" w:firstLineChars="23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lang w:val="en-US" w:eastAsia="zh-CN"/>
          <w14:textFill>
            <w14:solidFill>
              <w14:schemeClr w14:val="tx1"/>
            </w14:solidFill>
          </w14:textFill>
        </w:rPr>
        <w:t xml:space="preserve"> </w:t>
      </w:r>
      <w:r>
        <w:rPr>
          <w:rStyle w:val="373"/>
          <w:rFonts w:ascii="宋体" w:hAnsi="宋体" w:cs="宋体"/>
          <w:color w:val="000000" w:themeColor="text1"/>
          <w:highlight w:val="none"/>
          <w14:textFill>
            <w14:solidFill>
              <w14:schemeClr w14:val="tx1"/>
            </w14:solidFill>
          </w14:textFill>
        </w:rPr>
        <w:t xml:space="preserve">             </w:t>
      </w:r>
    </w:p>
    <w:p w14:paraId="124818F9">
      <w:pPr>
        <w:widowControl w:val="0"/>
        <w:spacing w:line="560" w:lineRule="exact"/>
        <w:ind w:left="0" w:leftChars="0" w:firstLine="0" w:firstLineChars="0"/>
        <w:jc w:val="center"/>
        <w:rPr>
          <w:rFonts w:hint="eastAsia" w:ascii="宋体" w:hAnsi="宋体" w:cs="宋体"/>
          <w:color w:val="auto"/>
          <w:kern w:val="2"/>
          <w:sz w:val="24"/>
          <w:szCs w:val="21"/>
          <w:highlight w:val="none"/>
        </w:rPr>
      </w:pPr>
      <w:r>
        <w:rPr>
          <w:rStyle w:val="373"/>
          <w:rFonts w:hint="eastAsia" w:ascii="宋体" w:hAnsi="宋体" w:cs="宋体"/>
          <w:color w:val="000000" w:themeColor="text1"/>
          <w:highlight w:val="none"/>
          <w14:textFill>
            <w14:solidFill>
              <w14:schemeClr w14:val="tx1"/>
            </w14:solidFill>
          </w14:textFill>
        </w:rPr>
        <w:t>年</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月</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日</w:t>
      </w:r>
      <w:r>
        <w:rPr>
          <w:rFonts w:hint="eastAsia" w:ascii="宋体" w:hAnsi="宋体" w:cs="宋体"/>
          <w:color w:val="auto"/>
          <w:kern w:val="2"/>
          <w:sz w:val="24"/>
          <w:szCs w:val="21"/>
          <w:highlight w:val="none"/>
        </w:rPr>
        <w:br w:type="page"/>
      </w:r>
      <w:bookmarkEnd w:id="1015"/>
      <w:bookmarkEnd w:id="1016"/>
      <w:bookmarkEnd w:id="1017"/>
      <w:bookmarkEnd w:id="1018"/>
      <w:bookmarkEnd w:id="1019"/>
      <w:bookmarkEnd w:id="1020"/>
      <w:bookmarkEnd w:id="1021"/>
      <w:bookmarkEnd w:id="1022"/>
      <w:bookmarkEnd w:id="1023"/>
      <w:bookmarkEnd w:id="1024"/>
      <w:bookmarkEnd w:id="1025"/>
      <w:bookmarkStart w:id="1026" w:name="_Toc27296"/>
      <w:bookmarkStart w:id="1027" w:name="_Toc30796"/>
      <w:bookmarkStart w:id="1028" w:name="_Toc6176"/>
      <w:bookmarkStart w:id="1029" w:name="_Toc8733"/>
      <w:bookmarkStart w:id="1030" w:name="_Toc4954"/>
      <w:bookmarkStart w:id="1031" w:name="_Toc25525_WPSOffice_Level2"/>
      <w:bookmarkStart w:id="1032" w:name="_Toc5993_WPSOffice_Level2"/>
      <w:bookmarkStart w:id="1033" w:name="_Toc23039"/>
      <w:bookmarkStart w:id="1034" w:name="_Toc465945240"/>
      <w:bookmarkStart w:id="1035" w:name="_Toc32432_WPSOffice_Level2"/>
      <w:bookmarkStart w:id="1036" w:name="_Toc23660"/>
      <w:bookmarkStart w:id="1037" w:name="_Toc4248_WPSOffice_Level2"/>
      <w:bookmarkStart w:id="1038" w:name="_Toc28850"/>
      <w:bookmarkStart w:id="1039" w:name="_Toc15866"/>
      <w:bookmarkStart w:id="1040" w:name="_Toc23192"/>
      <w:bookmarkStart w:id="1041" w:name="_Toc8488"/>
      <w:bookmarkStart w:id="1042" w:name="_Toc17387"/>
      <w:bookmarkStart w:id="1043" w:name="_Toc22704"/>
      <w:r>
        <w:rPr>
          <w:rFonts w:hint="eastAsia" w:ascii="宋体" w:hAnsi="宋体" w:cs="宋体"/>
          <w:b/>
          <w:bCs/>
          <w:color w:val="auto"/>
          <w:kern w:val="2"/>
          <w:sz w:val="24"/>
          <w:szCs w:val="21"/>
          <w:highlight w:val="none"/>
          <w:lang w:val="en-US" w:eastAsia="zh-CN"/>
        </w:rPr>
        <w:t>三</w:t>
      </w:r>
      <w:r>
        <w:rPr>
          <w:rFonts w:hint="eastAsia" w:ascii="宋体" w:hAnsi="宋体" w:cs="宋体"/>
          <w:b/>
          <w:bCs/>
          <w:color w:val="auto"/>
          <w:kern w:val="2"/>
          <w:sz w:val="24"/>
          <w:szCs w:val="21"/>
          <w:highlight w:val="none"/>
        </w:rPr>
        <w:t>、</w:t>
      </w:r>
      <w:bookmarkEnd w:id="1026"/>
      <w:bookmarkEnd w:id="1027"/>
      <w:bookmarkEnd w:id="1028"/>
      <w:bookmarkEnd w:id="1029"/>
      <w:bookmarkEnd w:id="1030"/>
      <w:r>
        <w:rPr>
          <w:rFonts w:hint="eastAsia" w:ascii="宋体" w:hAnsi="宋体" w:cs="宋体"/>
          <w:b/>
          <w:bCs/>
          <w:color w:val="auto"/>
          <w:kern w:val="2"/>
          <w:sz w:val="24"/>
          <w:szCs w:val="21"/>
          <w:highlight w:val="none"/>
          <w:lang w:val="en-US" w:eastAsia="zh-CN"/>
        </w:rPr>
        <w:t>项目管理机构配置表</w:t>
      </w:r>
      <w:bookmarkStart w:id="1044" w:name="_Toc20789"/>
      <w:bookmarkStart w:id="1045" w:name="_Toc1789"/>
    </w:p>
    <w:bookmarkEnd w:id="1044"/>
    <w:bookmarkEnd w:id="1045"/>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403"/>
      </w:tblGrid>
      <w:tr w14:paraId="684F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AEE262A">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7676546C">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3C1BAE69">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5A1D949B">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1194583C">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42065A41">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3152AB63">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7207DCAE">
            <w:pPr>
              <w:widowControl w:val="0"/>
              <w:autoSpaceDE w:val="0"/>
              <w:autoSpaceDN w:val="0"/>
              <w:adjustRightInd w:val="0"/>
              <w:ind w:firstLine="0"/>
              <w:jc w:val="center"/>
              <w:rPr>
                <w:rFonts w:hint="eastAsia" w:ascii="宋体" w:hAnsi="宋体" w:cs="宋体"/>
                <w:color w:val="auto"/>
                <w:kern w:val="2"/>
                <w:highlight w:val="none"/>
              </w:rPr>
            </w:pPr>
            <w:r>
              <w:rPr>
                <w:rFonts w:hint="eastAsia" w:ascii="宋体" w:hAnsi="宋体" w:cs="宋体"/>
                <w:color w:val="auto"/>
                <w:kern w:val="2"/>
                <w:highlight w:val="none"/>
              </w:rPr>
              <w:t>岗位证书（资格证书）及编号</w:t>
            </w:r>
          </w:p>
        </w:tc>
        <w:tc>
          <w:tcPr>
            <w:tcW w:w="1403" w:type="dxa"/>
            <w:tcBorders>
              <w:top w:val="single" w:color="auto" w:sz="4" w:space="0"/>
              <w:left w:val="single" w:color="auto" w:sz="4" w:space="0"/>
              <w:bottom w:val="single" w:color="auto" w:sz="4" w:space="0"/>
              <w:right w:val="single" w:color="auto" w:sz="4" w:space="0"/>
            </w:tcBorders>
            <w:vAlign w:val="center"/>
          </w:tcPr>
          <w:p w14:paraId="2E4F23D8">
            <w:pPr>
              <w:widowControl w:val="0"/>
              <w:autoSpaceDE w:val="0"/>
              <w:autoSpaceDN w:val="0"/>
              <w:adjustRightInd w:val="0"/>
              <w:ind w:firstLine="0"/>
              <w:jc w:val="center"/>
              <w:rPr>
                <w:rFonts w:hint="eastAsia" w:ascii="宋体" w:hAnsi="宋体" w:eastAsia="宋体" w:cs="宋体"/>
                <w:color w:val="auto"/>
                <w:kern w:val="2"/>
                <w:highlight w:val="none"/>
                <w:lang w:val="en-US" w:eastAsia="zh-CN"/>
              </w:rPr>
            </w:pPr>
            <w:r>
              <w:rPr>
                <w:rFonts w:hint="eastAsia" w:ascii="宋体" w:hAnsi="宋体" w:cs="宋体"/>
                <w:color w:val="auto"/>
                <w:kern w:val="2"/>
                <w:highlight w:val="none"/>
                <w:lang w:val="en-US" w:eastAsia="zh-CN"/>
              </w:rPr>
              <w:t>备注</w:t>
            </w:r>
          </w:p>
        </w:tc>
      </w:tr>
      <w:tr w14:paraId="7C53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34A3140">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EAEB53E">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1BC831F">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67D82FF">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50096548">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3D8BB4D">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70075C18">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4E9B2C5D">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5345923F">
            <w:pPr>
              <w:widowControl w:val="0"/>
              <w:autoSpaceDE w:val="0"/>
              <w:autoSpaceDN w:val="0"/>
              <w:adjustRightInd w:val="0"/>
              <w:ind w:firstLine="0"/>
              <w:jc w:val="center"/>
              <w:rPr>
                <w:rFonts w:hint="eastAsia" w:ascii="宋体" w:hAnsi="宋体" w:cs="宋体"/>
                <w:color w:val="auto"/>
                <w:kern w:val="2"/>
                <w:highlight w:val="none"/>
              </w:rPr>
            </w:pPr>
          </w:p>
        </w:tc>
      </w:tr>
      <w:tr w14:paraId="245B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EB4C780">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4ABF12">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8E348CA">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8BAC709">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49C0FC0E">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74D8649">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1435B199">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75B32D86">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0EE33123">
            <w:pPr>
              <w:widowControl w:val="0"/>
              <w:autoSpaceDE w:val="0"/>
              <w:autoSpaceDN w:val="0"/>
              <w:adjustRightInd w:val="0"/>
              <w:ind w:firstLine="0"/>
              <w:jc w:val="center"/>
              <w:rPr>
                <w:rFonts w:hint="eastAsia" w:ascii="宋体" w:hAnsi="宋体" w:cs="宋体"/>
                <w:color w:val="auto"/>
                <w:kern w:val="2"/>
                <w:highlight w:val="none"/>
              </w:rPr>
            </w:pPr>
          </w:p>
        </w:tc>
      </w:tr>
      <w:tr w14:paraId="4E86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759A9F1">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06F9A10">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392B4D2">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6CC965B">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7DD16DEF">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61EF69">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5820F283">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5D973F4A">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15876388">
            <w:pPr>
              <w:widowControl w:val="0"/>
              <w:ind w:firstLine="0"/>
              <w:jc w:val="both"/>
              <w:rPr>
                <w:rFonts w:hint="eastAsia" w:ascii="宋体" w:hAnsi="宋体" w:cs="宋体"/>
                <w:color w:val="auto"/>
                <w:kern w:val="2"/>
                <w:highlight w:val="none"/>
              </w:rPr>
            </w:pPr>
          </w:p>
        </w:tc>
      </w:tr>
      <w:tr w14:paraId="6FD4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C282F02">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FFD3483">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C1AFC99">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DB0B297">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0D758CA7">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8F736C1">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5C540885">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5DFA098B">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111ECA1E">
            <w:pPr>
              <w:widowControl w:val="0"/>
              <w:autoSpaceDE w:val="0"/>
              <w:autoSpaceDN w:val="0"/>
              <w:adjustRightInd w:val="0"/>
              <w:ind w:firstLine="0"/>
              <w:jc w:val="both"/>
              <w:rPr>
                <w:rFonts w:hint="eastAsia" w:ascii="宋体" w:hAnsi="宋体" w:cs="宋体"/>
                <w:color w:val="auto"/>
                <w:kern w:val="2"/>
                <w:highlight w:val="none"/>
              </w:rPr>
            </w:pPr>
          </w:p>
        </w:tc>
      </w:tr>
      <w:tr w14:paraId="5E20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1F89CDF">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D6B11BE">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3F982CE">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F705A61">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4C543DC6">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77A278">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1ED390EE">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564EAFC8">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3AE9CBDE">
            <w:pPr>
              <w:widowControl w:val="0"/>
              <w:autoSpaceDE w:val="0"/>
              <w:autoSpaceDN w:val="0"/>
              <w:adjustRightInd w:val="0"/>
              <w:ind w:firstLine="0"/>
              <w:jc w:val="both"/>
              <w:rPr>
                <w:rFonts w:hint="eastAsia" w:ascii="宋体" w:hAnsi="宋体" w:cs="宋体"/>
                <w:color w:val="auto"/>
                <w:kern w:val="2"/>
                <w:highlight w:val="none"/>
              </w:rPr>
            </w:pPr>
          </w:p>
        </w:tc>
      </w:tr>
      <w:tr w14:paraId="4D17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FBCFF2D">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B675172">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302A0B">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8859D30">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6DC330B4">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4913805">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625C1458">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48D9A6C5">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27BEED7B">
            <w:pPr>
              <w:widowControl w:val="0"/>
              <w:autoSpaceDE w:val="0"/>
              <w:autoSpaceDN w:val="0"/>
              <w:adjustRightInd w:val="0"/>
              <w:ind w:firstLine="0"/>
              <w:jc w:val="center"/>
              <w:rPr>
                <w:rFonts w:hint="eastAsia" w:ascii="宋体" w:hAnsi="宋体" w:cs="宋体"/>
                <w:color w:val="auto"/>
                <w:kern w:val="2"/>
                <w:highlight w:val="none"/>
              </w:rPr>
            </w:pPr>
          </w:p>
        </w:tc>
      </w:tr>
      <w:tr w14:paraId="1898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46AB7A0">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F05DED6">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02044CC">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D96DA72">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6AC34CD2">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BF869F8">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79AF2821">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5C03CA19">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7750521F">
            <w:pPr>
              <w:widowControl w:val="0"/>
              <w:autoSpaceDE w:val="0"/>
              <w:autoSpaceDN w:val="0"/>
              <w:adjustRightInd w:val="0"/>
              <w:ind w:firstLine="0"/>
              <w:jc w:val="center"/>
              <w:rPr>
                <w:rFonts w:hint="eastAsia" w:ascii="宋体" w:hAnsi="宋体" w:cs="宋体"/>
                <w:color w:val="auto"/>
                <w:kern w:val="2"/>
                <w:highlight w:val="none"/>
              </w:rPr>
            </w:pPr>
          </w:p>
        </w:tc>
      </w:tr>
      <w:tr w14:paraId="1F8C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40260E1">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B99040F">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5904F03">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8E77C87">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2BE9F273">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4D96DB2">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4A84269D">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77165F50">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3AD2A9CC">
            <w:pPr>
              <w:widowControl w:val="0"/>
              <w:autoSpaceDE w:val="0"/>
              <w:autoSpaceDN w:val="0"/>
              <w:adjustRightInd w:val="0"/>
              <w:ind w:firstLine="0"/>
              <w:jc w:val="center"/>
              <w:rPr>
                <w:rFonts w:hint="eastAsia" w:ascii="宋体" w:hAnsi="宋体" w:cs="宋体"/>
                <w:color w:val="auto"/>
                <w:kern w:val="2"/>
                <w:highlight w:val="none"/>
              </w:rPr>
            </w:pPr>
          </w:p>
        </w:tc>
      </w:tr>
      <w:tr w14:paraId="2869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1EC5C37">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E71767D">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E086214">
            <w:pPr>
              <w:widowControl w:val="0"/>
              <w:autoSpaceDE w:val="0"/>
              <w:autoSpaceDN w:val="0"/>
              <w:adjustRightInd w:val="0"/>
              <w:ind w:firstLine="0"/>
              <w:jc w:val="center"/>
              <w:rPr>
                <w:rFonts w:hint="eastAsia" w:ascii="宋体" w:hAnsi="宋体" w:cs="宋体"/>
                <w:color w:val="auto"/>
                <w:kern w:val="2"/>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76B7A46">
            <w:pPr>
              <w:widowControl w:val="0"/>
              <w:autoSpaceDE w:val="0"/>
              <w:autoSpaceDN w:val="0"/>
              <w:adjustRightInd w:val="0"/>
              <w:ind w:firstLine="0"/>
              <w:jc w:val="center"/>
              <w:rPr>
                <w:rFonts w:hint="eastAsia" w:ascii="宋体" w:hAnsi="宋体" w:cs="宋体"/>
                <w:color w:val="auto"/>
                <w:kern w:val="2"/>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15E412D1">
            <w:pPr>
              <w:widowControl w:val="0"/>
              <w:autoSpaceDE w:val="0"/>
              <w:autoSpaceDN w:val="0"/>
              <w:adjustRightInd w:val="0"/>
              <w:ind w:firstLine="0"/>
              <w:jc w:val="center"/>
              <w:rPr>
                <w:rFonts w:hint="eastAsia" w:ascii="宋体" w:hAnsi="宋体" w:cs="宋体"/>
                <w:color w:val="auto"/>
                <w:kern w:val="2"/>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C346B81">
            <w:pPr>
              <w:widowControl w:val="0"/>
              <w:autoSpaceDE w:val="0"/>
              <w:autoSpaceDN w:val="0"/>
              <w:adjustRightInd w:val="0"/>
              <w:ind w:firstLine="0"/>
              <w:jc w:val="center"/>
              <w:rPr>
                <w:rFonts w:hint="eastAsia" w:ascii="宋体" w:hAnsi="宋体" w:cs="宋体"/>
                <w:color w:val="auto"/>
                <w:kern w:val="2"/>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41608F93">
            <w:pPr>
              <w:widowControl w:val="0"/>
              <w:autoSpaceDE w:val="0"/>
              <w:autoSpaceDN w:val="0"/>
              <w:adjustRightInd w:val="0"/>
              <w:ind w:firstLine="0"/>
              <w:jc w:val="center"/>
              <w:rPr>
                <w:rFonts w:hint="eastAsia" w:ascii="宋体" w:hAnsi="宋体" w:cs="宋体"/>
                <w:color w:val="auto"/>
                <w:kern w:val="2"/>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6E291C3C">
            <w:pPr>
              <w:widowControl w:val="0"/>
              <w:autoSpaceDE w:val="0"/>
              <w:autoSpaceDN w:val="0"/>
              <w:adjustRightInd w:val="0"/>
              <w:ind w:firstLine="0"/>
              <w:jc w:val="center"/>
              <w:rPr>
                <w:rFonts w:hint="eastAsia" w:ascii="宋体" w:hAnsi="宋体" w:cs="宋体"/>
                <w:color w:val="auto"/>
                <w:kern w:val="2"/>
                <w:highlight w:val="none"/>
              </w:rPr>
            </w:pPr>
          </w:p>
        </w:tc>
        <w:tc>
          <w:tcPr>
            <w:tcW w:w="1403" w:type="dxa"/>
            <w:tcBorders>
              <w:top w:val="single" w:color="auto" w:sz="4" w:space="0"/>
              <w:left w:val="single" w:color="auto" w:sz="4" w:space="0"/>
              <w:bottom w:val="single" w:color="auto" w:sz="4" w:space="0"/>
              <w:right w:val="single" w:color="auto" w:sz="4" w:space="0"/>
            </w:tcBorders>
            <w:vAlign w:val="center"/>
          </w:tcPr>
          <w:p w14:paraId="3305ECD1">
            <w:pPr>
              <w:widowControl w:val="0"/>
              <w:autoSpaceDE w:val="0"/>
              <w:autoSpaceDN w:val="0"/>
              <w:adjustRightInd w:val="0"/>
              <w:ind w:firstLine="0"/>
              <w:jc w:val="center"/>
              <w:rPr>
                <w:rFonts w:hint="eastAsia" w:ascii="宋体" w:hAnsi="宋体" w:cs="宋体"/>
                <w:color w:val="auto"/>
                <w:kern w:val="2"/>
                <w:highlight w:val="none"/>
              </w:rPr>
            </w:pPr>
          </w:p>
        </w:tc>
      </w:tr>
    </w:tbl>
    <w:p w14:paraId="771379E6">
      <w:pPr>
        <w:widowControl w:val="0"/>
        <w:spacing w:line="360" w:lineRule="auto"/>
        <w:ind w:firstLine="632" w:firstLineChars="350"/>
        <w:jc w:val="both"/>
        <w:rPr>
          <w:rFonts w:hint="eastAsia" w:ascii="宋体" w:hAnsi="宋体" w:cs="宋体"/>
          <w:color w:val="auto"/>
          <w:kern w:val="2"/>
          <w:sz w:val="18"/>
          <w:szCs w:val="18"/>
          <w:highlight w:val="none"/>
        </w:rPr>
      </w:pPr>
      <w:r>
        <w:rPr>
          <w:rFonts w:hint="eastAsia" w:ascii="宋体" w:hAnsi="宋体" w:cs="宋体"/>
          <w:b/>
          <w:color w:val="auto"/>
          <w:kern w:val="2"/>
          <w:sz w:val="18"/>
          <w:szCs w:val="18"/>
          <w:highlight w:val="none"/>
        </w:rPr>
        <w:t>注：</w:t>
      </w:r>
      <w:r>
        <w:rPr>
          <w:rFonts w:hint="eastAsia" w:ascii="宋体" w:hAnsi="宋体" w:cs="宋体"/>
          <w:b/>
          <w:color w:val="auto"/>
          <w:kern w:val="2"/>
          <w:sz w:val="18"/>
          <w:szCs w:val="18"/>
          <w:highlight w:val="none"/>
          <w:lang w:val="en-US" w:eastAsia="zh-CN"/>
        </w:rPr>
        <w:t>拟配置人员应附</w:t>
      </w:r>
      <w:r>
        <w:rPr>
          <w:rFonts w:hint="eastAsia" w:ascii="宋体" w:hAnsi="宋体" w:cs="宋体"/>
          <w:b/>
          <w:color w:val="auto"/>
          <w:kern w:val="2"/>
          <w:sz w:val="18"/>
          <w:szCs w:val="18"/>
          <w:highlight w:val="none"/>
        </w:rPr>
        <w:t>相关证书及资料：身份证、</w:t>
      </w:r>
      <w:r>
        <w:rPr>
          <w:rFonts w:hint="eastAsia" w:ascii="宋体" w:hAnsi="宋体" w:cs="宋体"/>
          <w:b/>
          <w:color w:val="auto"/>
          <w:kern w:val="2"/>
          <w:sz w:val="18"/>
          <w:szCs w:val="18"/>
          <w:highlight w:val="none"/>
          <w:lang w:eastAsia="zh-CN"/>
        </w:rPr>
        <w:t>劳动合同、</w:t>
      </w:r>
      <w:r>
        <w:rPr>
          <w:rFonts w:hint="eastAsia" w:ascii="宋体" w:hAnsi="宋体" w:cs="宋体"/>
          <w:b/>
          <w:color w:val="auto"/>
          <w:kern w:val="2"/>
          <w:sz w:val="18"/>
          <w:szCs w:val="18"/>
          <w:highlight w:val="none"/>
        </w:rPr>
        <w:t>社保证明、毕业证（若有）、职称证（若有）、注册证（若有）、资格证书（若有）、岗位证书（若有）。</w:t>
      </w:r>
    </w:p>
    <w:p w14:paraId="78463845">
      <w:pPr>
        <w:widowControl w:val="0"/>
        <w:spacing w:line="560" w:lineRule="exact"/>
        <w:ind w:firstLine="480" w:firstLineChars="200"/>
        <w:jc w:val="both"/>
        <w:rPr>
          <w:rFonts w:hint="eastAsia" w:ascii="宋体" w:hAnsi="宋体" w:cs="宋体"/>
          <w:color w:val="auto"/>
          <w:kern w:val="2"/>
          <w:sz w:val="24"/>
          <w:szCs w:val="21"/>
          <w:highlight w:val="none"/>
          <w:lang w:val="zh-CN"/>
        </w:rPr>
      </w:pPr>
    </w:p>
    <w:p w14:paraId="41362701">
      <w:pPr>
        <w:adjustRightInd w:val="0"/>
        <w:snapToGrid w:val="0"/>
        <w:spacing w:line="480" w:lineRule="auto"/>
        <w:ind w:firstLine="5196" w:firstLineChars="2362"/>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14:textFill>
            <w14:solidFill>
              <w14:schemeClr w14:val="tx1"/>
            </w14:solidFill>
          </w14:textFill>
        </w:rPr>
        <w:t>投标人：</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u w:val="single"/>
          <w:lang w:val="en-US" w:eastAsia="zh-CN"/>
          <w14:textFill>
            <w14:solidFill>
              <w14:schemeClr w14:val="tx1"/>
            </w14:solidFill>
          </w14:textFill>
        </w:rPr>
        <w:t xml:space="preserve">    </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（电子签章）</w:t>
      </w:r>
      <w:r>
        <w:rPr>
          <w:rStyle w:val="373"/>
          <w:rFonts w:ascii="宋体" w:hAnsi="宋体" w:cs="宋体"/>
          <w:color w:val="000000" w:themeColor="text1"/>
          <w:highlight w:val="none"/>
          <w14:textFill>
            <w14:solidFill>
              <w14:schemeClr w14:val="tx1"/>
            </w14:solidFill>
          </w14:textFill>
        </w:rPr>
        <w:t xml:space="preserve">        </w:t>
      </w:r>
    </w:p>
    <w:p w14:paraId="13E9F326">
      <w:pPr>
        <w:spacing w:line="480" w:lineRule="exact"/>
        <w:ind w:firstLine="3300" w:firstLineChars="1500"/>
        <w:jc w:val="left"/>
        <w:rPr>
          <w:rFonts w:ascii="宋体"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r>
        <w:rPr>
          <w:rFonts w:hint="eastAsia" w:cs="宋体"/>
          <w:color w:val="000000" w:themeColor="text1"/>
          <w:highlight w:val="none"/>
          <w14:textFill>
            <w14:solidFill>
              <w14:schemeClr w14:val="tx1"/>
            </w14:solidFill>
          </w14:textFill>
        </w:rPr>
        <w:t>或其委托代理人</w:t>
      </w: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_________</w:t>
      </w:r>
      <w:r>
        <w:rPr>
          <w:rFonts w:hint="eastAsia" w:ascii="宋体" w:hAnsi="宋体" w:cs="宋体"/>
          <w:color w:val="000000" w:themeColor="text1"/>
          <w:highlight w:val="none"/>
          <w14:textFill>
            <w14:solidFill>
              <w14:schemeClr w14:val="tx1"/>
            </w14:solidFill>
          </w14:textFill>
        </w:rPr>
        <w:t>（电子签章）</w:t>
      </w:r>
    </w:p>
    <w:p w14:paraId="6F8BD1C8">
      <w:pPr>
        <w:adjustRightInd w:val="0"/>
        <w:snapToGrid w:val="0"/>
        <w:spacing w:line="480" w:lineRule="auto"/>
        <w:ind w:firstLine="5060" w:firstLineChars="2300"/>
        <w:rPr>
          <w:rStyle w:val="373"/>
          <w:rFonts w:ascii="宋体" w:hAnsi="Times New Roman" w:cs="Times New Roman"/>
          <w:color w:val="000000" w:themeColor="text1"/>
          <w:highlight w:val="none"/>
          <w14:textFill>
            <w14:solidFill>
              <w14:schemeClr w14:val="tx1"/>
            </w14:solidFill>
          </w14:textFill>
        </w:rPr>
      </w:pPr>
      <w:r>
        <w:rPr>
          <w:rStyle w:val="373"/>
          <w:rFonts w:hint="eastAsia" w:ascii="宋体" w:hAnsi="宋体" w:cs="宋体"/>
          <w:color w:val="000000" w:themeColor="text1"/>
          <w:highlight w:val="none"/>
          <w:lang w:val="en-US" w:eastAsia="zh-CN"/>
          <w14:textFill>
            <w14:solidFill>
              <w14:schemeClr w14:val="tx1"/>
            </w14:solidFill>
          </w14:textFill>
        </w:rPr>
        <w:t xml:space="preserve"> </w:t>
      </w:r>
      <w:r>
        <w:rPr>
          <w:rStyle w:val="373"/>
          <w:rFonts w:ascii="宋体" w:hAnsi="宋体" w:cs="宋体"/>
          <w:color w:val="000000" w:themeColor="text1"/>
          <w:highlight w:val="none"/>
          <w14:textFill>
            <w14:solidFill>
              <w14:schemeClr w14:val="tx1"/>
            </w14:solidFill>
          </w14:textFill>
        </w:rPr>
        <w:t xml:space="preserve">             </w:t>
      </w:r>
    </w:p>
    <w:p w14:paraId="416C33A9">
      <w:pPr>
        <w:keepNext/>
        <w:keepLines/>
        <w:widowControl w:val="0"/>
        <w:spacing w:before="260" w:after="260" w:line="416" w:lineRule="auto"/>
        <w:ind w:left="0" w:leftChars="0" w:firstLine="0" w:firstLineChars="0"/>
        <w:jc w:val="center"/>
        <w:outlineLvl w:val="1"/>
        <w:rPr>
          <w:rFonts w:hint="eastAsia" w:ascii="宋体" w:hAnsi="宋体" w:cs="宋体"/>
          <w:b/>
          <w:bCs/>
          <w:color w:val="auto"/>
          <w:kern w:val="2"/>
          <w:sz w:val="24"/>
          <w:szCs w:val="32"/>
          <w:highlight w:val="none"/>
          <w:lang w:val="zh-CN"/>
        </w:rPr>
      </w:pPr>
      <w:r>
        <w:rPr>
          <w:rStyle w:val="373"/>
          <w:rFonts w:ascii="宋体" w:hAnsi="宋体" w:cs="宋体"/>
          <w:color w:val="000000" w:themeColor="text1"/>
          <w:highlight w:val="none"/>
          <w14:textFill>
            <w14:solidFill>
              <w14:schemeClr w14:val="tx1"/>
            </w14:solidFill>
          </w14:textFill>
        </w:rPr>
        <w:t xml:space="preserve">      </w:t>
      </w:r>
      <w:r>
        <w:rPr>
          <w:rStyle w:val="373"/>
          <w:rFonts w:hint="eastAsia" w:ascii="宋体" w:hAnsi="宋体" w:cs="宋体"/>
          <w:color w:val="000000" w:themeColor="text1"/>
          <w:highlight w:val="none"/>
          <w:lang w:val="en-US" w:eastAsia="zh-CN"/>
          <w14:textFill>
            <w14:solidFill>
              <w14:schemeClr w14:val="tx1"/>
            </w14:solidFill>
          </w14:textFill>
        </w:rPr>
        <w:t xml:space="preserve">                                   </w:t>
      </w:r>
      <w:r>
        <w:rPr>
          <w:rStyle w:val="373"/>
          <w:rFonts w:hint="eastAsia" w:ascii="宋体" w:hAnsi="宋体" w:cs="宋体"/>
          <w:color w:val="000000" w:themeColor="text1"/>
          <w:highlight w:val="none"/>
          <w:u w:val="single"/>
          <w:lang w:val="en-US" w:eastAsia="zh-CN"/>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年</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月</w:t>
      </w:r>
      <w:r>
        <w:rPr>
          <w:rStyle w:val="373"/>
          <w:rFonts w:ascii="宋体" w:hAnsi="宋体" w:cs="宋体"/>
          <w:color w:val="000000" w:themeColor="text1"/>
          <w:highlight w:val="none"/>
          <w:u w:val="single"/>
          <w14:textFill>
            <w14:solidFill>
              <w14:schemeClr w14:val="tx1"/>
            </w14:solidFill>
          </w14:textFill>
        </w:rPr>
        <w:t xml:space="preserve">    </w:t>
      </w:r>
      <w:r>
        <w:rPr>
          <w:rStyle w:val="373"/>
          <w:rFonts w:hint="eastAsia" w:ascii="宋体" w:hAnsi="宋体" w:cs="宋体"/>
          <w:color w:val="000000" w:themeColor="text1"/>
          <w:highlight w:val="none"/>
          <w14:textFill>
            <w14:solidFill>
              <w14:schemeClr w14:val="tx1"/>
            </w14:solidFill>
          </w14:textFill>
        </w:rPr>
        <w:t>日</w:t>
      </w:r>
      <w:r>
        <w:rPr>
          <w:rFonts w:hint="eastAsia" w:ascii="宋体" w:hAnsi="宋体" w:cs="宋体"/>
          <w:color w:val="auto"/>
          <w:kern w:val="2"/>
          <w:sz w:val="24"/>
          <w:szCs w:val="21"/>
          <w:highlight w:val="none"/>
          <w:lang w:val="zh-CN"/>
        </w:rPr>
        <w:br w:type="page"/>
      </w:r>
      <w:bookmarkStart w:id="1046" w:name="_Toc28011_WPSOffice_Level2"/>
      <w:bookmarkStart w:id="1047" w:name="_Toc12888_WPSOffice_Level2"/>
      <w:bookmarkStart w:id="1048" w:name="_Toc9505_WPSOffice_Level2"/>
      <w:bookmarkStart w:id="1049" w:name="_Toc17749"/>
      <w:bookmarkStart w:id="1050" w:name="_Toc20476"/>
      <w:bookmarkStart w:id="1051" w:name="_Toc1118"/>
      <w:bookmarkStart w:id="1052" w:name="_Toc32090"/>
      <w:bookmarkStart w:id="1053" w:name="_Toc7789"/>
      <w:bookmarkStart w:id="1054" w:name="_Toc19559"/>
      <w:bookmarkStart w:id="1055" w:name="_Toc19764"/>
      <w:bookmarkStart w:id="1056" w:name="_Toc3507"/>
      <w:bookmarkStart w:id="1057" w:name="_Toc1233"/>
      <w:bookmarkStart w:id="1058" w:name="_Toc19402"/>
      <w:r>
        <w:rPr>
          <w:rFonts w:hint="eastAsia" w:ascii="宋体" w:hAnsi="宋体" w:cs="宋体"/>
          <w:b/>
          <w:bCs/>
          <w:color w:val="auto"/>
          <w:kern w:val="2"/>
          <w:sz w:val="24"/>
          <w:szCs w:val="32"/>
          <w:highlight w:val="none"/>
          <w:lang w:val="en-US" w:eastAsia="zh-CN"/>
        </w:rPr>
        <w:t>四</w:t>
      </w:r>
      <w:r>
        <w:rPr>
          <w:rFonts w:hint="eastAsia" w:ascii="宋体" w:hAnsi="宋体" w:cs="宋体"/>
          <w:b/>
          <w:bCs/>
          <w:color w:val="auto"/>
          <w:kern w:val="2"/>
          <w:sz w:val="24"/>
          <w:szCs w:val="32"/>
          <w:highlight w:val="none"/>
          <w:lang w:val="zh-CN"/>
        </w:rPr>
        <w:t>、</w:t>
      </w:r>
      <w:bookmarkEnd w:id="1046"/>
      <w:bookmarkEnd w:id="1047"/>
      <w:bookmarkEnd w:id="1048"/>
      <w:r>
        <w:rPr>
          <w:rFonts w:hint="eastAsia" w:ascii="宋体" w:hAnsi="宋体" w:cs="宋体"/>
          <w:b/>
          <w:bCs/>
          <w:color w:val="auto"/>
          <w:kern w:val="2"/>
          <w:sz w:val="24"/>
          <w:szCs w:val="32"/>
          <w:highlight w:val="none"/>
        </w:rPr>
        <w:t>投融资能力证明材料</w:t>
      </w:r>
      <w:bookmarkEnd w:id="1049"/>
      <w:bookmarkEnd w:id="1050"/>
      <w:bookmarkEnd w:id="1051"/>
      <w:bookmarkEnd w:id="1052"/>
      <w:bookmarkEnd w:id="1053"/>
      <w:bookmarkEnd w:id="1054"/>
      <w:bookmarkEnd w:id="1055"/>
      <w:bookmarkEnd w:id="1056"/>
      <w:bookmarkEnd w:id="1057"/>
      <w:bookmarkEnd w:id="1058"/>
    </w:p>
    <w:p w14:paraId="578FE924">
      <w:pPr>
        <w:spacing w:line="560" w:lineRule="exact"/>
        <w:ind w:firstLine="440" w:firstLineChars="200"/>
        <w:jc w:val="both"/>
        <w:rPr>
          <w:color w:val="auto"/>
          <w:highlight w:val="none"/>
        </w:rPr>
      </w:pPr>
      <w:r>
        <w:rPr>
          <w:rFonts w:hint="eastAsia"/>
          <w:color w:val="auto"/>
          <w:highlight w:val="none"/>
          <w:lang w:val="en-US" w:eastAsia="zh-CN"/>
        </w:rPr>
        <w:t>证明材料为</w:t>
      </w:r>
      <w:r>
        <w:rPr>
          <w:rFonts w:hint="eastAsia"/>
          <w:color w:val="auto"/>
          <w:highlight w:val="none"/>
        </w:rPr>
        <w:t>存款证明或</w:t>
      </w:r>
      <w:r>
        <w:rPr>
          <w:rFonts w:hint="eastAsia"/>
          <w:color w:val="auto"/>
          <w:highlight w:val="none"/>
          <w:lang w:val="en-US" w:eastAsia="zh-CN"/>
        </w:rPr>
        <w:t>银行出具的</w:t>
      </w:r>
      <w:r>
        <w:rPr>
          <w:rFonts w:hint="eastAsia"/>
          <w:color w:val="auto"/>
          <w:highlight w:val="none"/>
        </w:rPr>
        <w:t>贷款意向书</w:t>
      </w:r>
      <w:r>
        <w:rPr>
          <w:rFonts w:hint="eastAsia"/>
          <w:color w:val="auto"/>
          <w:highlight w:val="none"/>
          <w:lang w:val="en-US" w:eastAsia="zh-CN"/>
        </w:rPr>
        <w:t>或</w:t>
      </w:r>
      <w:r>
        <w:rPr>
          <w:rFonts w:hint="eastAsia"/>
          <w:color w:val="auto"/>
          <w:highlight w:val="none"/>
        </w:rPr>
        <w:t>授信额度</w:t>
      </w:r>
      <w:r>
        <w:rPr>
          <w:rFonts w:hint="eastAsia"/>
          <w:color w:val="auto"/>
          <w:highlight w:val="none"/>
          <w:lang w:val="en-US" w:eastAsia="zh-CN"/>
        </w:rPr>
        <w:t>等</w:t>
      </w:r>
      <w:r>
        <w:rPr>
          <w:rFonts w:hint="eastAsia"/>
          <w:color w:val="auto"/>
          <w:highlight w:val="none"/>
        </w:rPr>
        <w:t>，累计额度应满足要求</w:t>
      </w:r>
      <w:r>
        <w:rPr>
          <w:rFonts w:hint="eastAsia"/>
          <w:color w:val="auto"/>
          <w:highlight w:val="none"/>
          <w:lang w:val="en-US" w:eastAsia="zh-CN"/>
        </w:rPr>
        <w:t>；</w:t>
      </w:r>
      <w:r>
        <w:rPr>
          <w:rFonts w:hint="eastAsia"/>
          <w:color w:val="auto"/>
          <w:highlight w:val="none"/>
        </w:rPr>
        <w:t>投标人不同开户行的银行余额可以累加，投标人银行存款、授信额度、贷款意向书的额度可累加</w:t>
      </w:r>
      <w:r>
        <w:rPr>
          <w:rFonts w:hint="eastAsia"/>
          <w:color w:val="auto"/>
          <w:highlight w:val="none"/>
          <w:lang w:eastAsia="zh-CN"/>
        </w:rPr>
        <w:t>。</w:t>
      </w:r>
    </w:p>
    <w:p w14:paraId="4680D8D3">
      <w:pPr>
        <w:widowControl w:val="0"/>
        <w:spacing w:line="360" w:lineRule="auto"/>
        <w:ind w:firstLine="0"/>
        <w:jc w:val="center"/>
        <w:outlineLvl w:val="1"/>
        <w:rPr>
          <w:rFonts w:hint="eastAsia" w:ascii="宋体" w:hAnsi="宋体" w:cs="宋体"/>
          <w:b/>
          <w:bCs/>
          <w:color w:val="auto"/>
          <w:kern w:val="2"/>
          <w:sz w:val="24"/>
          <w:szCs w:val="32"/>
          <w:highlight w:val="none"/>
          <w:lang w:val="zh-CN"/>
        </w:rPr>
      </w:pPr>
      <w:r>
        <w:rPr>
          <w:rFonts w:hint="eastAsia" w:ascii="宋体" w:hAnsi="宋体" w:cs="宋体"/>
          <w:b/>
          <w:bCs/>
          <w:color w:val="auto"/>
          <w:kern w:val="2"/>
          <w:sz w:val="24"/>
          <w:szCs w:val="32"/>
          <w:highlight w:val="none"/>
        </w:rPr>
        <w:br w:type="page"/>
      </w:r>
      <w:bookmarkStart w:id="1059" w:name="_Toc28221"/>
      <w:bookmarkStart w:id="1060" w:name="_Toc30109"/>
      <w:bookmarkStart w:id="1061" w:name="_Toc17923"/>
      <w:r>
        <w:rPr>
          <w:rFonts w:hint="eastAsia" w:ascii="宋体" w:hAnsi="宋体" w:cs="宋体"/>
          <w:b/>
          <w:bCs/>
          <w:color w:val="auto"/>
          <w:kern w:val="2"/>
          <w:sz w:val="24"/>
          <w:szCs w:val="32"/>
          <w:highlight w:val="none"/>
          <w:lang w:val="en-US" w:eastAsia="zh-CN"/>
        </w:rPr>
        <w:t>五</w:t>
      </w:r>
      <w:r>
        <w:rPr>
          <w:rFonts w:hint="eastAsia" w:ascii="宋体" w:hAnsi="宋体" w:cs="宋体"/>
          <w:b/>
          <w:bCs/>
          <w:color w:val="auto"/>
          <w:kern w:val="2"/>
          <w:sz w:val="24"/>
          <w:szCs w:val="32"/>
          <w:highlight w:val="none"/>
          <w:lang w:val="zh-CN"/>
        </w:rPr>
        <w:t>、</w:t>
      </w:r>
      <w:bookmarkEnd w:id="1031"/>
      <w:bookmarkEnd w:id="1032"/>
      <w:bookmarkEnd w:id="1033"/>
      <w:bookmarkEnd w:id="1034"/>
      <w:bookmarkEnd w:id="1035"/>
      <w:bookmarkEnd w:id="1036"/>
      <w:bookmarkEnd w:id="1037"/>
      <w:r>
        <w:rPr>
          <w:rFonts w:hint="eastAsia" w:ascii="宋体" w:hAnsi="宋体" w:cs="宋体"/>
          <w:b/>
          <w:bCs/>
          <w:color w:val="auto"/>
          <w:kern w:val="2"/>
          <w:sz w:val="24"/>
          <w:szCs w:val="32"/>
          <w:highlight w:val="none"/>
          <w:lang w:val="en-US" w:eastAsia="zh-CN"/>
        </w:rPr>
        <w:t>近三</w:t>
      </w:r>
      <w:r>
        <w:rPr>
          <w:rFonts w:hint="eastAsia" w:ascii="宋体" w:hAnsi="宋体" w:cs="宋体"/>
          <w:b/>
          <w:bCs/>
          <w:color w:val="auto"/>
          <w:kern w:val="2"/>
          <w:sz w:val="24"/>
          <w:szCs w:val="32"/>
          <w:highlight w:val="none"/>
          <w:lang w:val="zh-CN"/>
        </w:rPr>
        <w:t>年财务状况表</w:t>
      </w:r>
      <w:bookmarkEnd w:id="1038"/>
      <w:bookmarkEnd w:id="1039"/>
      <w:bookmarkEnd w:id="1040"/>
      <w:bookmarkEnd w:id="1041"/>
      <w:bookmarkEnd w:id="1042"/>
      <w:bookmarkEnd w:id="1043"/>
      <w:bookmarkEnd w:id="1059"/>
      <w:bookmarkEnd w:id="1060"/>
      <w:bookmarkEnd w:id="1061"/>
    </w:p>
    <w:p w14:paraId="67AC312F">
      <w:pPr>
        <w:widowControl w:val="0"/>
        <w:spacing w:line="560" w:lineRule="exact"/>
        <w:ind w:firstLine="420" w:firstLineChars="200"/>
        <w:jc w:val="both"/>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投标人名称：</w:t>
      </w:r>
    </w:p>
    <w:tbl>
      <w:tblPr>
        <w:tblStyle w:val="52"/>
        <w:tblW w:w="50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41"/>
        <w:gridCol w:w="1624"/>
        <w:gridCol w:w="1682"/>
        <w:gridCol w:w="1682"/>
        <w:gridCol w:w="1682"/>
      </w:tblGrid>
      <w:tr w14:paraId="2EC4C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blHeader/>
        </w:trPr>
        <w:tc>
          <w:tcPr>
            <w:tcW w:w="3078" w:type="dxa"/>
            <w:tcBorders>
              <w:top w:val="single" w:color="auto" w:sz="4" w:space="0"/>
              <w:left w:val="single" w:color="auto" w:sz="4" w:space="0"/>
              <w:bottom w:val="single" w:color="auto" w:sz="4" w:space="0"/>
              <w:right w:val="single" w:color="auto" w:sz="4" w:space="0"/>
            </w:tcBorders>
            <w:vAlign w:val="center"/>
          </w:tcPr>
          <w:p w14:paraId="511078E7">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项目或指标</w:t>
            </w:r>
          </w:p>
        </w:tc>
        <w:tc>
          <w:tcPr>
            <w:tcW w:w="1700" w:type="dxa"/>
            <w:tcBorders>
              <w:top w:val="single" w:color="auto" w:sz="4" w:space="0"/>
              <w:left w:val="nil"/>
              <w:bottom w:val="single" w:color="auto" w:sz="4" w:space="0"/>
              <w:right w:val="single" w:color="auto" w:sz="4" w:space="0"/>
            </w:tcBorders>
            <w:vAlign w:val="center"/>
          </w:tcPr>
          <w:p w14:paraId="10FDBF70">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单位</w:t>
            </w:r>
          </w:p>
        </w:tc>
        <w:tc>
          <w:tcPr>
            <w:tcW w:w="1760" w:type="dxa"/>
            <w:tcBorders>
              <w:top w:val="single" w:color="auto" w:sz="4" w:space="0"/>
              <w:left w:val="nil"/>
              <w:bottom w:val="single" w:color="auto" w:sz="4" w:space="0"/>
              <w:right w:val="single" w:color="auto" w:sz="4" w:space="0"/>
            </w:tcBorders>
            <w:vAlign w:val="center"/>
          </w:tcPr>
          <w:p w14:paraId="746B5EEE">
            <w:pPr>
              <w:widowControl w:val="0"/>
              <w:spacing w:line="240" w:lineRule="atLeast"/>
              <w:ind w:firstLine="0"/>
              <w:jc w:val="center"/>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年</w:t>
            </w:r>
          </w:p>
        </w:tc>
        <w:tc>
          <w:tcPr>
            <w:tcW w:w="1760" w:type="dxa"/>
            <w:tcBorders>
              <w:top w:val="single" w:color="auto" w:sz="4" w:space="0"/>
              <w:left w:val="nil"/>
              <w:bottom w:val="single" w:color="auto" w:sz="4" w:space="0"/>
              <w:right w:val="single" w:color="auto" w:sz="4" w:space="0"/>
            </w:tcBorders>
            <w:vAlign w:val="center"/>
          </w:tcPr>
          <w:p w14:paraId="32EB2BDB">
            <w:pPr>
              <w:widowControl w:val="0"/>
              <w:spacing w:line="240" w:lineRule="atLeast"/>
              <w:ind w:firstLine="0"/>
              <w:jc w:val="center"/>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年</w:t>
            </w:r>
          </w:p>
        </w:tc>
        <w:tc>
          <w:tcPr>
            <w:tcW w:w="1760" w:type="dxa"/>
            <w:tcBorders>
              <w:top w:val="single" w:color="auto" w:sz="4" w:space="0"/>
              <w:left w:val="nil"/>
              <w:bottom w:val="single" w:color="auto" w:sz="4" w:space="0"/>
              <w:right w:val="single" w:color="auto" w:sz="4" w:space="0"/>
            </w:tcBorders>
            <w:vAlign w:val="center"/>
          </w:tcPr>
          <w:p w14:paraId="43C21049">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年</w:t>
            </w:r>
          </w:p>
        </w:tc>
      </w:tr>
      <w:tr w14:paraId="470FA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076A558D">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一、注册资本</w:t>
            </w:r>
          </w:p>
        </w:tc>
        <w:tc>
          <w:tcPr>
            <w:tcW w:w="1700" w:type="dxa"/>
            <w:tcBorders>
              <w:top w:val="nil"/>
              <w:left w:val="nil"/>
              <w:bottom w:val="single" w:color="auto" w:sz="4" w:space="0"/>
              <w:right w:val="single" w:color="auto" w:sz="4" w:space="0"/>
            </w:tcBorders>
            <w:vAlign w:val="center"/>
          </w:tcPr>
          <w:p w14:paraId="0944565A">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6E29AA62">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853ECE6">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BE536AF">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136D5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3DECB56F">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二、净资产</w:t>
            </w:r>
          </w:p>
        </w:tc>
        <w:tc>
          <w:tcPr>
            <w:tcW w:w="1700" w:type="dxa"/>
            <w:tcBorders>
              <w:top w:val="nil"/>
              <w:left w:val="nil"/>
              <w:bottom w:val="single" w:color="auto" w:sz="4" w:space="0"/>
              <w:right w:val="single" w:color="auto" w:sz="4" w:space="0"/>
            </w:tcBorders>
            <w:vAlign w:val="center"/>
          </w:tcPr>
          <w:p w14:paraId="7A11D120">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55A4C44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6B1B9BF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7A1F091">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A048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21455478">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三、长期投资</w:t>
            </w:r>
          </w:p>
        </w:tc>
        <w:tc>
          <w:tcPr>
            <w:tcW w:w="1700" w:type="dxa"/>
            <w:tcBorders>
              <w:top w:val="nil"/>
              <w:left w:val="nil"/>
              <w:bottom w:val="single" w:color="auto" w:sz="4" w:space="0"/>
              <w:right w:val="single" w:color="auto" w:sz="4" w:space="0"/>
            </w:tcBorders>
            <w:vAlign w:val="center"/>
          </w:tcPr>
          <w:p w14:paraId="6E6C733B">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47FBCB8">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C1FC4E6">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E97B981">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3756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3824C008">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四、总资产</w:t>
            </w:r>
          </w:p>
        </w:tc>
        <w:tc>
          <w:tcPr>
            <w:tcW w:w="1700" w:type="dxa"/>
            <w:tcBorders>
              <w:top w:val="nil"/>
              <w:left w:val="nil"/>
              <w:bottom w:val="single" w:color="auto" w:sz="4" w:space="0"/>
              <w:right w:val="single" w:color="auto" w:sz="4" w:space="0"/>
            </w:tcBorders>
            <w:vAlign w:val="center"/>
          </w:tcPr>
          <w:p w14:paraId="1B7FB550">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2DA702A7">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4EDB3F4">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BC5AD7F">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5787A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15D2D4FA">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五、固定资产</w:t>
            </w:r>
          </w:p>
        </w:tc>
        <w:tc>
          <w:tcPr>
            <w:tcW w:w="1700" w:type="dxa"/>
            <w:tcBorders>
              <w:top w:val="nil"/>
              <w:left w:val="nil"/>
              <w:bottom w:val="single" w:color="auto" w:sz="4" w:space="0"/>
              <w:right w:val="single" w:color="auto" w:sz="4" w:space="0"/>
            </w:tcBorders>
            <w:vAlign w:val="center"/>
          </w:tcPr>
          <w:p w14:paraId="1A00060B">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70767B4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A93CEA9">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E6BB5D5">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2FCF7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560F35E3">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六、流动资产</w:t>
            </w:r>
          </w:p>
        </w:tc>
        <w:tc>
          <w:tcPr>
            <w:tcW w:w="1700" w:type="dxa"/>
            <w:tcBorders>
              <w:top w:val="nil"/>
              <w:left w:val="nil"/>
              <w:bottom w:val="single" w:color="auto" w:sz="4" w:space="0"/>
              <w:right w:val="single" w:color="auto" w:sz="4" w:space="0"/>
            </w:tcBorders>
            <w:vAlign w:val="center"/>
          </w:tcPr>
          <w:p w14:paraId="35E66DC9">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9857944">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975005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FE17724">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5928F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06AF8D81">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其中：1.货币资金</w:t>
            </w:r>
          </w:p>
        </w:tc>
        <w:tc>
          <w:tcPr>
            <w:tcW w:w="1700" w:type="dxa"/>
            <w:tcBorders>
              <w:top w:val="nil"/>
              <w:left w:val="nil"/>
              <w:bottom w:val="single" w:color="auto" w:sz="4" w:space="0"/>
              <w:right w:val="single" w:color="auto" w:sz="4" w:space="0"/>
            </w:tcBorders>
            <w:vAlign w:val="center"/>
          </w:tcPr>
          <w:p w14:paraId="5BBA43A2">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5D6E897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BAB413D">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A6E58D4">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7CC7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19453678">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2.应收账款</w:t>
            </w:r>
          </w:p>
        </w:tc>
        <w:tc>
          <w:tcPr>
            <w:tcW w:w="1700" w:type="dxa"/>
            <w:tcBorders>
              <w:top w:val="nil"/>
              <w:left w:val="nil"/>
              <w:bottom w:val="single" w:color="auto" w:sz="4" w:space="0"/>
              <w:right w:val="single" w:color="auto" w:sz="4" w:space="0"/>
            </w:tcBorders>
            <w:vAlign w:val="center"/>
          </w:tcPr>
          <w:p w14:paraId="3A354C69">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3C2DD801">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D86DCBC">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374E518">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6A036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37C7B40E">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3.预付账款</w:t>
            </w:r>
          </w:p>
        </w:tc>
        <w:tc>
          <w:tcPr>
            <w:tcW w:w="1700" w:type="dxa"/>
            <w:tcBorders>
              <w:top w:val="nil"/>
              <w:left w:val="nil"/>
              <w:bottom w:val="single" w:color="auto" w:sz="4" w:space="0"/>
              <w:right w:val="single" w:color="auto" w:sz="4" w:space="0"/>
            </w:tcBorders>
            <w:vAlign w:val="center"/>
          </w:tcPr>
          <w:p w14:paraId="2DD774B0">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393B6083">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8CE2FB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3DE8F1C">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4EDF8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461A8857">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4.其他应收款</w:t>
            </w:r>
          </w:p>
        </w:tc>
        <w:tc>
          <w:tcPr>
            <w:tcW w:w="1700" w:type="dxa"/>
            <w:tcBorders>
              <w:top w:val="nil"/>
              <w:left w:val="nil"/>
              <w:bottom w:val="single" w:color="auto" w:sz="4" w:space="0"/>
              <w:right w:val="single" w:color="auto" w:sz="4" w:space="0"/>
            </w:tcBorders>
            <w:vAlign w:val="center"/>
          </w:tcPr>
          <w:p w14:paraId="37C46C57">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5AF45D1C">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05505CF">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F8BEB56">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63D61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17966335">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5.库存</w:t>
            </w:r>
          </w:p>
        </w:tc>
        <w:tc>
          <w:tcPr>
            <w:tcW w:w="1700" w:type="dxa"/>
            <w:tcBorders>
              <w:top w:val="nil"/>
              <w:left w:val="nil"/>
              <w:bottom w:val="single" w:color="auto" w:sz="4" w:space="0"/>
              <w:right w:val="single" w:color="auto" w:sz="4" w:space="0"/>
            </w:tcBorders>
            <w:vAlign w:val="center"/>
          </w:tcPr>
          <w:p w14:paraId="3D59C95C">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2347517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55914C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0B47717">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2FEAF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2D7743A2">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七、速动资产</w:t>
            </w:r>
          </w:p>
        </w:tc>
        <w:tc>
          <w:tcPr>
            <w:tcW w:w="1700" w:type="dxa"/>
            <w:tcBorders>
              <w:top w:val="nil"/>
              <w:left w:val="nil"/>
              <w:bottom w:val="single" w:color="auto" w:sz="4" w:space="0"/>
              <w:right w:val="single" w:color="auto" w:sz="4" w:space="0"/>
            </w:tcBorders>
            <w:vAlign w:val="center"/>
          </w:tcPr>
          <w:p w14:paraId="03917974">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B396633">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386F0BE">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B283157">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49016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49B821B5">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八、流动负债合计</w:t>
            </w:r>
          </w:p>
        </w:tc>
        <w:tc>
          <w:tcPr>
            <w:tcW w:w="1700" w:type="dxa"/>
            <w:tcBorders>
              <w:top w:val="nil"/>
              <w:left w:val="nil"/>
              <w:bottom w:val="single" w:color="auto" w:sz="4" w:space="0"/>
              <w:right w:val="single" w:color="auto" w:sz="4" w:space="0"/>
            </w:tcBorders>
            <w:vAlign w:val="center"/>
          </w:tcPr>
          <w:p w14:paraId="4CC33541">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13719C0D">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67804AD5">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29B84AD">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1B91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5454DB3A">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其中：1.短期借款</w:t>
            </w:r>
          </w:p>
        </w:tc>
        <w:tc>
          <w:tcPr>
            <w:tcW w:w="1700" w:type="dxa"/>
            <w:tcBorders>
              <w:top w:val="nil"/>
              <w:left w:val="nil"/>
              <w:bottom w:val="single" w:color="auto" w:sz="4" w:space="0"/>
              <w:right w:val="single" w:color="auto" w:sz="4" w:space="0"/>
            </w:tcBorders>
            <w:vAlign w:val="center"/>
          </w:tcPr>
          <w:p w14:paraId="41D201C8">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127DDBC2">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5D373A1">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1CCBF35">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71B70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5E3B409F">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2.预收及应付款</w:t>
            </w:r>
          </w:p>
        </w:tc>
        <w:tc>
          <w:tcPr>
            <w:tcW w:w="1700" w:type="dxa"/>
            <w:tcBorders>
              <w:top w:val="nil"/>
              <w:left w:val="nil"/>
              <w:bottom w:val="single" w:color="auto" w:sz="4" w:space="0"/>
              <w:right w:val="single" w:color="auto" w:sz="4" w:space="0"/>
            </w:tcBorders>
            <w:vAlign w:val="center"/>
          </w:tcPr>
          <w:p w14:paraId="27A6C356">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6CB7AFFC">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0298DD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AA4154C">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21D3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54177CBA">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九、负债合计</w:t>
            </w:r>
          </w:p>
        </w:tc>
        <w:tc>
          <w:tcPr>
            <w:tcW w:w="1700" w:type="dxa"/>
            <w:tcBorders>
              <w:top w:val="nil"/>
              <w:left w:val="nil"/>
              <w:bottom w:val="single" w:color="auto" w:sz="4" w:space="0"/>
              <w:right w:val="single" w:color="auto" w:sz="4" w:space="0"/>
            </w:tcBorders>
            <w:vAlign w:val="center"/>
          </w:tcPr>
          <w:p w14:paraId="326A605F">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5CD469A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AD9D002">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65B161F">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48F3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239D2A4C">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十、营业收入</w:t>
            </w:r>
          </w:p>
        </w:tc>
        <w:tc>
          <w:tcPr>
            <w:tcW w:w="1700" w:type="dxa"/>
            <w:tcBorders>
              <w:top w:val="nil"/>
              <w:left w:val="nil"/>
              <w:bottom w:val="single" w:color="auto" w:sz="4" w:space="0"/>
              <w:right w:val="single" w:color="auto" w:sz="4" w:space="0"/>
            </w:tcBorders>
            <w:vAlign w:val="center"/>
          </w:tcPr>
          <w:p w14:paraId="67BA2D87">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DED28B3">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6A81A7AF">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2A1FD7A">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01267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588D56BC">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十一、净利润</w:t>
            </w:r>
          </w:p>
        </w:tc>
        <w:tc>
          <w:tcPr>
            <w:tcW w:w="1700" w:type="dxa"/>
            <w:tcBorders>
              <w:top w:val="nil"/>
              <w:left w:val="nil"/>
              <w:bottom w:val="single" w:color="auto" w:sz="4" w:space="0"/>
              <w:right w:val="single" w:color="auto" w:sz="4" w:space="0"/>
            </w:tcBorders>
            <w:vAlign w:val="center"/>
          </w:tcPr>
          <w:p w14:paraId="4B04B4F2">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7262B921">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27F30DF">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80CF53D">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59ECA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4BD6B36F">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十二、现金流量净额</w:t>
            </w:r>
          </w:p>
        </w:tc>
        <w:tc>
          <w:tcPr>
            <w:tcW w:w="1700" w:type="dxa"/>
            <w:tcBorders>
              <w:top w:val="nil"/>
              <w:left w:val="nil"/>
              <w:bottom w:val="single" w:color="auto" w:sz="4" w:space="0"/>
              <w:right w:val="single" w:color="auto" w:sz="4" w:space="0"/>
            </w:tcBorders>
            <w:vAlign w:val="center"/>
          </w:tcPr>
          <w:p w14:paraId="45B30910">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2D8C4FA9">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CACAA8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C78BDA6">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16D3A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3078" w:type="dxa"/>
            <w:tcBorders>
              <w:top w:val="nil"/>
              <w:left w:val="single" w:color="auto" w:sz="4" w:space="0"/>
              <w:bottom w:val="single" w:color="auto" w:sz="4" w:space="0"/>
              <w:right w:val="single" w:color="auto" w:sz="4" w:space="0"/>
            </w:tcBorders>
            <w:vAlign w:val="center"/>
          </w:tcPr>
          <w:p w14:paraId="0727C670">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其中：1.经营活动产生的现金流量净额</w:t>
            </w:r>
          </w:p>
        </w:tc>
        <w:tc>
          <w:tcPr>
            <w:tcW w:w="1700" w:type="dxa"/>
            <w:tcBorders>
              <w:top w:val="nil"/>
              <w:left w:val="nil"/>
              <w:bottom w:val="single" w:color="auto" w:sz="4" w:space="0"/>
              <w:right w:val="single" w:color="auto" w:sz="4" w:space="0"/>
            </w:tcBorders>
            <w:vAlign w:val="center"/>
          </w:tcPr>
          <w:p w14:paraId="4FDC59A9">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A1A3011">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65C745AF">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231BDE9">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46C6B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3078" w:type="dxa"/>
            <w:tcBorders>
              <w:top w:val="nil"/>
              <w:left w:val="single" w:color="auto" w:sz="4" w:space="0"/>
              <w:bottom w:val="single" w:color="auto" w:sz="4" w:space="0"/>
              <w:right w:val="single" w:color="auto" w:sz="4" w:space="0"/>
            </w:tcBorders>
            <w:vAlign w:val="center"/>
          </w:tcPr>
          <w:p w14:paraId="196B6AB5">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2.投资活动产生的现金流量净额</w:t>
            </w:r>
          </w:p>
        </w:tc>
        <w:tc>
          <w:tcPr>
            <w:tcW w:w="1700" w:type="dxa"/>
            <w:tcBorders>
              <w:top w:val="nil"/>
              <w:left w:val="nil"/>
              <w:bottom w:val="single" w:color="auto" w:sz="4" w:space="0"/>
              <w:right w:val="single" w:color="auto" w:sz="4" w:space="0"/>
            </w:tcBorders>
            <w:vAlign w:val="center"/>
          </w:tcPr>
          <w:p w14:paraId="0102B08C">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7C175D7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363529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746DB09">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7B427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3078" w:type="dxa"/>
            <w:tcBorders>
              <w:top w:val="nil"/>
              <w:left w:val="single" w:color="auto" w:sz="4" w:space="0"/>
              <w:bottom w:val="single" w:color="auto" w:sz="4" w:space="0"/>
              <w:right w:val="single" w:color="auto" w:sz="4" w:space="0"/>
            </w:tcBorders>
            <w:vAlign w:val="center"/>
          </w:tcPr>
          <w:p w14:paraId="14A3593C">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3.筹资活动产生的现金流量净额</w:t>
            </w:r>
          </w:p>
        </w:tc>
        <w:tc>
          <w:tcPr>
            <w:tcW w:w="1700" w:type="dxa"/>
            <w:tcBorders>
              <w:top w:val="nil"/>
              <w:left w:val="nil"/>
              <w:bottom w:val="single" w:color="auto" w:sz="4" w:space="0"/>
              <w:right w:val="single" w:color="auto" w:sz="4" w:space="0"/>
            </w:tcBorders>
            <w:vAlign w:val="center"/>
          </w:tcPr>
          <w:p w14:paraId="52251706">
            <w:pPr>
              <w:widowControl w:val="0"/>
              <w:spacing w:line="240" w:lineRule="atLeast"/>
              <w:ind w:firstLine="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万元</w:t>
            </w:r>
          </w:p>
        </w:tc>
        <w:tc>
          <w:tcPr>
            <w:tcW w:w="1760" w:type="dxa"/>
            <w:tcBorders>
              <w:top w:val="nil"/>
              <w:left w:val="nil"/>
              <w:bottom w:val="single" w:color="auto" w:sz="4" w:space="0"/>
              <w:right w:val="single" w:color="auto" w:sz="4" w:space="0"/>
            </w:tcBorders>
            <w:vAlign w:val="center"/>
          </w:tcPr>
          <w:p w14:paraId="4F26BA6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74E2D6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E3D8C7F">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04ACA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69217DD9">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十三、主要财务指标</w:t>
            </w:r>
          </w:p>
        </w:tc>
        <w:tc>
          <w:tcPr>
            <w:tcW w:w="1700" w:type="dxa"/>
            <w:tcBorders>
              <w:top w:val="nil"/>
              <w:left w:val="nil"/>
              <w:bottom w:val="single" w:color="auto" w:sz="4" w:space="0"/>
              <w:right w:val="single" w:color="auto" w:sz="4" w:space="0"/>
            </w:tcBorders>
            <w:vAlign w:val="center"/>
          </w:tcPr>
          <w:p w14:paraId="285EC621">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EC11788">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F060D6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0D6A0F8">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3912A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2E639592">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1.净资产收益率</w:t>
            </w:r>
          </w:p>
        </w:tc>
        <w:tc>
          <w:tcPr>
            <w:tcW w:w="1700" w:type="dxa"/>
            <w:tcBorders>
              <w:top w:val="nil"/>
              <w:left w:val="nil"/>
              <w:bottom w:val="single" w:color="auto" w:sz="4" w:space="0"/>
              <w:right w:val="single" w:color="auto" w:sz="4" w:space="0"/>
            </w:tcBorders>
            <w:vAlign w:val="center"/>
          </w:tcPr>
          <w:p w14:paraId="4763711B">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02062F65">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AC13B47">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B3D38E6">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51FB7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7FC9693C">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2.总资产报酬率</w:t>
            </w:r>
          </w:p>
        </w:tc>
        <w:tc>
          <w:tcPr>
            <w:tcW w:w="1700" w:type="dxa"/>
            <w:tcBorders>
              <w:top w:val="nil"/>
              <w:left w:val="nil"/>
              <w:bottom w:val="single" w:color="auto" w:sz="4" w:space="0"/>
              <w:right w:val="single" w:color="auto" w:sz="4" w:space="0"/>
            </w:tcBorders>
            <w:vAlign w:val="center"/>
          </w:tcPr>
          <w:p w14:paraId="52E1247B">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4B531CF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2922BCA7">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6A9AAA7">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4988C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12E4D69A">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3.主营业务利润率</w:t>
            </w:r>
          </w:p>
        </w:tc>
        <w:tc>
          <w:tcPr>
            <w:tcW w:w="1700" w:type="dxa"/>
            <w:tcBorders>
              <w:top w:val="nil"/>
              <w:left w:val="nil"/>
              <w:bottom w:val="single" w:color="auto" w:sz="4" w:space="0"/>
              <w:right w:val="single" w:color="auto" w:sz="4" w:space="0"/>
            </w:tcBorders>
            <w:vAlign w:val="center"/>
          </w:tcPr>
          <w:p w14:paraId="135EF0BC">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1E63A487">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5202F87">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53137B20">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2DD96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6CA1745A">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4.流动资产周转率</w:t>
            </w:r>
          </w:p>
        </w:tc>
        <w:tc>
          <w:tcPr>
            <w:tcW w:w="1700" w:type="dxa"/>
            <w:tcBorders>
              <w:top w:val="nil"/>
              <w:left w:val="nil"/>
              <w:bottom w:val="single" w:color="auto" w:sz="4" w:space="0"/>
              <w:right w:val="single" w:color="auto" w:sz="4" w:space="0"/>
            </w:tcBorders>
            <w:vAlign w:val="center"/>
          </w:tcPr>
          <w:p w14:paraId="10380D05">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6D8D1A0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D543B96">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5AC67F1">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4F02F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13959044">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5.流动比率</w:t>
            </w:r>
          </w:p>
        </w:tc>
        <w:tc>
          <w:tcPr>
            <w:tcW w:w="1700" w:type="dxa"/>
            <w:tcBorders>
              <w:top w:val="nil"/>
              <w:left w:val="nil"/>
              <w:bottom w:val="single" w:color="auto" w:sz="4" w:space="0"/>
              <w:right w:val="single" w:color="auto" w:sz="4" w:space="0"/>
            </w:tcBorders>
            <w:vAlign w:val="center"/>
          </w:tcPr>
          <w:p w14:paraId="7D8141B8">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01C24808">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443970F">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0B79C779">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161A9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78" w:type="dxa"/>
            <w:tcBorders>
              <w:top w:val="nil"/>
              <w:left w:val="single" w:color="auto" w:sz="4" w:space="0"/>
              <w:bottom w:val="single" w:color="auto" w:sz="4" w:space="0"/>
              <w:right w:val="single" w:color="auto" w:sz="4" w:space="0"/>
            </w:tcBorders>
            <w:vAlign w:val="center"/>
          </w:tcPr>
          <w:p w14:paraId="2F47E685">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6.资产负债率</w:t>
            </w:r>
          </w:p>
        </w:tc>
        <w:tc>
          <w:tcPr>
            <w:tcW w:w="1700" w:type="dxa"/>
            <w:tcBorders>
              <w:top w:val="nil"/>
              <w:left w:val="nil"/>
              <w:bottom w:val="single" w:color="auto" w:sz="4" w:space="0"/>
              <w:right w:val="single" w:color="auto" w:sz="4" w:space="0"/>
            </w:tcBorders>
            <w:vAlign w:val="center"/>
          </w:tcPr>
          <w:p w14:paraId="13B465C5">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3A5FA142">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79CF9590">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38F45AE2">
            <w:pPr>
              <w:widowControl w:val="0"/>
              <w:spacing w:line="240" w:lineRule="atLeast"/>
              <w:ind w:firstLine="420" w:firstLineChars="200"/>
              <w:jc w:val="center"/>
              <w:rPr>
                <w:rFonts w:hint="eastAsia" w:ascii="宋体" w:hAnsi="宋体" w:cs="宋体"/>
                <w:color w:val="auto"/>
                <w:kern w:val="2"/>
                <w:sz w:val="21"/>
                <w:szCs w:val="21"/>
                <w:highlight w:val="none"/>
              </w:rPr>
            </w:pPr>
          </w:p>
        </w:tc>
      </w:tr>
      <w:tr w14:paraId="08514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trPr>
        <w:tc>
          <w:tcPr>
            <w:tcW w:w="3078" w:type="dxa"/>
            <w:tcBorders>
              <w:top w:val="nil"/>
              <w:left w:val="single" w:color="auto" w:sz="4" w:space="0"/>
              <w:bottom w:val="single" w:color="auto" w:sz="4" w:space="0"/>
              <w:right w:val="single" w:color="auto" w:sz="4" w:space="0"/>
            </w:tcBorders>
            <w:vAlign w:val="center"/>
          </w:tcPr>
          <w:p w14:paraId="369979AD">
            <w:pPr>
              <w:widowControl w:val="0"/>
              <w:spacing w:line="240" w:lineRule="atLeas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7.速动比率</w:t>
            </w:r>
          </w:p>
        </w:tc>
        <w:tc>
          <w:tcPr>
            <w:tcW w:w="1700" w:type="dxa"/>
            <w:tcBorders>
              <w:top w:val="nil"/>
              <w:left w:val="nil"/>
              <w:bottom w:val="single" w:color="auto" w:sz="4" w:space="0"/>
              <w:right w:val="single" w:color="auto" w:sz="4" w:space="0"/>
            </w:tcBorders>
            <w:vAlign w:val="center"/>
          </w:tcPr>
          <w:p w14:paraId="769E4E7B">
            <w:pPr>
              <w:widowControl w:val="0"/>
              <w:spacing w:line="240" w:lineRule="atLeast"/>
              <w:ind w:firstLine="420" w:firstLineChars="200"/>
              <w:jc w:val="center"/>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w:t>
            </w:r>
          </w:p>
        </w:tc>
        <w:tc>
          <w:tcPr>
            <w:tcW w:w="1760" w:type="dxa"/>
            <w:tcBorders>
              <w:top w:val="nil"/>
              <w:left w:val="nil"/>
              <w:bottom w:val="single" w:color="auto" w:sz="4" w:space="0"/>
              <w:right w:val="single" w:color="auto" w:sz="4" w:space="0"/>
            </w:tcBorders>
            <w:vAlign w:val="center"/>
          </w:tcPr>
          <w:p w14:paraId="5EC0055C">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1505F01B">
            <w:pPr>
              <w:widowControl w:val="0"/>
              <w:spacing w:line="240" w:lineRule="atLeast"/>
              <w:ind w:firstLine="420" w:firstLineChars="200"/>
              <w:jc w:val="center"/>
              <w:rPr>
                <w:rFonts w:hint="eastAsia" w:ascii="宋体" w:hAnsi="宋体" w:cs="宋体"/>
                <w:color w:val="auto"/>
                <w:kern w:val="2"/>
                <w:sz w:val="21"/>
                <w:szCs w:val="21"/>
                <w:highlight w:val="none"/>
              </w:rPr>
            </w:pPr>
          </w:p>
        </w:tc>
        <w:tc>
          <w:tcPr>
            <w:tcW w:w="1760" w:type="dxa"/>
            <w:tcBorders>
              <w:top w:val="nil"/>
              <w:left w:val="nil"/>
              <w:bottom w:val="single" w:color="auto" w:sz="4" w:space="0"/>
              <w:right w:val="single" w:color="auto" w:sz="4" w:space="0"/>
            </w:tcBorders>
            <w:vAlign w:val="center"/>
          </w:tcPr>
          <w:p w14:paraId="4500E77D">
            <w:pPr>
              <w:widowControl w:val="0"/>
              <w:spacing w:line="240" w:lineRule="atLeast"/>
              <w:ind w:firstLine="420" w:firstLineChars="200"/>
              <w:jc w:val="center"/>
              <w:rPr>
                <w:rFonts w:hint="eastAsia" w:ascii="宋体" w:hAnsi="宋体" w:cs="宋体"/>
                <w:color w:val="auto"/>
                <w:kern w:val="2"/>
                <w:sz w:val="21"/>
                <w:szCs w:val="21"/>
                <w:highlight w:val="none"/>
              </w:rPr>
            </w:pPr>
          </w:p>
        </w:tc>
      </w:tr>
    </w:tbl>
    <w:p w14:paraId="107240ED">
      <w:pPr>
        <w:widowControl w:val="0"/>
        <w:topLinePunct/>
        <w:ind w:left="716" w:hanging="835" w:hangingChars="398"/>
        <w:jc w:val="both"/>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备注：</w:t>
      </w:r>
    </w:p>
    <w:p w14:paraId="44552A77">
      <w:pPr>
        <w:spacing w:line="360" w:lineRule="auto"/>
        <w:ind w:firstLine="424" w:firstLineChars="202"/>
        <w:rPr>
          <w:rFonts w:hint="eastAsia" w:ascii="宋体" w:hAnsi="宋体" w:eastAsia="宋体" w:cs="宋体"/>
          <w:b w:val="0"/>
          <w:bCs/>
          <w:color w:val="000000"/>
          <w:sz w:val="21"/>
          <w:szCs w:val="21"/>
          <w:lang w:val="zh-CN" w:eastAsia="zh-CN"/>
        </w:rPr>
      </w:pPr>
      <w:r>
        <w:rPr>
          <w:rFonts w:hint="eastAsia" w:ascii="宋体" w:hAnsi="宋体" w:eastAsia="宋体" w:cs="宋体"/>
          <w:b w:val="0"/>
          <w:bCs/>
          <w:color w:val="auto"/>
          <w:kern w:val="2"/>
          <w:sz w:val="21"/>
          <w:szCs w:val="21"/>
          <w:highlight w:val="none"/>
        </w:rPr>
        <w:t>1.</w:t>
      </w:r>
      <w:r>
        <w:rPr>
          <w:rFonts w:hint="eastAsia" w:ascii="宋体" w:hAnsi="宋体" w:cs="宋体"/>
          <w:b w:val="0"/>
          <w:bCs/>
          <w:color w:val="000000"/>
          <w:sz w:val="21"/>
          <w:szCs w:val="21"/>
          <w:lang w:val="en-US" w:eastAsia="zh-CN"/>
        </w:rPr>
        <w:t>随本表附</w:t>
      </w:r>
      <w:r>
        <w:rPr>
          <w:rFonts w:hint="eastAsia" w:ascii="宋体" w:hAnsi="宋体" w:eastAsia="宋体" w:cs="宋体"/>
          <w:b w:val="0"/>
          <w:bCs/>
          <w:color w:val="000000"/>
          <w:sz w:val="21"/>
          <w:szCs w:val="21"/>
          <w:lang w:val="en-US" w:eastAsia="zh-CN"/>
        </w:rPr>
        <w:t>近三年（202</w:t>
      </w:r>
      <w:r>
        <w:rPr>
          <w:rFonts w:hint="eastAsia" w:ascii="宋体" w:hAnsi="宋体" w:cs="宋体"/>
          <w:b w:val="0"/>
          <w:bCs/>
          <w:color w:val="000000"/>
          <w:sz w:val="21"/>
          <w:szCs w:val="21"/>
          <w:lang w:val="en-US" w:eastAsia="zh-CN"/>
        </w:rPr>
        <w:t>2</w:t>
      </w:r>
      <w:r>
        <w:rPr>
          <w:rFonts w:hint="eastAsia" w:ascii="宋体" w:hAnsi="宋体" w:eastAsia="宋体" w:cs="宋体"/>
          <w:b w:val="0"/>
          <w:bCs/>
          <w:color w:val="000000"/>
          <w:sz w:val="21"/>
          <w:szCs w:val="21"/>
          <w:lang w:val="en-US" w:eastAsia="zh-CN"/>
        </w:rPr>
        <w:t>年至202</w:t>
      </w:r>
      <w:r>
        <w:rPr>
          <w:rFonts w:hint="eastAsia" w:ascii="宋体" w:hAnsi="宋体" w:cs="宋体"/>
          <w:b w:val="0"/>
          <w:bCs/>
          <w:color w:val="000000"/>
          <w:sz w:val="21"/>
          <w:szCs w:val="21"/>
          <w:lang w:val="en-US" w:eastAsia="zh-CN"/>
        </w:rPr>
        <w:t>4</w:t>
      </w:r>
      <w:r>
        <w:rPr>
          <w:rFonts w:hint="eastAsia" w:ascii="宋体" w:hAnsi="宋体" w:eastAsia="宋体" w:cs="宋体"/>
          <w:b w:val="0"/>
          <w:bCs/>
          <w:color w:val="000000"/>
          <w:sz w:val="21"/>
          <w:szCs w:val="21"/>
          <w:lang w:val="en-US" w:eastAsia="zh-CN"/>
        </w:rPr>
        <w:t>年连续三年）经会计师事务所或审计机构审计的财务报表（包括资产负债表、现金流量表、利润表），财务报表必须合并的以审计后合并财务报表为准（成立不满三年的公司，提供成立至今的财务报表或财务情况证明材料）</w:t>
      </w:r>
      <w:r>
        <w:rPr>
          <w:rFonts w:hint="eastAsia" w:ascii="宋体" w:hAnsi="宋体" w:eastAsia="宋体" w:cs="宋体"/>
          <w:b w:val="0"/>
          <w:bCs/>
          <w:color w:val="000000"/>
          <w:sz w:val="21"/>
          <w:szCs w:val="21"/>
          <w:lang w:val="zh-CN" w:eastAsia="zh-CN"/>
        </w:rPr>
        <w:t>。</w:t>
      </w:r>
    </w:p>
    <w:p w14:paraId="2F66E115">
      <w:pPr>
        <w:keepNext w:val="0"/>
        <w:keepLines w:val="0"/>
        <w:pageBreakBefore w:val="0"/>
        <w:widowControl w:val="0"/>
        <w:kinsoku/>
        <w:wordWrap/>
        <w:overflowPunct/>
        <w:topLinePunct/>
        <w:autoSpaceDE/>
        <w:autoSpaceDN/>
        <w:bidi w:val="0"/>
        <w:adjustRightInd/>
        <w:snapToGrid/>
        <w:spacing w:line="360" w:lineRule="auto"/>
        <w:ind w:left="0" w:firstLine="420" w:firstLineChars="200"/>
        <w:jc w:val="both"/>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rPr>
        <w:t>2.本表所列数据必须与本表各附件中的数据相一致。</w:t>
      </w:r>
    </w:p>
    <w:p w14:paraId="17B0BD9F">
      <w:pPr>
        <w:widowControl w:val="0"/>
        <w:topLinePunct/>
        <w:spacing w:line="560" w:lineRule="exact"/>
        <w:ind w:firstLine="450" w:firstLineChars="250"/>
        <w:jc w:val="both"/>
        <w:rPr>
          <w:rFonts w:hint="eastAsia" w:ascii="宋体" w:hAnsi="宋体" w:cs="宋体"/>
          <w:color w:val="auto"/>
          <w:kern w:val="2"/>
          <w:sz w:val="18"/>
          <w:szCs w:val="18"/>
          <w:highlight w:val="none"/>
        </w:rPr>
      </w:pPr>
    </w:p>
    <w:p w14:paraId="571E0DCC">
      <w:pPr>
        <w:snapToGrid w:val="0"/>
        <w:spacing w:line="480" w:lineRule="auto"/>
        <w:ind w:right="840" w:firstLine="2420" w:firstLineChars="1100"/>
        <w:outlineLvl w:val="4"/>
        <w:rPr>
          <w:rFonts w:hint="eastAsia" w:ascii="宋体" w:hAnsi="宋体" w:eastAsia="宋体" w:cs="宋体"/>
          <w:color w:val="auto"/>
        </w:rPr>
      </w:pPr>
      <w:r>
        <w:rPr>
          <w:rFonts w:hint="eastAsia" w:ascii="宋体" w:hAnsi="宋体" w:eastAsia="宋体" w:cs="宋体"/>
          <w:color w:val="auto"/>
        </w:rPr>
        <w:t>投标</w:t>
      </w:r>
      <w:r>
        <w:rPr>
          <w:rFonts w:hint="eastAsia" w:ascii="宋体" w:hAnsi="宋体" w:cs="宋体"/>
          <w:color w:val="auto"/>
          <w:lang w:eastAsia="zh-CN"/>
        </w:rPr>
        <w:t>人</w:t>
      </w:r>
      <w:r>
        <w:rPr>
          <w:rFonts w:hint="eastAsia" w:ascii="宋体" w:hAnsi="宋体" w:eastAsia="宋体" w:cs="宋体"/>
          <w:color w:val="auto"/>
        </w:rPr>
        <w:t>：___________________（电子签章）</w:t>
      </w:r>
    </w:p>
    <w:p w14:paraId="401375C6">
      <w:pPr>
        <w:snapToGrid w:val="0"/>
        <w:spacing w:line="480" w:lineRule="auto"/>
        <w:ind w:firstLine="440" w:firstLineChars="200"/>
        <w:rPr>
          <w:rFonts w:hint="eastAsia" w:ascii="宋体" w:hAnsi="宋体" w:eastAsia="宋体" w:cs="宋体"/>
          <w:color w:val="auto"/>
        </w:rPr>
      </w:pPr>
      <w:r>
        <w:rPr>
          <w:rFonts w:hint="eastAsia" w:ascii="宋体" w:hAnsi="宋体" w:eastAsia="宋体" w:cs="宋体"/>
          <w:color w:val="auto"/>
        </w:rPr>
        <w:t>法定代表人或其委托代理人：___________________（电子签章）</w:t>
      </w:r>
      <w:bookmarkStart w:id="1062" w:name="_Toc144974875"/>
      <w:bookmarkStart w:id="1063" w:name="_Toc152045807"/>
      <w:bookmarkStart w:id="1064" w:name="_Toc247514299"/>
      <w:bookmarkStart w:id="1065" w:name="_Toc318966030"/>
      <w:bookmarkStart w:id="1066" w:name="_Toc17453"/>
      <w:bookmarkStart w:id="1067" w:name="_Toc152042596"/>
      <w:bookmarkStart w:id="1068" w:name="_Toc247527847"/>
    </w:p>
    <w:p w14:paraId="1390B885">
      <w:pPr>
        <w:snapToGrid w:val="0"/>
        <w:spacing w:line="480" w:lineRule="auto"/>
        <w:ind w:left="440" w:leftChars="200" w:firstLine="1980" w:firstLineChars="900"/>
        <w:jc w:val="left"/>
        <w:rPr>
          <w:rFonts w:hint="eastAsia" w:ascii="宋体" w:hAnsi="宋体" w:eastAsia="宋体" w:cs="宋体"/>
          <w:color w:val="auto"/>
        </w:rPr>
        <w:sectPr>
          <w:pgSz w:w="11911" w:h="16849"/>
          <w:pgMar w:top="1020" w:right="1304" w:bottom="1020" w:left="1304" w:header="879" w:footer="862" w:gutter="0"/>
          <w:pgNumType w:fmt="decimal"/>
          <w:cols w:space="0" w:num="1"/>
          <w:rtlGutter w:val="0"/>
          <w:docGrid w:linePitch="0" w:charSpace="0"/>
        </w:sectPr>
      </w:pPr>
      <w:r>
        <w:rPr>
          <w:rFonts w:hint="eastAsia" w:ascii="宋体" w:hAnsi="宋体" w:eastAsia="宋体" w:cs="宋体"/>
          <w:color w:val="auto"/>
        </w:rPr>
        <w:t>年   月   日</w:t>
      </w:r>
    </w:p>
    <w:bookmarkEnd w:id="1062"/>
    <w:bookmarkEnd w:id="1063"/>
    <w:bookmarkEnd w:id="1064"/>
    <w:bookmarkEnd w:id="1065"/>
    <w:bookmarkEnd w:id="1066"/>
    <w:bookmarkEnd w:id="1067"/>
    <w:bookmarkEnd w:id="1068"/>
    <w:p w14:paraId="7516E65D">
      <w:pPr>
        <w:widowControl w:val="0"/>
        <w:spacing w:line="560" w:lineRule="exact"/>
        <w:ind w:left="0" w:leftChars="0" w:firstLine="0" w:firstLineChars="0"/>
        <w:jc w:val="center"/>
        <w:rPr>
          <w:rFonts w:hint="eastAsia" w:ascii="宋体" w:hAnsi="宋体" w:cs="宋体"/>
          <w:color w:val="auto"/>
          <w:kern w:val="2"/>
          <w:sz w:val="24"/>
          <w:szCs w:val="21"/>
          <w:highlight w:val="none"/>
          <w:lang w:val="zh-CN"/>
        </w:rPr>
      </w:pPr>
    </w:p>
    <w:p w14:paraId="79E10E40">
      <w:pPr>
        <w:widowControl w:val="0"/>
        <w:ind w:left="0" w:leftChars="0" w:firstLine="0" w:firstLineChars="0"/>
        <w:jc w:val="center"/>
        <w:outlineLvl w:val="1"/>
        <w:rPr>
          <w:rFonts w:hint="eastAsia" w:ascii="宋体" w:hAnsi="宋体" w:cs="宋体"/>
          <w:b/>
          <w:bCs/>
          <w:color w:val="auto"/>
          <w:kern w:val="2"/>
          <w:sz w:val="24"/>
          <w:szCs w:val="32"/>
          <w:highlight w:val="none"/>
          <w:lang w:val="zh-CN"/>
        </w:rPr>
      </w:pPr>
      <w:bookmarkStart w:id="1069" w:name="_Toc17480"/>
      <w:bookmarkStart w:id="1070" w:name="_Toc2483"/>
      <w:bookmarkStart w:id="1071" w:name="_Toc20142"/>
      <w:bookmarkStart w:id="1072" w:name="_Toc7266"/>
      <w:bookmarkStart w:id="1073" w:name="_Toc27610"/>
      <w:bookmarkStart w:id="1074" w:name="_Toc27439"/>
      <w:bookmarkStart w:id="1075" w:name="_Toc993"/>
      <w:bookmarkStart w:id="1076" w:name="_Toc24732"/>
      <w:bookmarkStart w:id="1077" w:name="_Toc13881"/>
      <w:bookmarkStart w:id="1078" w:name="_Toc465945246"/>
      <w:bookmarkStart w:id="1079" w:name="_Toc14342_WPSOffice_Level2"/>
      <w:bookmarkStart w:id="1080" w:name="_Toc6261"/>
      <w:bookmarkStart w:id="1081" w:name="_Toc13102_WPSOffice_Level2"/>
      <w:bookmarkStart w:id="1082" w:name="_Toc29085_WPSOffice_Level2"/>
      <w:bookmarkStart w:id="1083" w:name="_Toc9157"/>
      <w:bookmarkStart w:id="1084" w:name="_Toc14418_WPSOffice_Level2"/>
      <w:r>
        <w:rPr>
          <w:rFonts w:hint="eastAsia" w:ascii="宋体" w:hAnsi="宋体" w:cs="宋体"/>
          <w:b/>
          <w:bCs/>
          <w:color w:val="auto"/>
          <w:kern w:val="2"/>
          <w:sz w:val="24"/>
          <w:szCs w:val="32"/>
          <w:highlight w:val="none"/>
          <w:lang w:val="en-US" w:eastAsia="zh-CN"/>
        </w:rPr>
        <w:t>六</w:t>
      </w:r>
      <w:r>
        <w:rPr>
          <w:rFonts w:hint="eastAsia" w:ascii="宋体" w:hAnsi="宋体" w:cs="宋体"/>
          <w:b/>
          <w:bCs/>
          <w:color w:val="auto"/>
          <w:kern w:val="2"/>
          <w:sz w:val="24"/>
          <w:szCs w:val="32"/>
          <w:highlight w:val="none"/>
          <w:lang w:val="zh-CN"/>
        </w:rPr>
        <w:t>、商业信誉情况</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14:paraId="5768A250">
      <w:pPr>
        <w:adjustRightInd w:val="0"/>
        <w:snapToGrid w:val="0"/>
        <w:spacing w:line="360" w:lineRule="auto"/>
        <w:jc w:val="left"/>
        <w:outlineLvl w:val="4"/>
        <w:rPr>
          <w:rFonts w:ascii="宋体" w:cs="Times New Roman"/>
          <w:b/>
          <w:bCs/>
          <w:color w:val="auto"/>
          <w:sz w:val="21"/>
          <w:szCs w:val="21"/>
        </w:rPr>
      </w:pPr>
      <w:r>
        <w:rPr>
          <w:rFonts w:hint="eastAsia" w:ascii="宋体" w:hAnsi="宋体" w:cs="宋体"/>
          <w:b/>
          <w:bCs/>
          <w:color w:val="auto"/>
          <w:sz w:val="21"/>
          <w:szCs w:val="21"/>
          <w:lang w:eastAsia="zh-CN"/>
        </w:rPr>
        <w:t>（一）</w:t>
      </w:r>
      <w:r>
        <w:rPr>
          <w:rFonts w:hint="eastAsia" w:ascii="宋体" w:hAnsi="宋体" w:cs="宋体"/>
          <w:b/>
          <w:bCs/>
          <w:color w:val="auto"/>
          <w:sz w:val="21"/>
          <w:szCs w:val="21"/>
        </w:rPr>
        <w:t>投标承诺书</w:t>
      </w:r>
    </w:p>
    <w:p w14:paraId="5E4D3EBB">
      <w:pPr>
        <w:snapToGrid w:val="0"/>
        <w:spacing w:before="240" w:beforeLines="100" w:after="120" w:afterLines="5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本公司承诺：</w:t>
      </w:r>
    </w:p>
    <w:p w14:paraId="578D8259">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遵循公开、公平、公正和诚实守信的原则，参加_________________________的投标。</w:t>
      </w:r>
    </w:p>
    <w:p w14:paraId="522B3AFC">
      <w:pPr>
        <w:snapToGrid w:val="0"/>
        <w:spacing w:line="360" w:lineRule="auto"/>
        <w:ind w:firstLine="420" w:firstLineChars="200"/>
        <w:outlineLvl w:val="3"/>
        <w:rPr>
          <w:rFonts w:hint="eastAsia" w:ascii="宋体" w:hAnsi="宋体" w:eastAsia="宋体" w:cs="宋体"/>
          <w:color w:val="auto"/>
          <w:sz w:val="21"/>
          <w:szCs w:val="21"/>
        </w:rPr>
      </w:pPr>
      <w:r>
        <w:rPr>
          <w:rFonts w:hint="eastAsia" w:ascii="宋体" w:hAnsi="宋体" w:eastAsia="宋体" w:cs="宋体"/>
          <w:color w:val="auto"/>
          <w:sz w:val="21"/>
          <w:szCs w:val="21"/>
        </w:rPr>
        <w:t>一、不提供有违真实的材料。</w:t>
      </w:r>
    </w:p>
    <w:p w14:paraId="583C072B">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二、不与招标人或其他投标人串通投标，损害国家利益、社会利益或他人的合法权益。</w:t>
      </w:r>
    </w:p>
    <w:p w14:paraId="02DA7BF4">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三、不向招标人或评标委员会成员行贿，以谋取中标。</w:t>
      </w:r>
    </w:p>
    <w:p w14:paraId="25C5F467">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四、不以他人名义投标或者其他方式弄虚作假，骗取中标。</w:t>
      </w:r>
    </w:p>
    <w:p w14:paraId="779E35EC">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五、不进行缺乏事实根据或者法律依据的投诉。</w:t>
      </w:r>
    </w:p>
    <w:p w14:paraId="4E615A3A">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六、不在投标中哄抬价格或恶意压价。</w:t>
      </w:r>
    </w:p>
    <w:p w14:paraId="1632815A">
      <w:pPr>
        <w:snapToGrid w:val="0"/>
        <w:spacing w:line="360" w:lineRule="auto"/>
        <w:ind w:firstLine="420" w:firstLineChars="200"/>
        <w:outlineLvl w:val="3"/>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七</w:t>
      </w:r>
      <w:r>
        <w:rPr>
          <w:rFonts w:hint="eastAsia" w:ascii="宋体" w:hAnsi="宋体" w:eastAsia="宋体" w:cs="宋体"/>
          <w:color w:val="auto"/>
          <w:sz w:val="21"/>
          <w:szCs w:val="21"/>
        </w:rPr>
        <w:t>、本公司若违反本投标承诺，愿承担相应的法律责任。</w:t>
      </w:r>
    </w:p>
    <w:p w14:paraId="79489C5B">
      <w:pPr>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sz w:val="21"/>
          <w:szCs w:val="21"/>
          <w:lang w:eastAsia="zh-CN"/>
        </w:rPr>
        <w:t>八</w:t>
      </w:r>
      <w:r>
        <w:rPr>
          <w:rFonts w:hint="eastAsia" w:ascii="宋体" w:hAnsi="宋体" w:eastAsia="宋体" w:cs="宋体"/>
          <w:color w:val="auto"/>
          <w:sz w:val="21"/>
          <w:szCs w:val="21"/>
        </w:rPr>
        <w:t>、其他承诺：______________________________________。</w:t>
      </w:r>
    </w:p>
    <w:p w14:paraId="02E8B579">
      <w:pPr>
        <w:snapToGrid w:val="0"/>
        <w:spacing w:line="360" w:lineRule="auto"/>
        <w:ind w:firstLine="440" w:firstLineChars="200"/>
        <w:jc w:val="right"/>
        <w:rPr>
          <w:rFonts w:hint="eastAsia" w:ascii="宋体" w:hAnsi="宋体" w:eastAsia="宋体" w:cs="宋体"/>
          <w:color w:val="auto"/>
        </w:rPr>
      </w:pPr>
    </w:p>
    <w:p w14:paraId="6EA3913E">
      <w:pPr>
        <w:snapToGrid w:val="0"/>
        <w:spacing w:line="360" w:lineRule="auto"/>
        <w:ind w:firstLine="440" w:firstLineChars="200"/>
        <w:jc w:val="right"/>
        <w:rPr>
          <w:rFonts w:hint="eastAsia" w:ascii="宋体" w:hAnsi="宋体" w:eastAsia="宋体" w:cs="宋体"/>
          <w:color w:val="auto"/>
        </w:rPr>
      </w:pPr>
    </w:p>
    <w:p w14:paraId="4882B728">
      <w:pPr>
        <w:snapToGrid w:val="0"/>
        <w:spacing w:line="480" w:lineRule="auto"/>
        <w:ind w:right="840" w:firstLine="2420" w:firstLineChars="1100"/>
        <w:outlineLvl w:val="4"/>
        <w:rPr>
          <w:rFonts w:hint="eastAsia" w:ascii="宋体" w:hAnsi="宋体" w:eastAsia="宋体" w:cs="宋体"/>
          <w:color w:val="auto"/>
        </w:rPr>
      </w:pPr>
      <w:r>
        <w:rPr>
          <w:rFonts w:hint="eastAsia" w:ascii="宋体" w:hAnsi="宋体" w:eastAsia="宋体" w:cs="宋体"/>
          <w:color w:val="auto"/>
        </w:rPr>
        <w:t>投标</w:t>
      </w:r>
      <w:r>
        <w:rPr>
          <w:rFonts w:hint="eastAsia" w:ascii="宋体" w:hAnsi="宋体" w:eastAsia="宋体" w:cs="宋体"/>
          <w:color w:val="auto"/>
          <w:lang w:eastAsia="zh-CN"/>
        </w:rPr>
        <w:t>人</w:t>
      </w:r>
      <w:r>
        <w:rPr>
          <w:rFonts w:hint="eastAsia" w:ascii="宋体" w:hAnsi="宋体" w:eastAsia="宋体" w:cs="宋体"/>
          <w:color w:val="auto"/>
        </w:rPr>
        <w:t>：___________________（电子签章）</w:t>
      </w:r>
    </w:p>
    <w:p w14:paraId="7B821312">
      <w:pPr>
        <w:snapToGrid w:val="0"/>
        <w:spacing w:line="480" w:lineRule="auto"/>
        <w:ind w:firstLine="440" w:firstLineChars="200"/>
        <w:rPr>
          <w:rFonts w:hint="eastAsia" w:ascii="宋体" w:hAnsi="宋体" w:eastAsia="宋体" w:cs="宋体"/>
          <w:color w:val="auto"/>
        </w:rPr>
      </w:pPr>
      <w:r>
        <w:rPr>
          <w:rFonts w:hint="eastAsia" w:ascii="宋体" w:hAnsi="宋体" w:eastAsia="宋体" w:cs="宋体"/>
          <w:color w:val="auto"/>
        </w:rPr>
        <w:t>法定代表人或其委托代理人：___________________（电子签章）</w:t>
      </w:r>
    </w:p>
    <w:p w14:paraId="179DACC8">
      <w:pPr>
        <w:snapToGrid w:val="0"/>
        <w:spacing w:line="480" w:lineRule="auto"/>
        <w:ind w:left="440" w:leftChars="200" w:firstLine="1980" w:firstLineChars="900"/>
        <w:jc w:val="left"/>
        <w:rPr>
          <w:rFonts w:hint="eastAsia" w:ascii="宋体" w:hAnsi="宋体" w:eastAsia="宋体" w:cs="宋体"/>
          <w:color w:val="auto"/>
        </w:rPr>
      </w:pPr>
      <w:r>
        <w:rPr>
          <w:rFonts w:hint="eastAsia" w:ascii="宋体" w:hAnsi="宋体" w:eastAsia="宋体" w:cs="宋体"/>
          <w:color w:val="auto"/>
        </w:rPr>
        <w:t>年   月   日</w:t>
      </w:r>
    </w:p>
    <w:p w14:paraId="7CAF6164">
      <w:pPr>
        <w:pStyle w:val="372"/>
        <w:snapToGrid w:val="0"/>
        <w:spacing w:before="120" w:beforeLines="50" w:after="240" w:afterLines="100" w:line="480" w:lineRule="auto"/>
        <w:ind w:left="0" w:firstLine="0"/>
        <w:jc w:val="center"/>
        <w:rPr>
          <w:rFonts w:hint="eastAsia" w:ascii="宋体" w:hAnsi="宋体" w:eastAsia="宋体" w:cs="宋体"/>
          <w:color w:val="auto"/>
        </w:rPr>
        <w:sectPr>
          <w:pgSz w:w="11911" w:h="16849"/>
          <w:pgMar w:top="1247" w:right="1304" w:bottom="1247" w:left="1304" w:header="879" w:footer="862" w:gutter="0"/>
          <w:pgNumType w:fmt="decimal"/>
          <w:cols w:space="0" w:num="1"/>
          <w:rtlGutter w:val="0"/>
          <w:docGrid w:linePitch="0" w:charSpace="0"/>
        </w:sectPr>
      </w:pPr>
    </w:p>
    <w:p w14:paraId="2B01CC8A">
      <w:pPr>
        <w:ind w:left="0" w:leftChars="0" w:firstLine="0" w:firstLineChars="0"/>
        <w:jc w:val="left"/>
        <w:rPr>
          <w:rStyle w:val="373"/>
          <w:rFonts w:ascii="宋体" w:cs="Times New Roman"/>
          <w:b/>
          <w:bCs/>
          <w:color w:val="000000" w:themeColor="text1"/>
          <w:sz w:val="21"/>
          <w:szCs w:val="21"/>
          <w:highlight w:val="none"/>
          <w14:textFill>
            <w14:solidFill>
              <w14:schemeClr w14:val="tx1"/>
            </w14:solidFill>
          </w14:textFill>
        </w:rPr>
      </w:pPr>
      <w:r>
        <w:rPr>
          <w:rStyle w:val="373"/>
          <w:rFonts w:hint="eastAsia" w:ascii="宋体" w:hAnsi="宋体" w:eastAsia="宋体" w:cs="宋体"/>
          <w:b/>
          <w:bCs/>
          <w:color w:val="000000" w:themeColor="text1"/>
          <w:sz w:val="21"/>
          <w:szCs w:val="21"/>
          <w:highlight w:val="none"/>
          <w:lang w:eastAsia="zh-CN"/>
          <w14:textFill>
            <w14:solidFill>
              <w14:schemeClr w14:val="tx1"/>
            </w14:solidFill>
          </w14:textFill>
        </w:rPr>
        <w:t>（二）</w:t>
      </w:r>
      <w:r>
        <w:rPr>
          <w:rStyle w:val="373"/>
          <w:rFonts w:hint="eastAsia" w:ascii="宋体" w:hAnsi="宋体" w:cs="宋体"/>
          <w:b/>
          <w:bCs/>
          <w:color w:val="000000" w:themeColor="text1"/>
          <w:sz w:val="21"/>
          <w:szCs w:val="21"/>
          <w:highlight w:val="none"/>
          <w14:textFill>
            <w14:solidFill>
              <w14:schemeClr w14:val="tx1"/>
            </w14:solidFill>
          </w14:textFill>
        </w:rPr>
        <w:t>诚信投标承诺书</w:t>
      </w:r>
    </w:p>
    <w:p w14:paraId="0077C36D">
      <w:pPr>
        <w:pStyle w:val="127"/>
        <w:rPr>
          <w:rFonts w:cs="Times New Roman"/>
          <w:color w:val="000000" w:themeColor="text1"/>
          <w:sz w:val="22"/>
          <w:szCs w:val="22"/>
          <w:highlight w:val="none"/>
          <w14:textFill>
            <w14:solidFill>
              <w14:schemeClr w14:val="tx1"/>
            </w14:solidFill>
          </w14:textFill>
        </w:rPr>
      </w:pPr>
    </w:p>
    <w:p w14:paraId="6DBEDB8B">
      <w:pPr>
        <w:snapToGrid w:val="0"/>
        <w:spacing w:line="360" w:lineRule="auto"/>
        <w:ind w:left="0" w:leftChars="0" w:firstLine="0" w:firstLineChars="0"/>
        <w:jc w:val="left"/>
        <w:rPr>
          <w:rFonts w:ascii="宋体" w:cs="Times New Roman"/>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我方郑重承诺：</w:t>
      </w:r>
    </w:p>
    <w:p w14:paraId="39D1B63D">
      <w:pPr>
        <w:snapToGrid w:val="0"/>
        <w:spacing w:line="480" w:lineRule="auto"/>
        <w:ind w:right="840" w:firstLine="440" w:firstLineChars="200"/>
        <w:outlineLvl w:val="4"/>
        <w:rPr>
          <w:rFonts w:hint="eastAsia" w:ascii="宋体" w:hAnsi="宋体" w:eastAsia="宋体" w:cs="宋体"/>
          <w:color w:val="auto"/>
        </w:rPr>
      </w:pPr>
      <w:r>
        <w:rPr>
          <w:rFonts w:hint="eastAsia" w:ascii="宋体" w:cs="宋体"/>
          <w:color w:val="000000" w:themeColor="text1"/>
          <w:highlight w:val="none"/>
          <w14:textFill>
            <w14:solidFill>
              <w14:schemeClr w14:val="tx1"/>
            </w14:solidFill>
          </w14:textFill>
        </w:rPr>
        <w:t>我方已仔细阅读招标公告及招标文件，理解且认可其告知的诚信投标的相关内容，承诺按照招标文件的有关要求，遵守投标纪律，保证投标文件提交的所有材料和填报的信息是真实、准确、有效和完整的，无弄虚作假行为，对违反以上承诺所造成的后果，愿意接受有关法律法规规定的任何处罚。</w:t>
      </w:r>
      <w:r>
        <w:rPr>
          <w:rFonts w:ascii="宋体" w:cs="Times New Roman"/>
          <w:color w:val="000000" w:themeColor="text1"/>
          <w:highlight w:val="none"/>
          <w14:textFill>
            <w14:solidFill>
              <w14:schemeClr w14:val="tx1"/>
            </w14:solidFill>
          </w14:textFill>
        </w:rPr>
        <w:br w:type="textWrapping"/>
      </w:r>
      <w:r>
        <w:rPr>
          <w:rFonts w:ascii="宋体" w:cs="Times New Roman"/>
          <w:color w:val="000000" w:themeColor="text1"/>
          <w:highlight w:val="none"/>
          <w14:textFill>
            <w14:solidFill>
              <w14:schemeClr w14:val="tx1"/>
            </w14:solidFill>
          </w14:textFill>
        </w:rPr>
        <w:br w:type="textWrapping"/>
      </w:r>
      <w:r>
        <w:rPr>
          <w:rFonts w:ascii="宋体" w:cs="Times New Roman"/>
          <w:color w:val="000000" w:themeColor="text1"/>
          <w:highlight w:val="none"/>
          <w14:textFill>
            <w14:solidFill>
              <w14:schemeClr w14:val="tx1"/>
            </w14:solidFill>
          </w14:textFill>
        </w:rPr>
        <w:br w:type="textWrapping"/>
      </w:r>
      <w:r>
        <w:rPr>
          <w:rFonts w:hint="eastAsia" w:ascii="宋体" w:cs="Times New Roman"/>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auto"/>
        </w:rPr>
        <w:t>投标</w:t>
      </w:r>
      <w:r>
        <w:rPr>
          <w:rFonts w:hint="eastAsia" w:ascii="宋体" w:hAnsi="宋体" w:eastAsia="宋体" w:cs="宋体"/>
          <w:color w:val="auto"/>
          <w:lang w:eastAsia="zh-CN"/>
        </w:rPr>
        <w:t>人</w:t>
      </w:r>
      <w:r>
        <w:rPr>
          <w:rFonts w:hint="eastAsia" w:ascii="宋体" w:hAnsi="宋体" w:eastAsia="宋体" w:cs="宋体"/>
          <w:color w:val="auto"/>
        </w:rPr>
        <w:t>：___________________（电子签章）</w:t>
      </w:r>
    </w:p>
    <w:p w14:paraId="62800E30">
      <w:pPr>
        <w:snapToGrid w:val="0"/>
        <w:spacing w:line="480" w:lineRule="auto"/>
        <w:ind w:firstLine="440" w:firstLineChars="200"/>
        <w:rPr>
          <w:rFonts w:hint="eastAsia" w:ascii="宋体" w:hAnsi="宋体" w:eastAsia="宋体" w:cs="宋体"/>
          <w:color w:val="auto"/>
        </w:rPr>
      </w:pPr>
      <w:r>
        <w:rPr>
          <w:rFonts w:hint="eastAsia" w:ascii="宋体" w:hAnsi="宋体" w:eastAsia="宋体" w:cs="宋体"/>
          <w:color w:val="auto"/>
        </w:rPr>
        <w:t>法定代表人或其委托代理人：___________________（电子签章）</w:t>
      </w:r>
    </w:p>
    <w:p w14:paraId="5EF16645">
      <w:pPr>
        <w:snapToGrid w:val="0"/>
        <w:spacing w:line="480" w:lineRule="auto"/>
        <w:ind w:left="440" w:leftChars="200" w:firstLine="1760" w:firstLineChars="800"/>
        <w:jc w:val="left"/>
        <w:rPr>
          <w:rFonts w:hint="eastAsia" w:ascii="宋体" w:hAnsi="宋体" w:eastAsia="宋体" w:cs="宋体"/>
          <w:color w:val="auto"/>
        </w:rPr>
      </w:pPr>
      <w:r>
        <w:rPr>
          <w:rFonts w:hint="eastAsia" w:ascii="宋体" w:hAnsi="宋体" w:eastAsia="宋体" w:cs="宋体"/>
          <w:color w:val="auto"/>
        </w:rPr>
        <w:t>年   月   日</w:t>
      </w:r>
    </w:p>
    <w:p w14:paraId="134D6B25">
      <w:pPr>
        <w:spacing w:before="156" w:beforeLines="50" w:line="432" w:lineRule="auto"/>
        <w:ind w:firstLine="0"/>
        <w:rPr>
          <w:rFonts w:hint="eastAsia" w:ascii="宋体" w:hAnsi="宋体" w:cs="宋体"/>
          <w:b/>
          <w:color w:val="auto"/>
          <w:highlight w:val="none"/>
        </w:rPr>
      </w:pPr>
    </w:p>
    <w:p w14:paraId="7448E137">
      <w:pPr>
        <w:pStyle w:val="14"/>
        <w:rPr>
          <w:rFonts w:hint="eastAsia" w:ascii="宋体" w:hAnsi="宋体" w:cs="宋体"/>
          <w:b/>
          <w:color w:val="auto"/>
          <w:highlight w:val="none"/>
        </w:rPr>
      </w:pPr>
    </w:p>
    <w:p w14:paraId="6123464F">
      <w:pPr>
        <w:rPr>
          <w:rFonts w:hint="eastAsia" w:ascii="宋体" w:hAnsi="宋体" w:cs="宋体"/>
          <w:b/>
          <w:color w:val="auto"/>
          <w:highlight w:val="none"/>
        </w:rPr>
      </w:pPr>
    </w:p>
    <w:p w14:paraId="4E065C8E">
      <w:pPr>
        <w:pStyle w:val="14"/>
        <w:rPr>
          <w:rFonts w:hint="eastAsia" w:ascii="宋体" w:hAnsi="宋体" w:cs="宋体"/>
          <w:b/>
          <w:color w:val="auto"/>
          <w:highlight w:val="none"/>
        </w:rPr>
      </w:pPr>
    </w:p>
    <w:p w14:paraId="44867450">
      <w:pPr>
        <w:rPr>
          <w:rFonts w:hint="eastAsia" w:ascii="宋体" w:hAnsi="宋体" w:cs="宋体"/>
          <w:b/>
          <w:color w:val="auto"/>
          <w:highlight w:val="none"/>
        </w:rPr>
      </w:pPr>
    </w:p>
    <w:p w14:paraId="474C5B7C">
      <w:pPr>
        <w:pStyle w:val="14"/>
        <w:rPr>
          <w:rFonts w:hint="eastAsia" w:ascii="宋体" w:hAnsi="宋体" w:cs="宋体"/>
          <w:b/>
          <w:color w:val="auto"/>
          <w:highlight w:val="none"/>
        </w:rPr>
      </w:pPr>
    </w:p>
    <w:p w14:paraId="4096C673">
      <w:pPr>
        <w:rPr>
          <w:rFonts w:hint="eastAsia" w:ascii="宋体" w:hAnsi="宋体" w:cs="宋体"/>
          <w:b/>
          <w:color w:val="auto"/>
          <w:highlight w:val="none"/>
        </w:rPr>
      </w:pPr>
    </w:p>
    <w:p w14:paraId="512F667A">
      <w:pPr>
        <w:pStyle w:val="14"/>
        <w:rPr>
          <w:rFonts w:hint="eastAsia" w:ascii="宋体" w:hAnsi="宋体" w:cs="宋体"/>
          <w:b/>
          <w:color w:val="auto"/>
          <w:highlight w:val="none"/>
        </w:rPr>
      </w:pPr>
    </w:p>
    <w:p w14:paraId="6403E023">
      <w:pPr>
        <w:rPr>
          <w:rFonts w:hint="eastAsia" w:ascii="宋体" w:hAnsi="宋体" w:cs="宋体"/>
          <w:b/>
          <w:color w:val="auto"/>
          <w:highlight w:val="none"/>
        </w:rPr>
      </w:pPr>
    </w:p>
    <w:p w14:paraId="5BF35750">
      <w:pPr>
        <w:pStyle w:val="14"/>
        <w:rPr>
          <w:rFonts w:hint="eastAsia" w:ascii="宋体" w:hAnsi="宋体" w:cs="宋体"/>
          <w:b/>
          <w:color w:val="auto"/>
          <w:highlight w:val="none"/>
        </w:rPr>
      </w:pPr>
    </w:p>
    <w:p w14:paraId="0CC252A6">
      <w:pPr>
        <w:rPr>
          <w:rFonts w:hint="eastAsia" w:ascii="宋体" w:hAnsi="宋体" w:cs="宋体"/>
          <w:b/>
          <w:color w:val="auto"/>
          <w:highlight w:val="none"/>
        </w:rPr>
      </w:pPr>
    </w:p>
    <w:p w14:paraId="1108D9E1">
      <w:pPr>
        <w:pStyle w:val="14"/>
        <w:rPr>
          <w:rFonts w:hint="eastAsia" w:ascii="宋体" w:hAnsi="宋体" w:cs="宋体"/>
          <w:b/>
          <w:color w:val="auto"/>
          <w:highlight w:val="none"/>
        </w:rPr>
      </w:pPr>
    </w:p>
    <w:p w14:paraId="650E4819">
      <w:pPr>
        <w:rPr>
          <w:rFonts w:hint="eastAsia" w:ascii="宋体" w:hAnsi="宋体" w:cs="宋体"/>
          <w:b/>
          <w:color w:val="auto"/>
          <w:highlight w:val="none"/>
        </w:rPr>
      </w:pPr>
    </w:p>
    <w:p w14:paraId="6972717A">
      <w:pPr>
        <w:pStyle w:val="14"/>
        <w:rPr>
          <w:rFonts w:hint="eastAsia" w:ascii="宋体" w:hAnsi="宋体" w:cs="宋体"/>
          <w:b/>
          <w:color w:val="auto"/>
          <w:highlight w:val="none"/>
        </w:rPr>
      </w:pPr>
    </w:p>
    <w:p w14:paraId="5AFD66A3">
      <w:pPr>
        <w:rPr>
          <w:rFonts w:hint="eastAsia" w:ascii="宋体" w:hAnsi="宋体" w:cs="宋体"/>
          <w:b/>
          <w:color w:val="auto"/>
          <w:highlight w:val="none"/>
        </w:rPr>
      </w:pPr>
    </w:p>
    <w:p w14:paraId="4C84AAC7">
      <w:pPr>
        <w:pStyle w:val="14"/>
        <w:rPr>
          <w:rFonts w:hint="eastAsia" w:ascii="宋体" w:hAnsi="宋体" w:cs="宋体"/>
          <w:b/>
          <w:color w:val="auto"/>
          <w:highlight w:val="none"/>
        </w:rPr>
      </w:pPr>
    </w:p>
    <w:p w14:paraId="26B959E9">
      <w:pPr>
        <w:rPr>
          <w:rFonts w:hint="eastAsia" w:ascii="宋体" w:hAnsi="宋体" w:cs="宋体"/>
          <w:b/>
          <w:color w:val="auto"/>
          <w:highlight w:val="none"/>
        </w:rPr>
      </w:pPr>
    </w:p>
    <w:p w14:paraId="6A2C8391">
      <w:pPr>
        <w:pStyle w:val="14"/>
        <w:rPr>
          <w:rFonts w:hint="eastAsia" w:ascii="宋体" w:hAnsi="宋体" w:cs="宋体"/>
          <w:b/>
          <w:color w:val="auto"/>
          <w:highlight w:val="none"/>
        </w:rPr>
      </w:pPr>
    </w:p>
    <w:p w14:paraId="2F9A7AD7">
      <w:pPr>
        <w:rPr>
          <w:rFonts w:hint="eastAsia" w:ascii="宋体" w:hAnsi="宋体" w:cs="宋体"/>
          <w:b/>
          <w:color w:val="auto"/>
          <w:highlight w:val="none"/>
        </w:rPr>
      </w:pPr>
    </w:p>
    <w:p w14:paraId="631BC7CE">
      <w:pPr>
        <w:pStyle w:val="14"/>
        <w:rPr>
          <w:rFonts w:hint="eastAsia"/>
        </w:rPr>
      </w:pPr>
    </w:p>
    <w:p w14:paraId="4B456795">
      <w:pPr>
        <w:spacing w:before="156" w:beforeLines="50" w:line="432" w:lineRule="auto"/>
        <w:ind w:firstLine="0"/>
        <w:rPr>
          <w:rFonts w:hint="eastAsia" w:ascii="宋体" w:hAnsi="宋体" w:eastAsia="宋体" w:cs="宋体"/>
          <w:b/>
          <w:color w:val="auto"/>
          <w:highlight w:val="none"/>
          <w:lang w:eastAsia="zh-CN"/>
        </w:rPr>
      </w:pPr>
      <w:r>
        <w:rPr>
          <w:rFonts w:hint="eastAsia" w:ascii="宋体" w:hAnsi="宋体" w:cs="宋体"/>
          <w:b/>
          <w:color w:val="auto"/>
          <w:highlight w:val="none"/>
          <w:lang w:eastAsia="zh-CN"/>
        </w:rPr>
        <w:t>（三）承诺</w:t>
      </w:r>
    </w:p>
    <w:p w14:paraId="79F2AB27">
      <w:pPr>
        <w:spacing w:before="156" w:beforeLines="50" w:line="432" w:lineRule="auto"/>
        <w:ind w:firstLine="0"/>
        <w:rPr>
          <w:rFonts w:hint="eastAsia" w:ascii="宋体" w:hAnsi="宋体" w:cs="宋体"/>
          <w:b/>
          <w:color w:val="auto"/>
          <w:highlight w:val="none"/>
        </w:rPr>
      </w:pPr>
      <w:r>
        <w:rPr>
          <w:rFonts w:hint="eastAsia" w:ascii="宋体" w:hAnsi="宋体" w:cs="宋体"/>
          <w:b/>
          <w:color w:val="auto"/>
          <w:highlight w:val="none"/>
        </w:rPr>
        <w:t>致：</w:t>
      </w:r>
      <w:r>
        <w:rPr>
          <w:rFonts w:hint="eastAsia" w:ascii="宋体" w:hAnsi="宋体" w:cs="宋体"/>
          <w:b/>
          <w:color w:val="auto"/>
          <w:highlight w:val="none"/>
          <w:u w:val="single"/>
        </w:rPr>
        <w:t>（招标人全称）</w:t>
      </w:r>
    </w:p>
    <w:p w14:paraId="580F598C">
      <w:pPr>
        <w:spacing w:line="432" w:lineRule="auto"/>
        <w:ind w:firstLine="440" w:firstLineChars="200"/>
        <w:rPr>
          <w:rFonts w:hint="eastAsia" w:ascii="宋体" w:hAnsi="宋体" w:cs="宋体"/>
          <w:color w:val="auto"/>
          <w:highlight w:val="none"/>
        </w:rPr>
      </w:pPr>
      <w:r>
        <w:rPr>
          <w:rFonts w:hint="eastAsia" w:ascii="宋体" w:hAnsi="宋体" w:cs="宋体"/>
          <w:color w:val="auto"/>
          <w:highlight w:val="none"/>
        </w:rPr>
        <w:t>本企业参与</w:t>
      </w:r>
      <w:r>
        <w:rPr>
          <w:rFonts w:hint="eastAsia" w:ascii="宋体" w:hAnsi="宋体" w:cs="宋体"/>
          <w:b/>
          <w:color w:val="auto"/>
          <w:highlight w:val="none"/>
          <w:u w:val="single"/>
        </w:rPr>
        <w:t>（项目名称）</w:t>
      </w:r>
      <w:r>
        <w:rPr>
          <w:rFonts w:hint="eastAsia" w:ascii="宋体" w:hAnsi="宋体" w:cs="宋体"/>
          <w:color w:val="auto"/>
          <w:highlight w:val="none"/>
        </w:rPr>
        <w:t>的投标，本人</w:t>
      </w:r>
      <w:r>
        <w:rPr>
          <w:rFonts w:hint="eastAsia" w:ascii="宋体" w:hAnsi="宋体" w:cs="宋体"/>
          <w:b/>
          <w:color w:val="auto"/>
          <w:highlight w:val="none"/>
          <w:u w:val="single"/>
        </w:rPr>
        <w:t>（法定代表人姓名）</w:t>
      </w:r>
      <w:r>
        <w:rPr>
          <w:rFonts w:hint="eastAsia" w:ascii="宋体" w:hAnsi="宋体" w:cs="宋体"/>
          <w:color w:val="auto"/>
          <w:highlight w:val="none"/>
        </w:rPr>
        <w:t>以</w:t>
      </w:r>
      <w:r>
        <w:rPr>
          <w:rFonts w:hint="eastAsia" w:ascii="宋体" w:hAnsi="宋体" w:cs="宋体"/>
          <w:b/>
          <w:color w:val="auto"/>
          <w:highlight w:val="none"/>
          <w:u w:val="single"/>
        </w:rPr>
        <w:t>（投标人全称）</w:t>
      </w:r>
      <w:r>
        <w:rPr>
          <w:rFonts w:hint="eastAsia" w:ascii="宋体" w:hAnsi="宋体" w:cs="宋体"/>
          <w:color w:val="auto"/>
          <w:highlight w:val="none"/>
        </w:rPr>
        <w:t>法定代表人的资格，现作如下承诺：</w:t>
      </w:r>
    </w:p>
    <w:p w14:paraId="3E4C819F">
      <w:pPr>
        <w:widowControl w:val="0"/>
        <w:wordWrap w:val="0"/>
        <w:topLinePunct/>
        <w:spacing w:line="360" w:lineRule="auto"/>
        <w:ind w:firstLine="440" w:firstLineChars="200"/>
        <w:jc w:val="both"/>
        <w:rPr>
          <w:rFonts w:hint="eastAsia" w:ascii="宋体" w:hAnsi="宋体" w:cs="宋体"/>
          <w:b/>
          <w:color w:val="auto"/>
          <w:highlight w:val="none"/>
        </w:rPr>
      </w:pPr>
      <w:r>
        <w:rPr>
          <w:rFonts w:hint="eastAsia" w:ascii="宋体" w:hAnsi="宋体" w:cs="宋体"/>
          <w:b/>
          <w:color w:val="auto"/>
          <w:highlight w:val="none"/>
          <w:u w:val="single"/>
        </w:rPr>
        <w:t>（投标人全称）</w:t>
      </w:r>
      <w:r>
        <w:rPr>
          <w:rFonts w:hint="eastAsia" w:ascii="宋体" w:hAnsi="宋体" w:cs="宋体"/>
          <w:color w:val="auto"/>
          <w:highlight w:val="none"/>
        </w:rPr>
        <w:t>近三年（202</w:t>
      </w:r>
      <w:r>
        <w:rPr>
          <w:rFonts w:hint="eastAsia" w:ascii="宋体" w:hAnsi="宋体" w:cs="宋体"/>
          <w:color w:val="auto"/>
          <w:highlight w:val="none"/>
          <w:lang w:val="en-US" w:eastAsia="zh-CN"/>
        </w:rPr>
        <w:t>3</w:t>
      </w:r>
      <w:r>
        <w:rPr>
          <w:rFonts w:hint="eastAsia" w:ascii="宋体" w:hAnsi="宋体" w:cs="宋体"/>
          <w:color w:val="auto"/>
          <w:highlight w:val="none"/>
        </w:rPr>
        <w:t>年1月1日至今）投标人在经营活动中</w:t>
      </w:r>
      <w:r>
        <w:rPr>
          <w:rFonts w:hint="eastAsia" w:ascii="宋体" w:hAnsi="宋体" w:cs="宋体"/>
          <w:color w:val="000000"/>
          <w:lang w:val="zh-CN"/>
        </w:rPr>
        <w:t>没有处于被责令停产、投标资格取消、财产被接管或冻结、破产等状态；未曾骗取中标或严重违约或发生重大工程质量、安全事故，没有被行政主管部门列入黑名单的情况，</w:t>
      </w:r>
      <w:r>
        <w:rPr>
          <w:rFonts w:hint="eastAsia" w:ascii="宋体" w:hAnsi="宋体" w:cs="宋体"/>
          <w:color w:val="auto"/>
          <w:highlight w:val="none"/>
        </w:rPr>
        <w:t>若</w:t>
      </w:r>
      <w:r>
        <w:rPr>
          <w:rFonts w:hint="eastAsia" w:ascii="宋体" w:hAnsi="宋体" w:cs="宋体"/>
          <w:b/>
          <w:color w:val="auto"/>
          <w:highlight w:val="none"/>
          <w:u w:val="single"/>
        </w:rPr>
        <w:t>（投标人全称）</w:t>
      </w:r>
      <w:r>
        <w:rPr>
          <w:rFonts w:hint="eastAsia" w:ascii="宋体" w:hAnsi="宋体" w:cs="宋体"/>
          <w:b/>
          <w:color w:val="auto"/>
          <w:highlight w:val="none"/>
        </w:rPr>
        <w:t>有谎报、漏报，一经查实，我公司愿意接受行政主管部门依照有关规定作出的处理和处罚决定。</w:t>
      </w:r>
    </w:p>
    <w:p w14:paraId="0F98C3F1">
      <w:pPr>
        <w:widowControl w:val="0"/>
        <w:wordWrap w:val="0"/>
        <w:topLinePunct/>
        <w:spacing w:line="360" w:lineRule="auto"/>
        <w:ind w:firstLine="440" w:firstLineChars="200"/>
        <w:jc w:val="both"/>
        <w:rPr>
          <w:rFonts w:hint="eastAsia" w:ascii="宋体" w:hAnsi="宋体" w:cs="宋体"/>
          <w:color w:val="auto"/>
          <w:kern w:val="2"/>
          <w:highlight w:val="none"/>
        </w:rPr>
      </w:pPr>
      <w:r>
        <w:rPr>
          <w:rFonts w:hint="eastAsia" w:ascii="宋体" w:hAnsi="宋体" w:cs="宋体"/>
          <w:b/>
          <w:color w:val="auto"/>
          <w:highlight w:val="none"/>
        </w:rPr>
        <w:t>附上述网站信息查询记录的网页截图。</w:t>
      </w:r>
    </w:p>
    <w:p w14:paraId="42D33FC8">
      <w:pPr>
        <w:widowControl w:val="0"/>
        <w:spacing w:line="360" w:lineRule="auto"/>
        <w:ind w:firstLine="440" w:firstLineChars="200"/>
        <w:jc w:val="right"/>
        <w:rPr>
          <w:rFonts w:hint="eastAsia" w:ascii="宋体" w:hAnsi="宋体" w:cs="宋体"/>
          <w:color w:val="auto"/>
          <w:kern w:val="2"/>
          <w:szCs w:val="24"/>
          <w:highlight w:val="none"/>
        </w:rPr>
      </w:pPr>
    </w:p>
    <w:p w14:paraId="5D4D5923">
      <w:pPr>
        <w:snapToGrid w:val="0"/>
        <w:spacing w:line="480" w:lineRule="auto"/>
        <w:ind w:right="840" w:firstLine="2420" w:firstLineChars="1100"/>
        <w:outlineLvl w:val="4"/>
        <w:rPr>
          <w:rFonts w:hint="eastAsia" w:ascii="宋体" w:hAnsi="宋体" w:eastAsia="宋体" w:cs="宋体"/>
          <w:color w:val="auto"/>
        </w:rPr>
      </w:pPr>
      <w:r>
        <w:rPr>
          <w:rFonts w:hint="eastAsia" w:ascii="宋体" w:hAnsi="宋体" w:eastAsia="宋体" w:cs="宋体"/>
          <w:color w:val="auto"/>
        </w:rPr>
        <w:t>投标</w:t>
      </w:r>
      <w:r>
        <w:rPr>
          <w:rFonts w:hint="eastAsia" w:ascii="宋体" w:hAnsi="宋体" w:eastAsia="宋体" w:cs="宋体"/>
          <w:color w:val="auto"/>
          <w:lang w:eastAsia="zh-CN"/>
        </w:rPr>
        <w:t>人</w:t>
      </w:r>
      <w:r>
        <w:rPr>
          <w:rFonts w:hint="eastAsia" w:ascii="宋体" w:hAnsi="宋体" w:eastAsia="宋体" w:cs="宋体"/>
          <w:color w:val="auto"/>
        </w:rPr>
        <w:t>：___________________（电子签章）</w:t>
      </w:r>
    </w:p>
    <w:p w14:paraId="1C78E279">
      <w:pPr>
        <w:snapToGrid w:val="0"/>
        <w:spacing w:line="480" w:lineRule="auto"/>
        <w:ind w:firstLine="440" w:firstLineChars="200"/>
        <w:rPr>
          <w:rFonts w:hint="eastAsia" w:ascii="宋体" w:hAnsi="宋体" w:eastAsia="宋体" w:cs="宋体"/>
          <w:color w:val="auto"/>
        </w:rPr>
      </w:pPr>
      <w:r>
        <w:rPr>
          <w:rFonts w:hint="eastAsia" w:ascii="宋体" w:hAnsi="宋体" w:eastAsia="宋体" w:cs="宋体"/>
          <w:color w:val="auto"/>
        </w:rPr>
        <w:t>法定代表人或其委托代理人：___________________（电子签章）</w:t>
      </w:r>
    </w:p>
    <w:p w14:paraId="38F7718D">
      <w:pPr>
        <w:widowControl w:val="0"/>
        <w:spacing w:line="560" w:lineRule="exact"/>
        <w:ind w:firstLine="3080" w:firstLineChars="1400"/>
        <w:jc w:val="both"/>
        <w:rPr>
          <w:rFonts w:hint="eastAsia" w:ascii="宋体" w:hAnsi="宋体" w:cs="宋体"/>
          <w:color w:val="auto"/>
          <w:kern w:val="2"/>
          <w:szCs w:val="20"/>
          <w:highlight w:val="none"/>
          <w:lang w:val="zh-CN"/>
        </w:rPr>
      </w:pPr>
      <w:r>
        <w:rPr>
          <w:rFonts w:hint="eastAsia" w:ascii="宋体" w:hAnsi="宋体" w:eastAsia="宋体" w:cs="宋体"/>
          <w:color w:val="auto"/>
        </w:rPr>
        <w:t>年   月   日</w:t>
      </w:r>
    </w:p>
    <w:p w14:paraId="2C26B76F">
      <w:pPr>
        <w:widowControl w:val="0"/>
        <w:spacing w:line="560" w:lineRule="exact"/>
        <w:ind w:firstLine="480" w:firstLineChars="200"/>
        <w:rPr>
          <w:rFonts w:hint="eastAsia" w:ascii="宋体" w:hAnsi="宋体" w:eastAsia="宋体" w:cs="宋体"/>
          <w:b/>
          <w:bCs/>
          <w:color w:val="auto"/>
          <w:kern w:val="2"/>
          <w:szCs w:val="20"/>
          <w:highlight w:val="none"/>
          <w:lang w:val="zh-CN" w:eastAsia="zh-CN"/>
        </w:rPr>
      </w:pPr>
      <w:r>
        <w:rPr>
          <w:rFonts w:hint="eastAsia" w:ascii="宋体" w:hAnsi="宋体" w:cs="宋体"/>
          <w:color w:val="auto"/>
          <w:kern w:val="2"/>
          <w:sz w:val="24"/>
          <w:szCs w:val="21"/>
          <w:highlight w:val="none"/>
        </w:rPr>
        <w:br w:type="page"/>
      </w:r>
      <w:r>
        <w:rPr>
          <w:rFonts w:hint="eastAsia" w:ascii="宋体" w:hAnsi="宋体" w:cs="宋体"/>
          <w:b/>
          <w:bCs/>
          <w:color w:val="auto"/>
          <w:kern w:val="2"/>
          <w:sz w:val="21"/>
          <w:szCs w:val="21"/>
          <w:highlight w:val="none"/>
          <w:lang w:eastAsia="zh-CN"/>
        </w:rPr>
        <w:t>（四）</w:t>
      </w:r>
      <w:r>
        <w:rPr>
          <w:rFonts w:hint="eastAsia" w:ascii="宋体" w:hAnsi="宋体" w:cs="宋体"/>
          <w:b/>
          <w:bCs/>
          <w:color w:val="000000"/>
          <w:sz w:val="21"/>
          <w:szCs w:val="21"/>
          <w:lang w:val="zh-CN"/>
        </w:rPr>
        <w:t>近三年（</w:t>
      </w:r>
      <w:r>
        <w:rPr>
          <w:rFonts w:hint="eastAsia" w:ascii="宋体" w:hAnsi="宋体" w:cs="宋体"/>
          <w:b/>
          <w:bCs/>
          <w:color w:val="000000"/>
          <w:sz w:val="21"/>
          <w:szCs w:val="21"/>
          <w:lang w:val="en-US" w:eastAsia="zh-CN"/>
        </w:rPr>
        <w:t>2023年1月1日至今</w:t>
      </w:r>
      <w:r>
        <w:rPr>
          <w:rFonts w:hint="eastAsia" w:ascii="宋体" w:hAnsi="宋体" w:cs="宋体"/>
          <w:b/>
          <w:bCs/>
          <w:color w:val="000000"/>
          <w:sz w:val="21"/>
          <w:szCs w:val="21"/>
          <w:lang w:val="zh-CN"/>
        </w:rPr>
        <w:t>）企业、企业法定代表人及拟派项目负责人</w:t>
      </w:r>
      <w:r>
        <w:rPr>
          <w:rFonts w:hint="eastAsia" w:ascii="宋体" w:hAnsi="宋体" w:cs="宋体"/>
          <w:b/>
          <w:bCs/>
          <w:color w:val="000000"/>
          <w:sz w:val="21"/>
          <w:szCs w:val="21"/>
        </w:rPr>
        <w:t>无行贿犯罪记录</w:t>
      </w:r>
    </w:p>
    <w:p w14:paraId="077AEEFD">
      <w:pPr>
        <w:keepNext/>
        <w:keepLines/>
        <w:widowControl w:val="0"/>
        <w:ind w:firstLine="420" w:firstLineChars="200"/>
        <w:jc w:val="both"/>
        <w:rPr>
          <w:rFonts w:hint="eastAsia" w:ascii="宋体" w:hAnsi="宋体" w:cs="宋体"/>
          <w:color w:val="000000"/>
          <w:sz w:val="21"/>
          <w:szCs w:val="21"/>
          <w:lang w:val="zh-CN"/>
        </w:rPr>
      </w:pPr>
    </w:p>
    <w:p w14:paraId="120AD34C">
      <w:pPr>
        <w:keepNext/>
        <w:keepLines/>
        <w:widowControl w:val="0"/>
        <w:ind w:left="0" w:leftChars="0" w:firstLine="420" w:firstLineChars="200"/>
        <w:jc w:val="both"/>
        <w:rPr>
          <w:rFonts w:hint="eastAsia" w:ascii="宋体" w:hAnsi="宋体" w:eastAsia="宋体" w:cs="宋体"/>
          <w:b/>
          <w:bCs/>
          <w:color w:val="auto"/>
          <w:kern w:val="2"/>
          <w:sz w:val="21"/>
          <w:szCs w:val="21"/>
          <w:highlight w:val="none"/>
          <w:lang w:eastAsia="zh-CN"/>
        </w:rPr>
      </w:pPr>
      <w:r>
        <w:rPr>
          <w:rFonts w:hint="eastAsia" w:ascii="宋体" w:hAnsi="宋体" w:cs="宋体"/>
          <w:color w:val="000000"/>
          <w:sz w:val="21"/>
          <w:szCs w:val="21"/>
          <w:lang w:val="zh-CN"/>
        </w:rPr>
        <w:t>投标人自行在中国裁判文书网查询，提供承诺函（格式自拟）</w:t>
      </w:r>
      <w:r>
        <w:rPr>
          <w:rFonts w:hint="eastAsia" w:ascii="宋体" w:hAnsi="宋体" w:cs="宋体"/>
          <w:color w:val="000000"/>
          <w:sz w:val="21"/>
          <w:szCs w:val="21"/>
        </w:rPr>
        <w:t>及查询结果截图，原件扫描</w:t>
      </w:r>
      <w:r>
        <w:rPr>
          <w:rFonts w:hint="eastAsia" w:ascii="宋体" w:hAnsi="宋体" w:cs="宋体"/>
          <w:color w:val="000000"/>
          <w:sz w:val="21"/>
          <w:szCs w:val="21"/>
          <w:lang w:eastAsia="zh-CN"/>
        </w:rPr>
        <w:t>上传。</w:t>
      </w:r>
    </w:p>
    <w:p w14:paraId="5DFE1D1B">
      <w:pPr>
        <w:keepNext/>
        <w:keepLines/>
        <w:widowControl w:val="0"/>
        <w:ind w:firstLine="640" w:firstLineChars="200"/>
        <w:jc w:val="both"/>
        <w:rPr>
          <w:rFonts w:hint="eastAsia" w:ascii="宋体" w:hAnsi="宋体" w:cs="宋体"/>
          <w:b/>
          <w:bCs/>
          <w:color w:val="auto"/>
          <w:kern w:val="2"/>
          <w:sz w:val="32"/>
          <w:szCs w:val="30"/>
          <w:highlight w:val="none"/>
        </w:rPr>
      </w:pPr>
    </w:p>
    <w:p w14:paraId="11555C0C">
      <w:pPr>
        <w:keepNext/>
        <w:keepLines/>
        <w:widowControl w:val="0"/>
        <w:ind w:firstLine="640" w:firstLineChars="200"/>
        <w:jc w:val="both"/>
        <w:rPr>
          <w:rFonts w:hint="eastAsia" w:ascii="宋体" w:hAnsi="宋体" w:cs="宋体"/>
          <w:b/>
          <w:bCs/>
          <w:color w:val="auto"/>
          <w:kern w:val="2"/>
          <w:sz w:val="32"/>
          <w:szCs w:val="30"/>
          <w:highlight w:val="none"/>
        </w:rPr>
      </w:pPr>
    </w:p>
    <w:p w14:paraId="78C7F9D2">
      <w:pPr>
        <w:pStyle w:val="14"/>
        <w:rPr>
          <w:rFonts w:hint="eastAsia" w:ascii="宋体" w:hAnsi="宋体" w:cs="宋体"/>
          <w:b/>
          <w:bCs/>
          <w:color w:val="auto"/>
          <w:kern w:val="2"/>
          <w:sz w:val="32"/>
          <w:szCs w:val="30"/>
          <w:highlight w:val="none"/>
        </w:rPr>
      </w:pPr>
    </w:p>
    <w:p w14:paraId="67F82685">
      <w:pPr>
        <w:rPr>
          <w:rFonts w:hint="eastAsia" w:ascii="宋体" w:hAnsi="宋体" w:cs="宋体"/>
          <w:b/>
          <w:bCs/>
          <w:color w:val="auto"/>
          <w:kern w:val="2"/>
          <w:sz w:val="32"/>
          <w:szCs w:val="30"/>
          <w:highlight w:val="none"/>
        </w:rPr>
      </w:pPr>
    </w:p>
    <w:p w14:paraId="38F1A575">
      <w:pPr>
        <w:pStyle w:val="14"/>
        <w:rPr>
          <w:rFonts w:hint="eastAsia" w:ascii="宋体" w:hAnsi="宋体" w:cs="宋体"/>
          <w:b/>
          <w:bCs/>
          <w:color w:val="auto"/>
          <w:kern w:val="2"/>
          <w:sz w:val="32"/>
          <w:szCs w:val="30"/>
          <w:highlight w:val="none"/>
        </w:rPr>
      </w:pPr>
    </w:p>
    <w:p w14:paraId="6227B73A">
      <w:pPr>
        <w:rPr>
          <w:rFonts w:hint="eastAsia" w:ascii="宋体" w:hAnsi="宋体" w:cs="宋体"/>
          <w:b/>
          <w:bCs/>
          <w:color w:val="auto"/>
          <w:kern w:val="2"/>
          <w:sz w:val="32"/>
          <w:szCs w:val="30"/>
          <w:highlight w:val="none"/>
        </w:rPr>
      </w:pPr>
    </w:p>
    <w:p w14:paraId="238D9F36">
      <w:pPr>
        <w:pStyle w:val="14"/>
        <w:rPr>
          <w:rFonts w:hint="eastAsia" w:ascii="宋体" w:hAnsi="宋体" w:cs="宋体"/>
          <w:b/>
          <w:bCs/>
          <w:color w:val="auto"/>
          <w:kern w:val="2"/>
          <w:sz w:val="32"/>
          <w:szCs w:val="30"/>
          <w:highlight w:val="none"/>
        </w:rPr>
      </w:pPr>
    </w:p>
    <w:p w14:paraId="4AEF3C36">
      <w:pPr>
        <w:rPr>
          <w:rFonts w:hint="eastAsia" w:ascii="宋体" w:hAnsi="宋体" w:cs="宋体"/>
          <w:b/>
          <w:bCs/>
          <w:color w:val="auto"/>
          <w:kern w:val="2"/>
          <w:sz w:val="32"/>
          <w:szCs w:val="30"/>
          <w:highlight w:val="none"/>
        </w:rPr>
      </w:pPr>
    </w:p>
    <w:p w14:paraId="733CFF45">
      <w:pPr>
        <w:pStyle w:val="14"/>
        <w:rPr>
          <w:rFonts w:hint="eastAsia" w:ascii="宋体" w:hAnsi="宋体" w:cs="宋体"/>
          <w:b/>
          <w:bCs/>
          <w:color w:val="auto"/>
          <w:kern w:val="2"/>
          <w:sz w:val="32"/>
          <w:szCs w:val="30"/>
          <w:highlight w:val="none"/>
        </w:rPr>
      </w:pPr>
    </w:p>
    <w:p w14:paraId="61DCBCEA">
      <w:pPr>
        <w:rPr>
          <w:rFonts w:hint="eastAsia" w:ascii="宋体" w:hAnsi="宋体" w:cs="宋体"/>
          <w:b/>
          <w:bCs/>
          <w:color w:val="auto"/>
          <w:kern w:val="2"/>
          <w:sz w:val="32"/>
          <w:szCs w:val="30"/>
          <w:highlight w:val="none"/>
        </w:rPr>
      </w:pPr>
    </w:p>
    <w:p w14:paraId="1DAB57FD">
      <w:pPr>
        <w:pStyle w:val="14"/>
        <w:rPr>
          <w:rFonts w:hint="eastAsia" w:ascii="宋体" w:hAnsi="宋体" w:cs="宋体"/>
          <w:b/>
          <w:bCs/>
          <w:color w:val="auto"/>
          <w:kern w:val="2"/>
          <w:sz w:val="32"/>
          <w:szCs w:val="30"/>
          <w:highlight w:val="none"/>
        </w:rPr>
      </w:pPr>
    </w:p>
    <w:p w14:paraId="1AAE1428">
      <w:pPr>
        <w:rPr>
          <w:rFonts w:hint="eastAsia" w:ascii="宋体" w:hAnsi="宋体" w:cs="宋体"/>
          <w:b/>
          <w:bCs/>
          <w:color w:val="auto"/>
          <w:kern w:val="2"/>
          <w:sz w:val="32"/>
          <w:szCs w:val="30"/>
          <w:highlight w:val="none"/>
        </w:rPr>
      </w:pPr>
    </w:p>
    <w:p w14:paraId="141C2A90">
      <w:pPr>
        <w:pStyle w:val="14"/>
        <w:rPr>
          <w:rFonts w:hint="eastAsia" w:ascii="宋体" w:hAnsi="宋体" w:cs="宋体"/>
          <w:b/>
          <w:bCs/>
          <w:color w:val="auto"/>
          <w:kern w:val="2"/>
          <w:sz w:val="32"/>
          <w:szCs w:val="30"/>
          <w:highlight w:val="none"/>
        </w:rPr>
      </w:pPr>
    </w:p>
    <w:p w14:paraId="1B02F05A">
      <w:pPr>
        <w:rPr>
          <w:rFonts w:hint="eastAsia" w:ascii="宋体" w:hAnsi="宋体" w:cs="宋体"/>
          <w:b/>
          <w:bCs/>
          <w:color w:val="auto"/>
          <w:kern w:val="2"/>
          <w:sz w:val="32"/>
          <w:szCs w:val="30"/>
          <w:highlight w:val="none"/>
        </w:rPr>
      </w:pPr>
    </w:p>
    <w:p w14:paraId="4E06C3F8">
      <w:pPr>
        <w:pStyle w:val="14"/>
        <w:rPr>
          <w:rFonts w:hint="eastAsia" w:ascii="宋体" w:hAnsi="宋体" w:cs="宋体"/>
          <w:b/>
          <w:bCs/>
          <w:color w:val="auto"/>
          <w:kern w:val="2"/>
          <w:sz w:val="32"/>
          <w:szCs w:val="30"/>
          <w:highlight w:val="none"/>
        </w:rPr>
      </w:pPr>
    </w:p>
    <w:p w14:paraId="06B067C3">
      <w:pPr>
        <w:rPr>
          <w:rFonts w:hint="eastAsia" w:ascii="宋体" w:hAnsi="宋体" w:cs="宋体"/>
          <w:b/>
          <w:bCs/>
          <w:color w:val="auto"/>
          <w:kern w:val="2"/>
          <w:sz w:val="32"/>
          <w:szCs w:val="30"/>
          <w:highlight w:val="none"/>
        </w:rPr>
      </w:pPr>
    </w:p>
    <w:p w14:paraId="78849F73">
      <w:pPr>
        <w:pStyle w:val="14"/>
        <w:rPr>
          <w:rFonts w:hint="eastAsia" w:ascii="宋体" w:hAnsi="宋体" w:cs="宋体"/>
          <w:b/>
          <w:bCs/>
          <w:color w:val="auto"/>
          <w:kern w:val="2"/>
          <w:sz w:val="32"/>
          <w:szCs w:val="30"/>
          <w:highlight w:val="none"/>
        </w:rPr>
      </w:pPr>
    </w:p>
    <w:p w14:paraId="6358E118">
      <w:pPr>
        <w:rPr>
          <w:rFonts w:hint="eastAsia" w:ascii="宋体" w:hAnsi="宋体" w:cs="宋体"/>
          <w:b/>
          <w:bCs/>
          <w:color w:val="auto"/>
          <w:kern w:val="2"/>
          <w:sz w:val="32"/>
          <w:szCs w:val="30"/>
          <w:highlight w:val="none"/>
        </w:rPr>
      </w:pPr>
    </w:p>
    <w:p w14:paraId="532751F8">
      <w:pPr>
        <w:pStyle w:val="14"/>
        <w:rPr>
          <w:rFonts w:hint="eastAsia"/>
        </w:rPr>
      </w:pPr>
    </w:p>
    <w:p w14:paraId="75950A38">
      <w:pPr>
        <w:keepNext/>
        <w:keepLines/>
        <w:widowControl w:val="0"/>
        <w:ind w:left="0" w:leftChars="0" w:firstLine="0" w:firstLineChars="0"/>
        <w:jc w:val="both"/>
        <w:rPr>
          <w:rFonts w:hint="eastAsia" w:ascii="宋体" w:hAnsi="宋体" w:eastAsia="宋体" w:cs="宋体"/>
          <w:b/>
          <w:bCs/>
          <w:color w:val="auto"/>
          <w:kern w:val="2"/>
          <w:sz w:val="21"/>
          <w:szCs w:val="21"/>
          <w:highlight w:val="none"/>
          <w:lang w:eastAsia="zh-CN"/>
        </w:rPr>
      </w:pPr>
      <w:r>
        <w:rPr>
          <w:rFonts w:hint="eastAsia" w:ascii="宋体" w:hAnsi="宋体" w:cs="宋体"/>
          <w:b/>
          <w:bCs/>
          <w:color w:val="auto"/>
          <w:kern w:val="2"/>
          <w:sz w:val="21"/>
          <w:szCs w:val="21"/>
          <w:highlight w:val="none"/>
          <w:lang w:eastAsia="zh-CN"/>
        </w:rPr>
        <w:t>（五）</w:t>
      </w:r>
      <w:r>
        <w:rPr>
          <w:rFonts w:hint="eastAsia" w:ascii="宋体" w:hAnsi="宋体" w:cs="宋体"/>
          <w:b/>
          <w:bCs/>
          <w:color w:val="000000"/>
          <w:sz w:val="21"/>
          <w:szCs w:val="21"/>
          <w:lang w:val="zh-CN"/>
        </w:rPr>
        <w:t>近三年（</w:t>
      </w:r>
      <w:r>
        <w:rPr>
          <w:rFonts w:hint="eastAsia" w:ascii="宋体" w:hAnsi="宋体" w:cs="宋体"/>
          <w:b/>
          <w:bCs/>
          <w:color w:val="000000"/>
          <w:sz w:val="21"/>
          <w:szCs w:val="21"/>
          <w:lang w:val="en-US" w:eastAsia="zh-CN"/>
        </w:rPr>
        <w:t>2023年1月1日至今</w:t>
      </w:r>
      <w:r>
        <w:rPr>
          <w:rFonts w:hint="eastAsia" w:ascii="宋体" w:hAnsi="宋体" w:cs="宋体"/>
          <w:b/>
          <w:bCs/>
          <w:color w:val="000000"/>
          <w:sz w:val="21"/>
          <w:szCs w:val="21"/>
          <w:lang w:val="zh-CN"/>
        </w:rPr>
        <w:t>）企业、企业法定代表人及拟派项目负责人未被“信用中国”网站及中国执行信息公开网列为失信被执行人</w:t>
      </w:r>
    </w:p>
    <w:p w14:paraId="4322890D">
      <w:pPr>
        <w:keepNext/>
        <w:keepLines/>
        <w:widowControl w:val="0"/>
        <w:ind w:firstLine="420" w:firstLineChars="200"/>
        <w:jc w:val="both"/>
        <w:rPr>
          <w:rFonts w:hint="eastAsia" w:ascii="宋体" w:hAnsi="宋体" w:cs="宋体"/>
          <w:color w:val="000000"/>
          <w:sz w:val="21"/>
          <w:szCs w:val="21"/>
          <w:lang w:val="zh-CN"/>
        </w:rPr>
      </w:pPr>
    </w:p>
    <w:p w14:paraId="0B365920">
      <w:pPr>
        <w:keepNext/>
        <w:keepLines/>
        <w:widowControl w:val="0"/>
        <w:spacing w:line="360" w:lineRule="auto"/>
        <w:ind w:firstLine="420" w:firstLineChars="200"/>
        <w:jc w:val="both"/>
        <w:rPr>
          <w:rFonts w:hint="eastAsia" w:ascii="宋体" w:hAnsi="宋体" w:cs="宋体"/>
          <w:b/>
          <w:bCs/>
          <w:color w:val="auto"/>
          <w:kern w:val="2"/>
          <w:sz w:val="32"/>
          <w:szCs w:val="30"/>
          <w:highlight w:val="none"/>
        </w:rPr>
      </w:pPr>
      <w:r>
        <w:rPr>
          <w:rFonts w:hint="eastAsia" w:ascii="宋体" w:hAnsi="宋体" w:cs="宋体"/>
          <w:color w:val="000000"/>
          <w:sz w:val="21"/>
          <w:szCs w:val="21"/>
          <w:lang w:val="zh-CN"/>
        </w:rPr>
        <w:t>投标人自行在“信用中国”网站及中国执行信息公开网查询，提供承诺函（格式自拟）</w:t>
      </w:r>
      <w:r>
        <w:rPr>
          <w:rFonts w:hint="eastAsia" w:ascii="宋体" w:hAnsi="宋体" w:cs="宋体"/>
          <w:color w:val="000000"/>
          <w:sz w:val="21"/>
          <w:szCs w:val="21"/>
        </w:rPr>
        <w:t>及查询结果截图</w:t>
      </w:r>
      <w:r>
        <w:rPr>
          <w:rFonts w:hint="eastAsia" w:ascii="宋体" w:hAnsi="宋体" w:cs="宋体"/>
          <w:color w:val="000000"/>
          <w:sz w:val="21"/>
          <w:szCs w:val="21"/>
          <w:lang w:eastAsia="zh-CN"/>
        </w:rPr>
        <w:t>，</w:t>
      </w:r>
      <w:r>
        <w:rPr>
          <w:rFonts w:hint="eastAsia" w:ascii="宋体" w:hAnsi="宋体" w:cs="宋体"/>
          <w:color w:val="000000"/>
          <w:sz w:val="21"/>
          <w:szCs w:val="21"/>
        </w:rPr>
        <w:t>原件扫描件</w:t>
      </w:r>
      <w:r>
        <w:rPr>
          <w:rFonts w:hint="eastAsia" w:ascii="宋体" w:hAnsi="宋体" w:cs="宋体"/>
          <w:color w:val="000000"/>
          <w:sz w:val="21"/>
          <w:szCs w:val="21"/>
          <w:lang w:eastAsia="zh-CN"/>
        </w:rPr>
        <w:t>上传。</w:t>
      </w:r>
    </w:p>
    <w:p w14:paraId="0F8C36DB">
      <w:pPr>
        <w:keepNext/>
        <w:keepLines/>
        <w:widowControl w:val="0"/>
        <w:ind w:firstLine="640" w:firstLineChars="200"/>
        <w:jc w:val="both"/>
        <w:rPr>
          <w:rFonts w:hint="eastAsia" w:ascii="宋体" w:hAnsi="宋体" w:cs="宋体"/>
          <w:b/>
          <w:bCs/>
          <w:color w:val="auto"/>
          <w:kern w:val="2"/>
          <w:sz w:val="32"/>
          <w:szCs w:val="30"/>
          <w:highlight w:val="none"/>
        </w:rPr>
      </w:pPr>
    </w:p>
    <w:p w14:paraId="63580804">
      <w:pPr>
        <w:keepNext/>
        <w:keepLines/>
        <w:widowControl w:val="0"/>
        <w:ind w:firstLine="640" w:firstLineChars="200"/>
        <w:jc w:val="both"/>
        <w:rPr>
          <w:rFonts w:hint="eastAsia" w:ascii="宋体" w:hAnsi="宋体" w:cs="宋体"/>
          <w:b/>
          <w:bCs/>
          <w:color w:val="auto"/>
          <w:kern w:val="2"/>
          <w:sz w:val="32"/>
          <w:szCs w:val="30"/>
          <w:highlight w:val="none"/>
        </w:rPr>
      </w:pPr>
    </w:p>
    <w:p w14:paraId="5268301C">
      <w:pPr>
        <w:pStyle w:val="14"/>
        <w:rPr>
          <w:rFonts w:hint="eastAsia" w:ascii="宋体" w:hAnsi="宋体" w:cs="宋体"/>
          <w:b/>
          <w:bCs/>
          <w:color w:val="auto"/>
          <w:kern w:val="2"/>
          <w:sz w:val="32"/>
          <w:szCs w:val="30"/>
          <w:highlight w:val="none"/>
        </w:rPr>
      </w:pPr>
    </w:p>
    <w:p w14:paraId="4001CA49">
      <w:pPr>
        <w:rPr>
          <w:rFonts w:hint="eastAsia" w:ascii="宋体" w:hAnsi="宋体" w:cs="宋体"/>
          <w:b/>
          <w:bCs/>
          <w:color w:val="auto"/>
          <w:kern w:val="2"/>
          <w:sz w:val="32"/>
          <w:szCs w:val="30"/>
          <w:highlight w:val="none"/>
        </w:rPr>
      </w:pPr>
    </w:p>
    <w:p w14:paraId="64FE3A8D">
      <w:pPr>
        <w:pStyle w:val="14"/>
        <w:rPr>
          <w:rFonts w:hint="eastAsia" w:ascii="宋体" w:hAnsi="宋体" w:cs="宋体"/>
          <w:b/>
          <w:bCs/>
          <w:color w:val="auto"/>
          <w:kern w:val="2"/>
          <w:sz w:val="32"/>
          <w:szCs w:val="30"/>
          <w:highlight w:val="none"/>
        </w:rPr>
      </w:pPr>
    </w:p>
    <w:p w14:paraId="7505B617">
      <w:pPr>
        <w:rPr>
          <w:rFonts w:hint="eastAsia" w:ascii="宋体" w:hAnsi="宋体" w:cs="宋体"/>
          <w:b/>
          <w:bCs/>
          <w:color w:val="auto"/>
          <w:kern w:val="2"/>
          <w:sz w:val="32"/>
          <w:szCs w:val="30"/>
          <w:highlight w:val="none"/>
        </w:rPr>
      </w:pPr>
    </w:p>
    <w:p w14:paraId="6839284B">
      <w:pPr>
        <w:pStyle w:val="14"/>
        <w:rPr>
          <w:rFonts w:hint="eastAsia" w:ascii="宋体" w:hAnsi="宋体" w:cs="宋体"/>
          <w:b/>
          <w:bCs/>
          <w:color w:val="auto"/>
          <w:kern w:val="2"/>
          <w:sz w:val="32"/>
          <w:szCs w:val="30"/>
          <w:highlight w:val="none"/>
        </w:rPr>
      </w:pPr>
    </w:p>
    <w:p w14:paraId="7B579012">
      <w:pPr>
        <w:rPr>
          <w:rFonts w:hint="eastAsia" w:ascii="宋体" w:hAnsi="宋体" w:cs="宋体"/>
          <w:b/>
          <w:bCs/>
          <w:color w:val="auto"/>
          <w:kern w:val="2"/>
          <w:sz w:val="32"/>
          <w:szCs w:val="30"/>
          <w:highlight w:val="none"/>
        </w:rPr>
      </w:pPr>
    </w:p>
    <w:p w14:paraId="649BF007">
      <w:pPr>
        <w:pStyle w:val="14"/>
        <w:rPr>
          <w:rFonts w:hint="eastAsia" w:ascii="宋体" w:hAnsi="宋体" w:cs="宋体"/>
          <w:b/>
          <w:bCs/>
          <w:color w:val="auto"/>
          <w:kern w:val="2"/>
          <w:sz w:val="32"/>
          <w:szCs w:val="30"/>
          <w:highlight w:val="none"/>
        </w:rPr>
      </w:pPr>
    </w:p>
    <w:p w14:paraId="447A38FE">
      <w:pPr>
        <w:rPr>
          <w:rFonts w:hint="eastAsia" w:ascii="宋体" w:hAnsi="宋体" w:cs="宋体"/>
          <w:b/>
          <w:bCs/>
          <w:color w:val="auto"/>
          <w:kern w:val="2"/>
          <w:sz w:val="32"/>
          <w:szCs w:val="30"/>
          <w:highlight w:val="none"/>
        </w:rPr>
      </w:pPr>
    </w:p>
    <w:p w14:paraId="1B742E31">
      <w:pPr>
        <w:pStyle w:val="14"/>
        <w:rPr>
          <w:rFonts w:hint="eastAsia" w:ascii="宋体" w:hAnsi="宋体" w:cs="宋体"/>
          <w:b/>
          <w:bCs/>
          <w:color w:val="auto"/>
          <w:kern w:val="2"/>
          <w:sz w:val="32"/>
          <w:szCs w:val="30"/>
          <w:highlight w:val="none"/>
        </w:rPr>
      </w:pPr>
    </w:p>
    <w:p w14:paraId="2C39AD17">
      <w:pPr>
        <w:rPr>
          <w:rFonts w:hint="eastAsia" w:ascii="宋体" w:hAnsi="宋体" w:cs="宋体"/>
          <w:b/>
          <w:bCs/>
          <w:color w:val="auto"/>
          <w:kern w:val="2"/>
          <w:sz w:val="32"/>
          <w:szCs w:val="30"/>
          <w:highlight w:val="none"/>
        </w:rPr>
      </w:pPr>
    </w:p>
    <w:p w14:paraId="0F5C1C2F">
      <w:pPr>
        <w:pStyle w:val="14"/>
        <w:rPr>
          <w:rFonts w:hint="eastAsia" w:ascii="宋体" w:hAnsi="宋体" w:cs="宋体"/>
          <w:b/>
          <w:bCs/>
          <w:color w:val="auto"/>
          <w:kern w:val="2"/>
          <w:sz w:val="32"/>
          <w:szCs w:val="30"/>
          <w:highlight w:val="none"/>
        </w:rPr>
      </w:pPr>
    </w:p>
    <w:p w14:paraId="4ACEDDFD">
      <w:pPr>
        <w:rPr>
          <w:rFonts w:hint="eastAsia" w:ascii="宋体" w:hAnsi="宋体" w:cs="宋体"/>
          <w:b/>
          <w:bCs/>
          <w:color w:val="auto"/>
          <w:kern w:val="2"/>
          <w:sz w:val="32"/>
          <w:szCs w:val="30"/>
          <w:highlight w:val="none"/>
        </w:rPr>
      </w:pPr>
    </w:p>
    <w:p w14:paraId="0F07330C">
      <w:pPr>
        <w:pStyle w:val="14"/>
        <w:rPr>
          <w:rFonts w:hint="eastAsia" w:ascii="宋体" w:hAnsi="宋体" w:cs="宋体"/>
          <w:b/>
          <w:bCs/>
          <w:color w:val="auto"/>
          <w:kern w:val="2"/>
          <w:sz w:val="32"/>
          <w:szCs w:val="30"/>
          <w:highlight w:val="none"/>
        </w:rPr>
      </w:pPr>
    </w:p>
    <w:p w14:paraId="3ADBEF45">
      <w:pPr>
        <w:rPr>
          <w:rFonts w:hint="eastAsia" w:ascii="宋体" w:hAnsi="宋体" w:cs="宋体"/>
          <w:b/>
          <w:bCs/>
          <w:color w:val="auto"/>
          <w:kern w:val="2"/>
          <w:sz w:val="32"/>
          <w:szCs w:val="30"/>
          <w:highlight w:val="none"/>
        </w:rPr>
      </w:pPr>
    </w:p>
    <w:p w14:paraId="391315C1">
      <w:pPr>
        <w:pStyle w:val="14"/>
        <w:rPr>
          <w:rFonts w:hint="eastAsia" w:ascii="宋体" w:hAnsi="宋体" w:cs="宋体"/>
          <w:b/>
          <w:bCs/>
          <w:color w:val="auto"/>
          <w:kern w:val="2"/>
          <w:sz w:val="32"/>
          <w:szCs w:val="30"/>
          <w:highlight w:val="none"/>
        </w:rPr>
      </w:pPr>
    </w:p>
    <w:p w14:paraId="01E5BBC4">
      <w:pPr>
        <w:rPr>
          <w:rFonts w:hint="eastAsia" w:ascii="宋体" w:hAnsi="宋体" w:cs="宋体"/>
          <w:b/>
          <w:bCs/>
          <w:color w:val="auto"/>
          <w:kern w:val="2"/>
          <w:sz w:val="32"/>
          <w:szCs w:val="30"/>
          <w:highlight w:val="none"/>
        </w:rPr>
      </w:pPr>
    </w:p>
    <w:p w14:paraId="131D5FAF">
      <w:pPr>
        <w:pStyle w:val="14"/>
        <w:rPr>
          <w:rFonts w:hint="eastAsia"/>
        </w:rPr>
      </w:pPr>
    </w:p>
    <w:p w14:paraId="50C61875">
      <w:pPr>
        <w:numPr>
          <w:ilvl w:val="0"/>
          <w:numId w:val="113"/>
        </w:numPr>
        <w:rPr>
          <w:rFonts w:hint="eastAsia" w:ascii="宋体" w:hAnsi="宋体" w:cs="宋体"/>
          <w:b/>
          <w:bCs/>
          <w:color w:val="000000"/>
          <w:sz w:val="21"/>
          <w:szCs w:val="21"/>
          <w:lang w:val="zh-CN"/>
        </w:rPr>
      </w:pPr>
      <w:r>
        <w:rPr>
          <w:rFonts w:hint="eastAsia" w:ascii="宋体" w:hAnsi="宋体" w:cs="宋体"/>
          <w:b/>
          <w:bCs/>
          <w:color w:val="000000"/>
          <w:sz w:val="21"/>
          <w:szCs w:val="21"/>
          <w:lang w:val="zh-CN"/>
        </w:rPr>
        <w:t>诉讼及仲裁</w:t>
      </w:r>
    </w:p>
    <w:p w14:paraId="60AEB212">
      <w:pPr>
        <w:pStyle w:val="14"/>
        <w:widowControl/>
        <w:numPr>
          <w:ilvl w:val="0"/>
          <w:numId w:val="0"/>
        </w:numPr>
        <w:jc w:val="left"/>
        <w:rPr>
          <w:rFonts w:hint="eastAsia"/>
          <w:lang w:eastAsia="zh-CN"/>
        </w:rPr>
      </w:pPr>
    </w:p>
    <w:p w14:paraId="6A2D48B5">
      <w:pPr>
        <w:snapToGrid w:val="0"/>
        <w:spacing w:line="360" w:lineRule="auto"/>
        <w:ind w:firstLine="424" w:firstLineChars="202"/>
        <w:rPr>
          <w:rFonts w:ascii="宋体" w:hAnsi="宋体" w:cs="宋体"/>
          <w:color w:val="000000"/>
          <w:lang w:val="zh-CN"/>
        </w:rPr>
      </w:pPr>
      <w:r>
        <w:rPr>
          <w:rFonts w:hint="eastAsia" w:ascii="宋体" w:hAnsi="宋体" w:eastAsia="宋体" w:cs="宋体"/>
          <w:color w:val="000000"/>
          <w:sz w:val="21"/>
          <w:szCs w:val="21"/>
          <w:lang w:val="zh-CN"/>
        </w:rPr>
        <w:t>投标人如实说明近三年（</w:t>
      </w:r>
      <w:r>
        <w:rPr>
          <w:rFonts w:hint="eastAsia" w:ascii="宋体" w:hAnsi="宋体" w:eastAsia="宋体" w:cs="宋体"/>
          <w:color w:val="000000"/>
          <w:sz w:val="21"/>
          <w:szCs w:val="21"/>
          <w:lang w:val="en-US" w:eastAsia="zh-CN"/>
        </w:rPr>
        <w:t>2023年1月1日至今</w:t>
      </w:r>
      <w:r>
        <w:rPr>
          <w:rFonts w:hint="eastAsia" w:ascii="宋体" w:hAnsi="宋体" w:eastAsia="宋体" w:cs="宋体"/>
          <w:color w:val="000000"/>
          <w:sz w:val="21"/>
          <w:szCs w:val="21"/>
          <w:lang w:val="zh-CN"/>
        </w:rPr>
        <w:t>）</w:t>
      </w:r>
      <w:r>
        <w:rPr>
          <w:rFonts w:hint="eastAsia" w:ascii="宋体" w:hAnsi="宋体" w:cs="宋体"/>
          <w:color w:val="000000"/>
          <w:sz w:val="21"/>
          <w:szCs w:val="21"/>
          <w:lang w:val="zh-CN"/>
        </w:rPr>
        <w:t>发生的诉讼及仲裁相关情况，并说明当前有无因投标申请人违约或不恰当履约引起的合同终止、纠纷、争议、仲裁和诉讼，并承诺涉及诉讼事件不影响申请人在本招标项目的履约能力。</w:t>
      </w:r>
    </w:p>
    <w:p w14:paraId="7BB888F9">
      <w:pPr>
        <w:rPr>
          <w:rFonts w:hint="eastAsia"/>
          <w:lang w:eastAsia="zh-CN"/>
        </w:rPr>
      </w:pPr>
    </w:p>
    <w:p w14:paraId="1F087BDD">
      <w:pPr>
        <w:pStyle w:val="14"/>
        <w:rPr>
          <w:rFonts w:hint="eastAsia"/>
          <w:lang w:eastAsia="zh-CN"/>
        </w:rPr>
      </w:pPr>
    </w:p>
    <w:p w14:paraId="6BF0110F">
      <w:pPr>
        <w:rPr>
          <w:rFonts w:hint="eastAsia"/>
          <w:lang w:eastAsia="zh-CN"/>
        </w:rPr>
      </w:pPr>
    </w:p>
    <w:p w14:paraId="2449583C">
      <w:pPr>
        <w:keepNext w:val="0"/>
        <w:keepLines w:val="0"/>
        <w:pageBreakBefore w:val="0"/>
        <w:widowControl w:val="0"/>
        <w:kinsoku/>
        <w:wordWrap w:val="0"/>
        <w:overflowPunct/>
        <w:topLinePunct w:val="0"/>
        <w:autoSpaceDE/>
        <w:autoSpaceDN/>
        <w:bidi w:val="0"/>
        <w:adjustRightInd/>
        <w:snapToGrid/>
        <w:spacing w:line="360" w:lineRule="auto"/>
        <w:ind w:firstLine="440" w:firstLineChars="200"/>
        <w:jc w:val="both"/>
        <w:textAlignment w:val="auto"/>
        <w:rPr>
          <w:rFonts w:hint="eastAsia" w:ascii="宋体" w:hAnsi="宋体" w:cs="宋体"/>
          <w:color w:val="auto"/>
          <w:kern w:val="2"/>
          <w:szCs w:val="20"/>
          <w:highlight w:val="none"/>
        </w:rPr>
      </w:pPr>
    </w:p>
    <w:p w14:paraId="1B51DD11">
      <w:pPr>
        <w:rPr>
          <w:rFonts w:hint="eastAsia" w:ascii="宋体" w:hAnsi="宋体" w:cs="宋体"/>
          <w:color w:val="auto"/>
          <w:highlight w:val="none"/>
        </w:rPr>
      </w:pPr>
    </w:p>
    <w:p w14:paraId="4FFA5C15">
      <w:pPr>
        <w:keepNext/>
        <w:keepLines/>
        <w:widowControl w:val="0"/>
        <w:spacing w:before="260" w:after="260" w:line="416" w:lineRule="auto"/>
        <w:ind w:left="0" w:leftChars="0" w:firstLine="0" w:firstLineChars="0"/>
        <w:jc w:val="left"/>
        <w:outlineLvl w:val="1"/>
        <w:rPr>
          <w:rFonts w:hint="eastAsia" w:ascii="宋体" w:hAnsi="宋体" w:cs="宋体"/>
          <w:b/>
          <w:bCs/>
          <w:color w:val="auto"/>
          <w:kern w:val="2"/>
          <w:sz w:val="24"/>
          <w:szCs w:val="32"/>
          <w:highlight w:val="none"/>
          <w:lang w:val="zh-CN"/>
        </w:rPr>
      </w:pPr>
      <w:bookmarkStart w:id="1085" w:name="_Toc25518_WPSOffice_Level2"/>
      <w:bookmarkStart w:id="1086" w:name="_Toc19575"/>
      <w:bookmarkStart w:id="1087" w:name="_Toc32532"/>
      <w:bookmarkStart w:id="1088" w:name="_Toc465945247"/>
      <w:bookmarkStart w:id="1089" w:name="_Toc11338"/>
      <w:bookmarkStart w:id="1090" w:name="_Toc21130"/>
      <w:bookmarkStart w:id="1091" w:name="_Toc461047957"/>
      <w:bookmarkStart w:id="1092" w:name="_Toc19066_WPSOffice_Level2"/>
      <w:bookmarkStart w:id="1093" w:name="_Toc459298766"/>
      <w:bookmarkStart w:id="1094" w:name="_Toc4434_WPSOffice_Level2"/>
      <w:bookmarkStart w:id="1095" w:name="_Toc21414"/>
      <w:bookmarkStart w:id="1096" w:name="_Toc32392_WPSOffice_Level2"/>
      <w:r>
        <w:rPr>
          <w:rFonts w:hint="eastAsia" w:ascii="宋体" w:hAnsi="宋体" w:cs="宋体"/>
          <w:b/>
          <w:bCs/>
          <w:color w:val="auto"/>
          <w:kern w:val="2"/>
          <w:sz w:val="24"/>
          <w:szCs w:val="32"/>
          <w:highlight w:val="none"/>
        </w:rPr>
        <w:br w:type="page"/>
      </w:r>
      <w:bookmarkStart w:id="1097" w:name="_Toc4052"/>
      <w:bookmarkStart w:id="1098" w:name="_Toc19694"/>
      <w:bookmarkStart w:id="1099" w:name="_Toc5831"/>
      <w:bookmarkStart w:id="1100" w:name="_Toc11742"/>
      <w:bookmarkStart w:id="1101" w:name="_Toc29737"/>
      <w:bookmarkStart w:id="1102" w:name="_Toc15031"/>
      <w:r>
        <w:rPr>
          <w:rFonts w:hint="eastAsia" w:ascii="宋体" w:hAnsi="宋体" w:cs="宋体"/>
          <w:b/>
          <w:bCs/>
          <w:color w:val="auto"/>
          <w:kern w:val="2"/>
          <w:sz w:val="21"/>
          <w:szCs w:val="21"/>
          <w:highlight w:val="none"/>
          <w:lang w:val="en-US" w:eastAsia="zh-CN"/>
        </w:rPr>
        <w:t>（七）</w:t>
      </w:r>
      <w:r>
        <w:rPr>
          <w:rFonts w:hint="eastAsia" w:ascii="宋体" w:hAnsi="宋体" w:cs="宋体"/>
          <w:b/>
          <w:bCs/>
          <w:color w:val="auto"/>
          <w:kern w:val="2"/>
          <w:sz w:val="21"/>
          <w:szCs w:val="21"/>
          <w:highlight w:val="none"/>
          <w:lang w:val="zh-CN"/>
        </w:rPr>
        <w:t>投标人认为需要提供的其他材料</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14:paraId="2891896C">
      <w:pPr>
        <w:spacing w:line="360" w:lineRule="auto"/>
        <w:ind w:firstLine="363"/>
        <w:rPr>
          <w:rFonts w:hint="eastAsia"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投标人认为必要的其他资料。</w:t>
      </w:r>
    </w:p>
    <w:p w14:paraId="60CA9A78">
      <w:pPr>
        <w:keepNext/>
        <w:keepLines/>
        <w:widowControl w:val="0"/>
        <w:spacing w:before="260" w:after="260" w:line="416" w:lineRule="auto"/>
        <w:ind w:firstLine="0" w:firstLineChars="0"/>
        <w:jc w:val="center"/>
        <w:rPr>
          <w:rFonts w:hint="eastAsia" w:ascii="宋体" w:hAnsi="宋体" w:eastAsia="宋体" w:cs="宋体"/>
          <w:b/>
          <w:bCs/>
          <w:color w:val="auto"/>
          <w:sz w:val="44"/>
          <w:szCs w:val="44"/>
          <w:highlight w:val="none"/>
          <w:lang w:eastAsia="zh-CN"/>
        </w:rPr>
      </w:pPr>
      <w:r>
        <w:rPr>
          <w:rFonts w:hint="eastAsia" w:ascii="宋体" w:hAnsi="宋体" w:cs="宋体"/>
          <w:color w:val="auto"/>
          <w:kern w:val="2"/>
          <w:szCs w:val="20"/>
          <w:highlight w:val="none"/>
          <w:lang w:val="zh-CN"/>
        </w:rPr>
        <w:br w:type="page"/>
      </w:r>
      <w:bookmarkEnd w:id="938"/>
      <w:bookmarkEnd w:id="939"/>
      <w:bookmarkEnd w:id="940"/>
      <w:bookmarkEnd w:id="941"/>
      <w:bookmarkEnd w:id="942"/>
      <w:bookmarkStart w:id="1103" w:name="_Toc460317745"/>
      <w:bookmarkStart w:id="1104" w:name="_Toc14659"/>
      <w:bookmarkStart w:id="1105" w:name="_Toc6402"/>
      <w:bookmarkStart w:id="1106" w:name="_Toc26555"/>
      <w:bookmarkStart w:id="1107" w:name="_Toc460413580"/>
      <w:bookmarkStart w:id="1108" w:name="_Toc25028_WPSOffice_Level2"/>
      <w:bookmarkStart w:id="1109" w:name="_Toc13583"/>
      <w:bookmarkStart w:id="1110" w:name="_Toc26217_WPSOffice_Level2"/>
      <w:bookmarkStart w:id="1111" w:name="_Toc24717_WPSOffice_Level2"/>
      <w:bookmarkStart w:id="1112" w:name="_Toc20409_WPSOffice_Level2"/>
    </w:p>
    <w:p w14:paraId="5D8F4CB5">
      <w:pPr>
        <w:pStyle w:val="127"/>
        <w:rPr>
          <w:rFonts w:hint="eastAsia" w:ascii="宋体" w:hAnsi="宋体" w:cs="宋体"/>
          <w:b/>
          <w:bCs/>
          <w:color w:val="auto"/>
          <w:sz w:val="44"/>
          <w:szCs w:val="44"/>
          <w:highlight w:val="none"/>
        </w:rPr>
      </w:pPr>
    </w:p>
    <w:p w14:paraId="1F187EDA">
      <w:pPr>
        <w:pStyle w:val="127"/>
        <w:rPr>
          <w:rFonts w:hint="eastAsia" w:ascii="宋体" w:hAnsi="宋体" w:cs="宋体"/>
          <w:b/>
          <w:bCs/>
          <w:color w:val="auto"/>
          <w:sz w:val="44"/>
          <w:szCs w:val="44"/>
          <w:highlight w:val="none"/>
        </w:rPr>
      </w:pPr>
    </w:p>
    <w:p w14:paraId="21AE80E5">
      <w:pPr>
        <w:pStyle w:val="128"/>
        <w:rPr>
          <w:rFonts w:hint="eastAsia" w:ascii="宋体" w:hAnsi="宋体" w:cs="宋体"/>
          <w:b/>
          <w:bCs/>
          <w:color w:val="auto"/>
          <w:sz w:val="44"/>
          <w:szCs w:val="44"/>
          <w:highlight w:val="none"/>
        </w:rPr>
      </w:pPr>
    </w:p>
    <w:p w14:paraId="3172B3EA">
      <w:pPr>
        <w:pStyle w:val="41"/>
        <w:rPr>
          <w:rFonts w:hint="eastAsia" w:ascii="宋体" w:hAnsi="宋体" w:cs="宋体"/>
          <w:b/>
          <w:bCs/>
          <w:color w:val="auto"/>
          <w:sz w:val="44"/>
          <w:szCs w:val="44"/>
          <w:highlight w:val="none"/>
        </w:rPr>
      </w:pPr>
    </w:p>
    <w:p w14:paraId="39751F8F">
      <w:pPr>
        <w:pStyle w:val="42"/>
        <w:rPr>
          <w:rFonts w:hint="eastAsia"/>
        </w:rPr>
      </w:pPr>
    </w:p>
    <w:p w14:paraId="1FFC5C88">
      <w:pPr>
        <w:pStyle w:val="128"/>
        <w:rPr>
          <w:rFonts w:hint="eastAsia"/>
        </w:rPr>
      </w:pPr>
    </w:p>
    <w:p w14:paraId="6F7434A9">
      <w:pPr>
        <w:pStyle w:val="41"/>
        <w:rPr>
          <w:rFonts w:hint="eastAsia"/>
        </w:rPr>
      </w:pPr>
    </w:p>
    <w:p w14:paraId="5F18E180">
      <w:pPr>
        <w:keepNext/>
        <w:keepLines/>
        <w:widowControl w:val="0"/>
        <w:spacing w:before="260" w:after="260" w:line="416" w:lineRule="auto"/>
        <w:ind w:left="0" w:leftChars="0" w:firstLine="0" w:firstLineChars="0"/>
        <w:jc w:val="center"/>
        <w:outlineLvl w:val="2"/>
        <w:rPr>
          <w:rFonts w:hint="eastAsia" w:ascii="宋体" w:hAnsi="宋体" w:cs="宋体"/>
          <w:b/>
          <w:bCs/>
          <w:color w:val="auto"/>
          <w:sz w:val="32"/>
          <w:szCs w:val="32"/>
          <w:highlight w:val="none"/>
        </w:rPr>
      </w:pPr>
      <w:bookmarkStart w:id="1113" w:name="_Toc18613"/>
      <w:bookmarkStart w:id="1114" w:name="_Toc11269"/>
      <w:bookmarkStart w:id="1115" w:name="_Toc13944"/>
      <w:bookmarkStart w:id="1116" w:name="_Toc32617"/>
      <w:r>
        <w:rPr>
          <w:rFonts w:hint="eastAsia" w:ascii="宋体" w:hAnsi="宋体" w:cs="宋体"/>
          <w:b/>
          <w:bCs/>
          <w:color w:val="auto"/>
          <w:sz w:val="32"/>
          <w:szCs w:val="32"/>
          <w:highlight w:val="none"/>
          <w:lang w:eastAsia="zh-CN"/>
        </w:rPr>
        <w:t>第三部分</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技术</w:t>
      </w:r>
      <w:r>
        <w:rPr>
          <w:rFonts w:hint="eastAsia" w:ascii="宋体" w:hAnsi="宋体" w:cs="宋体"/>
          <w:b/>
          <w:bCs/>
          <w:color w:val="auto"/>
          <w:sz w:val="32"/>
          <w:szCs w:val="32"/>
          <w:highlight w:val="none"/>
        </w:rPr>
        <w:t>部分</w:t>
      </w:r>
      <w:bookmarkEnd w:id="1113"/>
      <w:bookmarkEnd w:id="1114"/>
      <w:bookmarkEnd w:id="1115"/>
      <w:bookmarkEnd w:id="1116"/>
    </w:p>
    <w:p w14:paraId="19BA02C3">
      <w:pPr>
        <w:keepNext/>
        <w:keepLines/>
        <w:widowControl w:val="0"/>
        <w:spacing w:before="260" w:after="260" w:line="416" w:lineRule="auto"/>
        <w:ind w:firstLine="880" w:firstLineChars="200"/>
        <w:jc w:val="center"/>
        <w:rPr>
          <w:rFonts w:hint="eastAsia" w:ascii="宋体" w:hAnsi="宋体" w:cs="宋体"/>
          <w:b/>
          <w:bCs/>
          <w:color w:val="auto"/>
          <w:sz w:val="44"/>
          <w:szCs w:val="44"/>
          <w:highlight w:val="none"/>
        </w:rPr>
      </w:pPr>
    </w:p>
    <w:p w14:paraId="4E120F68">
      <w:pPr>
        <w:keepNext/>
        <w:keepLines/>
        <w:widowControl w:val="0"/>
        <w:spacing w:before="260" w:after="260" w:line="416" w:lineRule="auto"/>
        <w:ind w:firstLine="880" w:firstLineChars="200"/>
        <w:jc w:val="center"/>
        <w:rPr>
          <w:rFonts w:hint="eastAsia" w:ascii="宋体" w:hAnsi="宋体" w:cs="宋体"/>
          <w:b/>
          <w:bCs/>
          <w:color w:val="auto"/>
          <w:sz w:val="44"/>
          <w:szCs w:val="44"/>
          <w:highlight w:val="none"/>
        </w:rPr>
      </w:pPr>
    </w:p>
    <w:p w14:paraId="0FADEA71">
      <w:pPr>
        <w:keepNext/>
        <w:keepLines/>
        <w:widowControl w:val="0"/>
        <w:spacing w:before="260" w:after="260" w:line="416" w:lineRule="auto"/>
        <w:ind w:firstLine="880" w:firstLineChars="200"/>
        <w:jc w:val="center"/>
        <w:rPr>
          <w:rFonts w:hint="eastAsia" w:ascii="宋体" w:hAnsi="宋体" w:cs="宋体"/>
          <w:b/>
          <w:bCs/>
          <w:color w:val="auto"/>
          <w:sz w:val="44"/>
          <w:szCs w:val="44"/>
          <w:highlight w:val="none"/>
        </w:rPr>
      </w:pPr>
    </w:p>
    <w:p w14:paraId="43042ED4">
      <w:pPr>
        <w:pStyle w:val="63"/>
        <w:rPr>
          <w:rFonts w:hint="eastAsia"/>
          <w:lang w:val="zh-CN"/>
        </w:rPr>
      </w:pPr>
    </w:p>
    <w:p w14:paraId="110C6E30">
      <w:pPr>
        <w:pStyle w:val="63"/>
        <w:rPr>
          <w:rFonts w:hint="eastAsia"/>
          <w:lang w:val="zh-CN"/>
        </w:rPr>
      </w:pPr>
    </w:p>
    <w:p w14:paraId="29BDDE04">
      <w:pPr>
        <w:widowControl w:val="0"/>
        <w:spacing w:line="560" w:lineRule="exact"/>
        <w:ind w:firstLine="480" w:firstLineChars="200"/>
        <w:jc w:val="both"/>
        <w:rPr>
          <w:rFonts w:ascii="宋体" w:hAnsi="宋体" w:cs="宋体"/>
          <w:b/>
          <w:bCs/>
          <w:color w:val="auto"/>
          <w:kern w:val="2"/>
          <w:sz w:val="24"/>
          <w:szCs w:val="21"/>
          <w:highlight w:val="none"/>
        </w:rPr>
      </w:pPr>
      <w:r>
        <w:rPr>
          <w:rFonts w:hint="eastAsia" w:ascii="宋体" w:hAnsi="宋体" w:cs="宋体"/>
          <w:b/>
          <w:bCs/>
          <w:color w:val="auto"/>
          <w:kern w:val="2"/>
          <w:sz w:val="24"/>
          <w:szCs w:val="32"/>
          <w:highlight w:val="none"/>
          <w:lang w:val="zh-CN"/>
        </w:rPr>
        <w:br w:type="page"/>
      </w:r>
      <w:bookmarkEnd w:id="1103"/>
      <w:bookmarkEnd w:id="1104"/>
      <w:bookmarkEnd w:id="1105"/>
      <w:bookmarkEnd w:id="1106"/>
      <w:bookmarkEnd w:id="1107"/>
      <w:bookmarkEnd w:id="1108"/>
      <w:bookmarkEnd w:id="1109"/>
      <w:bookmarkEnd w:id="1110"/>
      <w:bookmarkEnd w:id="1111"/>
      <w:bookmarkEnd w:id="1112"/>
      <w:r>
        <w:rPr>
          <w:rFonts w:hint="eastAsia" w:ascii="宋体" w:hAnsi="宋体" w:cs="宋体"/>
          <w:color w:val="auto"/>
          <w:kern w:val="2"/>
          <w:szCs w:val="20"/>
          <w:highlight w:val="none"/>
          <w:lang w:val="zh-CN"/>
        </w:rPr>
        <w:t>投标人自行拟定</w:t>
      </w:r>
      <w:r>
        <w:rPr>
          <w:rFonts w:hint="eastAsia" w:ascii="宋体" w:hAnsi="宋体" w:cs="宋体"/>
          <w:color w:val="auto"/>
          <w:kern w:val="2"/>
          <w:szCs w:val="20"/>
          <w:highlight w:val="none"/>
        </w:rPr>
        <w:t>投标文件技术部分内容</w:t>
      </w:r>
      <w:r>
        <w:rPr>
          <w:rFonts w:hint="eastAsia" w:ascii="宋体" w:hAnsi="宋体" w:cs="宋体"/>
          <w:color w:val="auto"/>
          <w:kern w:val="2"/>
          <w:szCs w:val="20"/>
          <w:highlight w:val="none"/>
          <w:lang w:val="zh-CN"/>
        </w:rPr>
        <w:t>，按照招标文件要求及评审因素自行编写。</w:t>
      </w:r>
    </w:p>
    <w:p w14:paraId="71891DDE">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en-US" w:eastAsia="zh-CN" w:bidi="ar-SA"/>
        </w:rPr>
      </w:pPr>
      <w:r>
        <w:rPr>
          <w:rFonts w:hint="eastAsia" w:ascii="宋体" w:hAnsi="宋体" w:eastAsia="宋体" w:cs="宋体"/>
          <w:b/>
          <w:bCs/>
          <w:color w:val="auto"/>
          <w:kern w:val="2"/>
          <w:sz w:val="22"/>
          <w:szCs w:val="28"/>
          <w:highlight w:val="none"/>
          <w:lang w:val="en-US" w:eastAsia="zh-CN" w:bidi="ar-SA"/>
        </w:rPr>
        <w:t>一、</w:t>
      </w:r>
      <w:r>
        <w:rPr>
          <w:rFonts w:hint="eastAsia" w:ascii="宋体" w:hAnsi="宋体" w:eastAsia="宋体" w:cs="宋体"/>
          <w:b/>
          <w:bCs/>
          <w:color w:val="auto"/>
          <w:sz w:val="21"/>
          <w:szCs w:val="21"/>
          <w:highlight w:val="none"/>
          <w:lang w:val="en-US" w:eastAsia="zh-CN" w:bidi="ar"/>
        </w:rPr>
        <w:t>投融资方案</w:t>
      </w:r>
    </w:p>
    <w:p w14:paraId="477CE1B4">
      <w:pPr>
        <w:widowControl w:val="0"/>
        <w:spacing w:line="560" w:lineRule="exact"/>
        <w:ind w:left="440" w:leftChars="200" w:firstLine="0"/>
        <w:jc w:val="both"/>
        <w:rPr>
          <w:rFonts w:hint="eastAsia" w:ascii="宋体" w:hAnsi="宋体" w:eastAsia="宋体" w:cs="宋体"/>
          <w:color w:val="auto"/>
          <w:highlight w:val="none"/>
          <w:lang w:val="zh-CN"/>
        </w:rPr>
      </w:pPr>
      <w:r>
        <w:rPr>
          <w:rFonts w:hint="eastAsia" w:ascii="宋体" w:hAnsi="宋体" w:cs="宋体"/>
          <w:color w:val="auto"/>
          <w:kern w:val="2"/>
          <w:szCs w:val="20"/>
          <w:highlight w:val="none"/>
          <w:lang w:val="zh-CN"/>
        </w:rPr>
        <w:t>格式自拟，由投标人按照招标文件要求及评审因素自行编写。</w:t>
      </w:r>
    </w:p>
    <w:p w14:paraId="20E357C5">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zh-CN" w:eastAsia="zh-CN" w:bidi="ar-SA"/>
        </w:rPr>
      </w:pPr>
      <w:r>
        <w:rPr>
          <w:rFonts w:hint="eastAsia" w:ascii="宋体" w:hAnsi="宋体" w:eastAsia="宋体" w:cs="宋体"/>
          <w:b/>
          <w:bCs/>
          <w:color w:val="auto"/>
          <w:kern w:val="2"/>
          <w:sz w:val="22"/>
          <w:szCs w:val="28"/>
          <w:highlight w:val="none"/>
          <w:lang w:val="en-US" w:eastAsia="zh-CN" w:bidi="ar-SA"/>
        </w:rPr>
        <w:t>二、运营计划与目标方案</w:t>
      </w:r>
    </w:p>
    <w:p w14:paraId="23CAEF12">
      <w:pPr>
        <w:numPr>
          <w:ilvl w:val="0"/>
          <w:numId w:val="0"/>
        </w:numPr>
        <w:spacing w:line="240" w:lineRule="auto"/>
        <w:ind w:firstLine="440" w:firstLineChars="200"/>
        <w:jc w:val="left"/>
        <w:outlineLvl w:val="9"/>
        <w:rPr>
          <w:rFonts w:hint="eastAsia"/>
          <w:color w:val="auto"/>
          <w:highlight w:val="none"/>
        </w:rPr>
      </w:pPr>
      <w:r>
        <w:rPr>
          <w:rFonts w:hint="eastAsia"/>
          <w:color w:val="auto"/>
          <w:highlight w:val="none"/>
        </w:rPr>
        <w:t>格式自拟，由投标人按照招标文件要求及评审因素自行编写。</w:t>
      </w:r>
    </w:p>
    <w:p w14:paraId="60ECF997">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zh-CN" w:eastAsia="zh-CN" w:bidi="ar-SA"/>
        </w:rPr>
      </w:pPr>
      <w:r>
        <w:rPr>
          <w:rFonts w:hint="eastAsia" w:ascii="宋体" w:hAnsi="宋体" w:eastAsia="宋体" w:cs="宋体"/>
          <w:b/>
          <w:bCs/>
          <w:color w:val="auto"/>
          <w:kern w:val="2"/>
          <w:sz w:val="22"/>
          <w:szCs w:val="28"/>
          <w:highlight w:val="none"/>
          <w:lang w:val="en-US" w:eastAsia="zh-CN" w:bidi="ar-SA"/>
        </w:rPr>
        <w:t>三、收运与处理方案</w:t>
      </w:r>
    </w:p>
    <w:p w14:paraId="644D66AB">
      <w:pPr>
        <w:bidi w:val="0"/>
        <w:rPr>
          <w:rFonts w:hint="eastAsia"/>
          <w:color w:val="auto"/>
          <w:highlight w:val="none"/>
          <w:lang w:val="zh-CN" w:eastAsia="zh-CN"/>
        </w:rPr>
      </w:pPr>
      <w:r>
        <w:rPr>
          <w:rFonts w:hint="eastAsia"/>
          <w:color w:val="auto"/>
          <w:highlight w:val="none"/>
        </w:rPr>
        <w:t>格式自拟，由投标人按照招标文件要求及评审因素自行编写。</w:t>
      </w:r>
    </w:p>
    <w:p w14:paraId="4F159A96">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zh-CN" w:eastAsia="zh-CN" w:bidi="ar-SA"/>
        </w:rPr>
      </w:pPr>
      <w:r>
        <w:rPr>
          <w:rFonts w:hint="eastAsia" w:ascii="宋体" w:hAnsi="宋体" w:eastAsia="宋体" w:cs="宋体"/>
          <w:b/>
          <w:bCs/>
          <w:color w:val="auto"/>
          <w:kern w:val="2"/>
          <w:sz w:val="22"/>
          <w:szCs w:val="28"/>
          <w:highlight w:val="none"/>
          <w:lang w:val="en-US" w:eastAsia="zh-CN" w:bidi="ar-SA"/>
        </w:rPr>
        <w:t>四、维护与更新方案</w:t>
      </w:r>
    </w:p>
    <w:p w14:paraId="65B46130">
      <w:pPr>
        <w:bidi w:val="0"/>
        <w:rPr>
          <w:rFonts w:hint="eastAsia"/>
          <w:color w:val="auto"/>
          <w:highlight w:val="none"/>
        </w:rPr>
      </w:pPr>
      <w:r>
        <w:rPr>
          <w:rFonts w:hint="eastAsia"/>
          <w:color w:val="auto"/>
          <w:highlight w:val="none"/>
        </w:rPr>
        <w:t>格式自拟，由投标人按照招标文件要求及评审因素自行编写。</w:t>
      </w:r>
    </w:p>
    <w:p w14:paraId="1FD8B751">
      <w:pPr>
        <w:pStyle w:val="63"/>
        <w:rPr>
          <w:rFonts w:hint="eastAsia"/>
          <w:color w:val="auto"/>
          <w:highlight w:val="none"/>
        </w:rPr>
      </w:pPr>
    </w:p>
    <w:p w14:paraId="32569DB5">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en-US" w:eastAsia="zh-CN" w:bidi="ar-SA"/>
        </w:rPr>
      </w:pPr>
      <w:r>
        <w:rPr>
          <w:rFonts w:hint="eastAsia" w:ascii="宋体" w:hAnsi="宋体" w:eastAsia="宋体" w:cs="宋体"/>
          <w:b/>
          <w:bCs/>
          <w:color w:val="auto"/>
          <w:kern w:val="2"/>
          <w:sz w:val="22"/>
          <w:szCs w:val="28"/>
          <w:highlight w:val="none"/>
          <w:lang w:val="en-US" w:eastAsia="zh-CN" w:bidi="ar-SA"/>
        </w:rPr>
        <w:t>五、风险管理与应对措施方案</w:t>
      </w:r>
    </w:p>
    <w:p w14:paraId="45ED3EB6">
      <w:pPr>
        <w:bidi w:val="0"/>
        <w:rPr>
          <w:rFonts w:hint="eastAsia"/>
          <w:color w:val="auto"/>
          <w:highlight w:val="none"/>
        </w:rPr>
      </w:pPr>
      <w:r>
        <w:rPr>
          <w:rFonts w:hint="eastAsia"/>
          <w:color w:val="auto"/>
          <w:highlight w:val="none"/>
        </w:rPr>
        <w:t>格式自拟，由投标人按照招标文件要求及评审因素自行编写。</w:t>
      </w:r>
    </w:p>
    <w:p w14:paraId="2FA3B50F">
      <w:pPr>
        <w:pStyle w:val="63"/>
        <w:widowControl w:val="0"/>
        <w:numPr>
          <w:ilvl w:val="0"/>
          <w:numId w:val="0"/>
        </w:numPr>
        <w:spacing w:after="120" w:afterLines="0"/>
        <w:jc w:val="both"/>
        <w:rPr>
          <w:rFonts w:hint="eastAsia" w:ascii="宋体" w:hAnsi="宋体" w:eastAsia="宋体" w:cs="宋体"/>
          <w:color w:val="auto"/>
          <w:sz w:val="21"/>
          <w:szCs w:val="21"/>
          <w:highlight w:val="none"/>
          <w:lang w:val="zh-CN" w:eastAsia="zh-CN" w:bidi="ar"/>
        </w:rPr>
      </w:pPr>
    </w:p>
    <w:p w14:paraId="06F47BCE">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en-US" w:eastAsia="zh-CN" w:bidi="ar-SA"/>
        </w:rPr>
      </w:pPr>
      <w:r>
        <w:rPr>
          <w:rFonts w:hint="eastAsia" w:ascii="宋体" w:hAnsi="宋体" w:eastAsia="宋体" w:cs="宋体"/>
          <w:b/>
          <w:bCs/>
          <w:color w:val="auto"/>
          <w:kern w:val="2"/>
          <w:sz w:val="22"/>
          <w:szCs w:val="28"/>
          <w:highlight w:val="none"/>
          <w:lang w:val="en-US" w:eastAsia="zh-CN" w:bidi="ar-SA"/>
        </w:rPr>
        <w:t>六、建设方案</w:t>
      </w:r>
    </w:p>
    <w:p w14:paraId="091FB175">
      <w:pPr>
        <w:bidi w:val="0"/>
        <w:rPr>
          <w:rFonts w:hint="eastAsia"/>
          <w:color w:val="auto"/>
          <w:highlight w:val="none"/>
        </w:rPr>
      </w:pPr>
      <w:r>
        <w:rPr>
          <w:rFonts w:hint="eastAsia"/>
          <w:color w:val="auto"/>
          <w:highlight w:val="none"/>
        </w:rPr>
        <w:t>格式自拟，由投标人按照招标文件要求及评审因素自行编写。</w:t>
      </w:r>
    </w:p>
    <w:p w14:paraId="571476B0">
      <w:pPr>
        <w:pStyle w:val="63"/>
        <w:widowControl w:val="0"/>
        <w:numPr>
          <w:ilvl w:val="0"/>
          <w:numId w:val="0"/>
        </w:numPr>
        <w:spacing w:after="120" w:afterLines="0"/>
        <w:jc w:val="both"/>
        <w:rPr>
          <w:rFonts w:hint="eastAsia" w:ascii="宋体" w:hAnsi="宋体" w:eastAsia="宋体" w:cs="宋体"/>
          <w:color w:val="auto"/>
          <w:sz w:val="21"/>
          <w:szCs w:val="21"/>
          <w:highlight w:val="none"/>
          <w:lang w:val="zh-CN" w:eastAsia="zh-CN" w:bidi="ar"/>
        </w:rPr>
      </w:pPr>
    </w:p>
    <w:p w14:paraId="73D5178B">
      <w:pPr>
        <w:keepNext/>
        <w:keepLines/>
        <w:widowControl w:val="0"/>
        <w:numPr>
          <w:ilvl w:val="0"/>
          <w:numId w:val="0"/>
        </w:numPr>
        <w:spacing w:before="260" w:after="260" w:line="560" w:lineRule="exact"/>
        <w:ind w:firstLine="440" w:firstLineChars="200"/>
        <w:jc w:val="both"/>
        <w:outlineLvl w:val="1"/>
        <w:rPr>
          <w:rFonts w:hint="eastAsia" w:ascii="宋体" w:hAnsi="宋体" w:eastAsia="宋体" w:cs="宋体"/>
          <w:b/>
          <w:bCs/>
          <w:color w:val="auto"/>
          <w:kern w:val="2"/>
          <w:sz w:val="22"/>
          <w:szCs w:val="28"/>
          <w:highlight w:val="none"/>
          <w:lang w:val="en-US" w:eastAsia="zh-CN" w:bidi="ar-SA"/>
        </w:rPr>
      </w:pPr>
      <w:r>
        <w:rPr>
          <w:rFonts w:hint="eastAsia" w:ascii="宋体" w:hAnsi="宋体" w:eastAsia="宋体" w:cs="宋体"/>
          <w:b/>
          <w:bCs/>
          <w:color w:val="auto"/>
          <w:kern w:val="2"/>
          <w:sz w:val="22"/>
          <w:szCs w:val="28"/>
          <w:highlight w:val="none"/>
          <w:lang w:val="en-US" w:eastAsia="zh-CN" w:bidi="ar-SA"/>
        </w:rPr>
        <w:t>七、移交方案</w:t>
      </w:r>
    </w:p>
    <w:p w14:paraId="0777AE7D">
      <w:pPr>
        <w:bidi w:val="0"/>
        <w:rPr>
          <w:rFonts w:hint="eastAsia"/>
          <w:color w:val="auto"/>
          <w:highlight w:val="none"/>
        </w:rPr>
      </w:pPr>
      <w:r>
        <w:rPr>
          <w:rFonts w:hint="eastAsia"/>
          <w:color w:val="auto"/>
          <w:highlight w:val="none"/>
        </w:rPr>
        <w:t>格式自拟，由投标人按照招标文件要求及评审因素自行编写。</w:t>
      </w:r>
    </w:p>
    <w:p w14:paraId="1C371173">
      <w:pPr>
        <w:pStyle w:val="63"/>
        <w:widowControl w:val="0"/>
        <w:numPr>
          <w:ilvl w:val="0"/>
          <w:numId w:val="0"/>
        </w:numPr>
        <w:spacing w:after="120" w:afterLines="0"/>
        <w:jc w:val="both"/>
        <w:rPr>
          <w:rFonts w:hint="eastAsia" w:ascii="宋体" w:hAnsi="宋体" w:eastAsia="宋体" w:cs="宋体"/>
          <w:color w:val="auto"/>
          <w:sz w:val="21"/>
          <w:szCs w:val="21"/>
          <w:highlight w:val="none"/>
          <w:lang w:val="zh-CN" w:eastAsia="zh-CN" w:bidi="ar"/>
        </w:rPr>
      </w:pPr>
    </w:p>
    <w:p w14:paraId="21A0AAAE">
      <w:pPr>
        <w:keepNext/>
        <w:keepLines/>
        <w:widowControl w:val="0"/>
        <w:numPr>
          <w:ilvl w:val="0"/>
          <w:numId w:val="0"/>
        </w:numPr>
        <w:spacing w:before="260" w:after="260" w:line="560" w:lineRule="exact"/>
        <w:ind w:firstLine="440" w:firstLineChars="200"/>
        <w:jc w:val="both"/>
        <w:outlineLvl w:val="1"/>
        <w:rPr>
          <w:rFonts w:hint="eastAsia" w:ascii="宋体" w:hAnsi="宋体" w:cs="宋体"/>
          <w:b/>
          <w:bCs/>
          <w:color w:val="auto"/>
          <w:kern w:val="2"/>
          <w:sz w:val="22"/>
          <w:szCs w:val="28"/>
          <w:highlight w:val="none"/>
          <w:lang w:val="en-US" w:eastAsia="zh-CN" w:bidi="ar-SA"/>
        </w:rPr>
        <w:sectPr>
          <w:headerReference r:id="rId15" w:type="default"/>
          <w:footerReference r:id="rId16" w:type="default"/>
          <w:pgSz w:w="11906" w:h="16838"/>
          <w:pgMar w:top="1440" w:right="1080" w:bottom="1440" w:left="1080" w:header="851" w:footer="992" w:gutter="0"/>
          <w:pgNumType w:fmt="decimal"/>
          <w:cols w:space="708" w:num="1"/>
          <w:docGrid w:type="linesAndChars" w:linePitch="312" w:charSpace="0"/>
        </w:sectPr>
      </w:pPr>
      <w:r>
        <w:rPr>
          <w:rFonts w:hint="eastAsia" w:ascii="宋体" w:hAnsi="宋体" w:cs="宋体"/>
          <w:b/>
          <w:bCs/>
          <w:color w:val="auto"/>
          <w:kern w:val="2"/>
          <w:sz w:val="22"/>
          <w:szCs w:val="28"/>
          <w:highlight w:val="none"/>
          <w:lang w:val="en-US" w:eastAsia="zh-CN" w:bidi="ar-SA"/>
        </w:rPr>
        <w:t>八、</w:t>
      </w:r>
      <w:r>
        <w:rPr>
          <w:rFonts w:hint="eastAsia" w:ascii="宋体" w:hAnsi="宋体" w:cs="宋体"/>
          <w:b/>
          <w:bCs/>
          <w:color w:val="auto"/>
          <w:kern w:val="2"/>
          <w:sz w:val="22"/>
          <w:szCs w:val="28"/>
          <w:highlight w:val="none"/>
          <w:lang w:val="zh-CN" w:eastAsia="zh-CN" w:bidi="ar-SA"/>
        </w:rPr>
        <w:t>投标人认为需要提供的其他材料</w:t>
      </w:r>
    </w:p>
    <w:bookmarkEnd w:id="943"/>
    <w:bookmarkEnd w:id="944"/>
    <w:bookmarkEnd w:id="945"/>
    <w:bookmarkEnd w:id="946"/>
    <w:bookmarkEnd w:id="947"/>
    <w:bookmarkEnd w:id="948"/>
    <w:bookmarkEnd w:id="949"/>
    <w:p w14:paraId="3C884938">
      <w:pPr>
        <w:keepNext/>
        <w:keepLines/>
        <w:widowControl w:val="0"/>
        <w:numPr>
          <w:ilvl w:val="0"/>
          <w:numId w:val="0"/>
        </w:numPr>
        <w:spacing w:before="260" w:after="260" w:line="416" w:lineRule="auto"/>
        <w:jc w:val="both"/>
        <w:outlineLvl w:val="1"/>
        <w:rPr>
          <w:rFonts w:hint="eastAsia" w:ascii="宋体" w:hAnsi="宋体" w:cs="宋体"/>
          <w:b/>
          <w:bCs/>
          <w:color w:val="auto"/>
          <w:kern w:val="2"/>
          <w:sz w:val="22"/>
          <w:szCs w:val="22"/>
          <w:highlight w:val="none"/>
          <w:lang w:val="en-US" w:eastAsia="zh-CN"/>
        </w:rPr>
      </w:pPr>
      <w:bookmarkStart w:id="1117" w:name="_Toc8309_WPSOffice_Level1"/>
      <w:bookmarkStart w:id="1118" w:name="_Toc6201"/>
      <w:bookmarkStart w:id="1119" w:name="_Toc487063121"/>
      <w:bookmarkStart w:id="1120" w:name="_Toc2219"/>
      <w:bookmarkStart w:id="1121" w:name="_Toc12347_WPSOffice_Level1"/>
      <w:bookmarkStart w:id="1122" w:name="_Toc11399_WPSOffice_Level1"/>
      <w:bookmarkStart w:id="1123" w:name="_Toc460413583"/>
      <w:bookmarkStart w:id="1124" w:name="_Toc152045793"/>
      <w:bookmarkStart w:id="1125" w:name="_Toc414277235"/>
      <w:bookmarkStart w:id="1126" w:name="_Toc460317748"/>
      <w:bookmarkStart w:id="1127" w:name="_Toc19747"/>
      <w:bookmarkStart w:id="1128" w:name="_Toc17011"/>
      <w:bookmarkStart w:id="1129" w:name="_Toc461580695"/>
      <w:bookmarkStart w:id="1130" w:name="_Toc414112860"/>
      <w:bookmarkStart w:id="1131" w:name="_Toc152042582"/>
      <w:bookmarkStart w:id="1132" w:name="_Toc460777779"/>
    </w:p>
    <w:p w14:paraId="30F1136D">
      <w:pPr>
        <w:pStyle w:val="63"/>
        <w:rPr>
          <w:rFonts w:hint="eastAsia" w:ascii="宋体" w:hAnsi="宋体" w:cs="宋体"/>
          <w:b/>
          <w:bCs/>
          <w:color w:val="auto"/>
          <w:kern w:val="2"/>
          <w:sz w:val="22"/>
          <w:szCs w:val="22"/>
          <w:highlight w:val="none"/>
          <w:lang w:val="en-US" w:eastAsia="zh-CN"/>
        </w:rPr>
      </w:pPr>
    </w:p>
    <w:p w14:paraId="5FB90F92">
      <w:pPr>
        <w:pStyle w:val="63"/>
        <w:rPr>
          <w:rFonts w:hint="eastAsia" w:ascii="宋体" w:hAnsi="宋体" w:cs="宋体"/>
          <w:b/>
          <w:bCs/>
          <w:color w:val="auto"/>
          <w:kern w:val="2"/>
          <w:sz w:val="22"/>
          <w:szCs w:val="22"/>
          <w:highlight w:val="none"/>
          <w:lang w:val="en-US" w:eastAsia="zh-CN"/>
        </w:rPr>
      </w:pPr>
    </w:p>
    <w:p w14:paraId="6BB24F20">
      <w:pPr>
        <w:pStyle w:val="63"/>
        <w:rPr>
          <w:rFonts w:hint="eastAsia" w:ascii="宋体" w:hAnsi="宋体" w:cs="宋体"/>
          <w:b/>
          <w:bCs/>
          <w:color w:val="auto"/>
          <w:kern w:val="2"/>
          <w:sz w:val="22"/>
          <w:szCs w:val="22"/>
          <w:highlight w:val="none"/>
          <w:lang w:val="en-US" w:eastAsia="zh-CN"/>
        </w:rPr>
      </w:pPr>
    </w:p>
    <w:p w14:paraId="4C0F997E">
      <w:pPr>
        <w:pStyle w:val="63"/>
        <w:rPr>
          <w:rFonts w:hint="eastAsia" w:ascii="宋体" w:hAnsi="宋体" w:cs="宋体"/>
          <w:b/>
          <w:bCs/>
          <w:color w:val="auto"/>
          <w:kern w:val="2"/>
          <w:sz w:val="22"/>
          <w:szCs w:val="22"/>
          <w:highlight w:val="none"/>
          <w:lang w:val="en-US" w:eastAsia="zh-CN"/>
        </w:rPr>
      </w:pPr>
    </w:p>
    <w:p w14:paraId="69AFC0CE">
      <w:pPr>
        <w:pStyle w:val="63"/>
        <w:rPr>
          <w:rFonts w:hint="eastAsia" w:ascii="宋体" w:hAnsi="宋体" w:cs="宋体"/>
          <w:b/>
          <w:bCs/>
          <w:color w:val="auto"/>
          <w:kern w:val="2"/>
          <w:sz w:val="22"/>
          <w:szCs w:val="22"/>
          <w:highlight w:val="none"/>
          <w:lang w:val="en-US" w:eastAsia="zh-CN"/>
        </w:rPr>
      </w:pPr>
    </w:p>
    <w:p w14:paraId="446CFCB4">
      <w:pPr>
        <w:pStyle w:val="63"/>
        <w:rPr>
          <w:rFonts w:hint="eastAsia" w:ascii="宋体" w:hAnsi="宋体" w:cs="宋体"/>
          <w:b/>
          <w:bCs/>
          <w:color w:val="auto"/>
          <w:kern w:val="2"/>
          <w:sz w:val="22"/>
          <w:szCs w:val="22"/>
          <w:highlight w:val="none"/>
          <w:lang w:val="en-US" w:eastAsia="zh-CN"/>
        </w:rPr>
      </w:pPr>
    </w:p>
    <w:p w14:paraId="11609A1E">
      <w:pPr>
        <w:pStyle w:val="63"/>
        <w:rPr>
          <w:rFonts w:hint="eastAsia" w:ascii="宋体" w:hAnsi="宋体" w:cs="宋体"/>
          <w:b/>
          <w:bCs/>
          <w:color w:val="auto"/>
          <w:kern w:val="2"/>
          <w:sz w:val="22"/>
          <w:szCs w:val="22"/>
          <w:highlight w:val="none"/>
          <w:lang w:val="en-US" w:eastAsia="zh-CN"/>
        </w:rPr>
      </w:pPr>
    </w:p>
    <w:p w14:paraId="2EA64F5A">
      <w:pPr>
        <w:pStyle w:val="63"/>
        <w:rPr>
          <w:rFonts w:hint="eastAsia" w:ascii="宋体" w:hAnsi="宋体" w:cs="宋体"/>
          <w:b/>
          <w:bCs/>
          <w:color w:val="auto"/>
          <w:kern w:val="2"/>
          <w:sz w:val="22"/>
          <w:szCs w:val="22"/>
          <w:highlight w:val="none"/>
          <w:lang w:val="en-US" w:eastAsia="zh-CN"/>
        </w:rPr>
      </w:pPr>
    </w:p>
    <w:p w14:paraId="4F281EE5">
      <w:pPr>
        <w:pStyle w:val="63"/>
        <w:rPr>
          <w:rFonts w:hint="eastAsia" w:ascii="宋体" w:hAnsi="宋体" w:cs="宋体"/>
          <w:b/>
          <w:bCs/>
          <w:color w:val="auto"/>
          <w:kern w:val="2"/>
          <w:sz w:val="22"/>
          <w:szCs w:val="22"/>
          <w:highlight w:val="none"/>
          <w:lang w:val="en-US" w:eastAsia="zh-CN"/>
        </w:rPr>
      </w:pPr>
    </w:p>
    <w:p w14:paraId="52907FB6">
      <w:pPr>
        <w:pStyle w:val="63"/>
        <w:rPr>
          <w:rFonts w:hint="eastAsia" w:ascii="宋体" w:hAnsi="宋体" w:cs="宋体"/>
          <w:b/>
          <w:bCs/>
          <w:color w:val="auto"/>
          <w:kern w:val="2"/>
          <w:sz w:val="22"/>
          <w:szCs w:val="22"/>
          <w:highlight w:val="none"/>
          <w:lang w:val="en-US" w:eastAsia="zh-CN"/>
        </w:rPr>
      </w:pPr>
    </w:p>
    <w:p w14:paraId="24BFC7FD">
      <w:pPr>
        <w:pStyle w:val="63"/>
        <w:rPr>
          <w:rFonts w:hint="eastAsia" w:ascii="宋体" w:hAnsi="宋体" w:cs="宋体"/>
          <w:b/>
          <w:bCs/>
          <w:color w:val="auto"/>
          <w:kern w:val="2"/>
          <w:sz w:val="22"/>
          <w:szCs w:val="22"/>
          <w:highlight w:val="none"/>
          <w:lang w:val="en-US" w:eastAsia="zh-CN"/>
        </w:rPr>
      </w:pPr>
    </w:p>
    <w:p w14:paraId="552AE0B3">
      <w:pPr>
        <w:pStyle w:val="63"/>
        <w:ind w:left="0" w:leftChars="0" w:firstLine="0" w:firstLineChars="0"/>
        <w:jc w:val="center"/>
        <w:rPr>
          <w:rFonts w:hint="default" w:ascii="宋体" w:hAnsi="宋体" w:cs="宋体"/>
          <w:b/>
          <w:bCs/>
          <w:color w:val="auto"/>
          <w:kern w:val="2"/>
          <w:sz w:val="32"/>
          <w:szCs w:val="32"/>
          <w:highlight w:val="none"/>
          <w:lang w:val="en-US" w:eastAsia="zh-CN"/>
        </w:rPr>
      </w:pPr>
      <w:r>
        <w:rPr>
          <w:rFonts w:hint="eastAsia" w:ascii="宋体" w:hAnsi="宋体" w:cs="宋体"/>
          <w:b/>
          <w:bCs/>
          <w:color w:val="auto"/>
          <w:kern w:val="2"/>
          <w:sz w:val="32"/>
          <w:szCs w:val="32"/>
          <w:highlight w:val="none"/>
          <w:lang w:val="en-US" w:eastAsia="zh-CN"/>
        </w:rPr>
        <w:t>第四部分  商务部分</w:t>
      </w:r>
    </w:p>
    <w:p w14:paraId="39C4C5F1">
      <w:pPr>
        <w:pStyle w:val="63"/>
        <w:rPr>
          <w:rFonts w:hint="eastAsia" w:ascii="宋体" w:hAnsi="宋体" w:cs="宋体"/>
          <w:b/>
          <w:bCs/>
          <w:color w:val="auto"/>
          <w:kern w:val="2"/>
          <w:sz w:val="22"/>
          <w:szCs w:val="22"/>
          <w:highlight w:val="none"/>
          <w:lang w:val="en-US" w:eastAsia="zh-CN"/>
        </w:rPr>
      </w:pPr>
    </w:p>
    <w:p w14:paraId="7B57BDF1">
      <w:pPr>
        <w:pStyle w:val="63"/>
        <w:rPr>
          <w:rFonts w:hint="eastAsia" w:ascii="宋体" w:hAnsi="宋体" w:cs="宋体"/>
          <w:b/>
          <w:bCs/>
          <w:color w:val="auto"/>
          <w:kern w:val="2"/>
          <w:sz w:val="22"/>
          <w:szCs w:val="22"/>
          <w:highlight w:val="none"/>
          <w:lang w:val="en-US" w:eastAsia="zh-CN"/>
        </w:rPr>
      </w:pPr>
    </w:p>
    <w:p w14:paraId="0FD9CF12">
      <w:pPr>
        <w:pStyle w:val="63"/>
        <w:rPr>
          <w:rFonts w:hint="eastAsia" w:ascii="宋体" w:hAnsi="宋体" w:cs="宋体"/>
          <w:b/>
          <w:bCs/>
          <w:color w:val="auto"/>
          <w:kern w:val="2"/>
          <w:sz w:val="22"/>
          <w:szCs w:val="22"/>
          <w:highlight w:val="none"/>
          <w:lang w:val="en-US" w:eastAsia="zh-CN"/>
        </w:rPr>
      </w:pPr>
    </w:p>
    <w:p w14:paraId="6A207944">
      <w:pPr>
        <w:pStyle w:val="63"/>
        <w:rPr>
          <w:rFonts w:hint="eastAsia" w:ascii="宋体" w:hAnsi="宋体" w:cs="宋体"/>
          <w:b/>
          <w:bCs/>
          <w:color w:val="auto"/>
          <w:kern w:val="2"/>
          <w:sz w:val="22"/>
          <w:szCs w:val="22"/>
          <w:highlight w:val="none"/>
          <w:lang w:val="en-US" w:eastAsia="zh-CN"/>
        </w:rPr>
      </w:pPr>
    </w:p>
    <w:p w14:paraId="32E54A32">
      <w:pPr>
        <w:pStyle w:val="63"/>
        <w:rPr>
          <w:rFonts w:hint="eastAsia" w:ascii="宋体" w:hAnsi="宋体" w:cs="宋体"/>
          <w:b/>
          <w:bCs/>
          <w:color w:val="auto"/>
          <w:kern w:val="2"/>
          <w:sz w:val="22"/>
          <w:szCs w:val="22"/>
          <w:highlight w:val="none"/>
          <w:lang w:val="en-US" w:eastAsia="zh-CN"/>
        </w:rPr>
      </w:pPr>
    </w:p>
    <w:p w14:paraId="3C2D2B20">
      <w:pPr>
        <w:pStyle w:val="63"/>
        <w:rPr>
          <w:rFonts w:hint="eastAsia" w:ascii="宋体" w:hAnsi="宋体" w:cs="宋体"/>
          <w:b/>
          <w:bCs/>
          <w:color w:val="auto"/>
          <w:kern w:val="2"/>
          <w:sz w:val="22"/>
          <w:szCs w:val="22"/>
          <w:highlight w:val="none"/>
          <w:lang w:val="en-US" w:eastAsia="zh-CN"/>
        </w:rPr>
      </w:pPr>
    </w:p>
    <w:p w14:paraId="543A4925">
      <w:pPr>
        <w:pStyle w:val="63"/>
        <w:rPr>
          <w:rFonts w:hint="eastAsia" w:ascii="宋体" w:hAnsi="宋体" w:cs="宋体"/>
          <w:b/>
          <w:bCs/>
          <w:color w:val="auto"/>
          <w:kern w:val="2"/>
          <w:sz w:val="22"/>
          <w:szCs w:val="22"/>
          <w:highlight w:val="none"/>
          <w:lang w:val="en-US" w:eastAsia="zh-CN"/>
        </w:rPr>
      </w:pPr>
    </w:p>
    <w:p w14:paraId="30B2782E">
      <w:pPr>
        <w:pStyle w:val="63"/>
        <w:rPr>
          <w:rFonts w:hint="eastAsia" w:ascii="宋体" w:hAnsi="宋体" w:cs="宋体"/>
          <w:b/>
          <w:bCs/>
          <w:color w:val="auto"/>
          <w:kern w:val="2"/>
          <w:sz w:val="22"/>
          <w:szCs w:val="22"/>
          <w:highlight w:val="none"/>
          <w:lang w:val="en-US" w:eastAsia="zh-CN"/>
        </w:rPr>
      </w:pPr>
    </w:p>
    <w:p w14:paraId="79B08F15">
      <w:pPr>
        <w:pStyle w:val="63"/>
        <w:rPr>
          <w:rFonts w:hint="eastAsia" w:ascii="宋体" w:hAnsi="宋体" w:cs="宋体"/>
          <w:b/>
          <w:bCs/>
          <w:color w:val="auto"/>
          <w:kern w:val="2"/>
          <w:sz w:val="22"/>
          <w:szCs w:val="22"/>
          <w:highlight w:val="none"/>
          <w:lang w:val="en-US" w:eastAsia="zh-CN"/>
        </w:rPr>
      </w:pPr>
    </w:p>
    <w:p w14:paraId="71B8C742">
      <w:pPr>
        <w:pStyle w:val="63"/>
        <w:rPr>
          <w:rFonts w:hint="eastAsia" w:ascii="宋体" w:hAnsi="宋体" w:cs="宋体"/>
          <w:b/>
          <w:bCs/>
          <w:color w:val="auto"/>
          <w:kern w:val="2"/>
          <w:sz w:val="22"/>
          <w:szCs w:val="22"/>
          <w:highlight w:val="none"/>
          <w:lang w:val="en-US" w:eastAsia="zh-CN"/>
        </w:rPr>
      </w:pPr>
    </w:p>
    <w:p w14:paraId="70C6D6AE">
      <w:pPr>
        <w:pStyle w:val="63"/>
        <w:rPr>
          <w:rFonts w:hint="eastAsia" w:ascii="宋体" w:hAnsi="宋体" w:cs="宋体"/>
          <w:b/>
          <w:bCs/>
          <w:color w:val="auto"/>
          <w:kern w:val="2"/>
          <w:sz w:val="22"/>
          <w:szCs w:val="22"/>
          <w:highlight w:val="none"/>
          <w:lang w:val="en-US" w:eastAsia="zh-CN"/>
        </w:rPr>
      </w:pPr>
    </w:p>
    <w:p w14:paraId="479BA052">
      <w:pPr>
        <w:pStyle w:val="63"/>
        <w:rPr>
          <w:rFonts w:hint="eastAsia" w:ascii="宋体" w:hAnsi="宋体" w:cs="宋体"/>
          <w:b/>
          <w:bCs/>
          <w:color w:val="auto"/>
          <w:kern w:val="2"/>
          <w:sz w:val="22"/>
          <w:szCs w:val="22"/>
          <w:highlight w:val="none"/>
          <w:lang w:val="en-US" w:eastAsia="zh-CN"/>
        </w:rPr>
      </w:pPr>
    </w:p>
    <w:p w14:paraId="579F6F16">
      <w:pPr>
        <w:pStyle w:val="63"/>
        <w:rPr>
          <w:rFonts w:hint="eastAsia" w:ascii="宋体" w:hAnsi="宋体" w:cs="宋体"/>
          <w:b/>
          <w:bCs/>
          <w:color w:val="auto"/>
          <w:kern w:val="2"/>
          <w:sz w:val="22"/>
          <w:szCs w:val="22"/>
          <w:highlight w:val="none"/>
          <w:lang w:val="en-US" w:eastAsia="zh-CN"/>
        </w:rPr>
      </w:pPr>
    </w:p>
    <w:p w14:paraId="7C5A90B1">
      <w:pPr>
        <w:pStyle w:val="63"/>
        <w:rPr>
          <w:rFonts w:hint="eastAsia" w:ascii="宋体" w:hAnsi="宋体" w:cs="宋体"/>
          <w:b/>
          <w:bCs/>
          <w:color w:val="auto"/>
          <w:kern w:val="2"/>
          <w:sz w:val="22"/>
          <w:szCs w:val="22"/>
          <w:highlight w:val="none"/>
          <w:lang w:val="en-US" w:eastAsia="zh-CN"/>
        </w:rPr>
      </w:pPr>
    </w:p>
    <w:p w14:paraId="3A83AFE8">
      <w:pPr>
        <w:pStyle w:val="63"/>
        <w:rPr>
          <w:rFonts w:hint="eastAsia" w:ascii="宋体" w:hAnsi="宋体" w:cs="宋体"/>
          <w:b/>
          <w:bCs/>
          <w:color w:val="auto"/>
          <w:kern w:val="2"/>
          <w:sz w:val="22"/>
          <w:szCs w:val="22"/>
          <w:highlight w:val="none"/>
          <w:lang w:val="en-US" w:eastAsia="zh-CN"/>
        </w:rPr>
      </w:pPr>
    </w:p>
    <w:p w14:paraId="37A70CE6">
      <w:pPr>
        <w:pStyle w:val="63"/>
        <w:rPr>
          <w:rFonts w:hint="eastAsia" w:ascii="宋体" w:hAnsi="宋体" w:cs="宋体"/>
          <w:b/>
          <w:bCs/>
          <w:color w:val="auto"/>
          <w:kern w:val="2"/>
          <w:sz w:val="22"/>
          <w:szCs w:val="22"/>
          <w:highlight w:val="none"/>
          <w:lang w:val="en-US" w:eastAsia="zh-CN"/>
        </w:rPr>
      </w:pPr>
    </w:p>
    <w:p w14:paraId="5A71C1D7">
      <w:pPr>
        <w:pStyle w:val="63"/>
        <w:rPr>
          <w:rFonts w:hint="eastAsia" w:ascii="宋体" w:hAnsi="宋体" w:cs="宋体"/>
          <w:b/>
          <w:bCs/>
          <w:color w:val="auto"/>
          <w:kern w:val="2"/>
          <w:sz w:val="22"/>
          <w:szCs w:val="22"/>
          <w:highlight w:val="none"/>
          <w:lang w:val="en-US" w:eastAsia="zh-CN"/>
        </w:rPr>
      </w:pPr>
    </w:p>
    <w:p w14:paraId="0AD2B7D9">
      <w:pPr>
        <w:pStyle w:val="63"/>
        <w:numPr>
          <w:ilvl w:val="0"/>
          <w:numId w:val="0"/>
        </w:numP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一、专业能力</w:t>
      </w:r>
    </w:p>
    <w:p w14:paraId="2B07FF36">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根据项目需求，制定本项目的设备投入承诺书，并详细列明所投入的设备名称及数量</w:t>
      </w:r>
      <w:r>
        <w:rPr>
          <w:rFonts w:hint="eastAsia" w:ascii="宋体" w:hAnsi="宋体" w:eastAsia="宋体" w:cs="宋体"/>
          <w:color w:val="auto"/>
          <w:sz w:val="21"/>
          <w:szCs w:val="21"/>
          <w:highlight w:val="none"/>
          <w:lang w:val="en-US" w:eastAsia="zh-CN" w:bidi="ar"/>
        </w:rPr>
        <w:t>（格式自拟）。</w:t>
      </w:r>
    </w:p>
    <w:p w14:paraId="657E0F5B">
      <w:pPr>
        <w:pStyle w:val="63"/>
        <w:numPr>
          <w:ilvl w:val="0"/>
          <w:numId w:val="0"/>
        </w:numPr>
        <w:rPr>
          <w:rFonts w:hint="eastAsia" w:ascii="宋体" w:hAnsi="宋体" w:eastAsia="宋体" w:cs="宋体"/>
          <w:b/>
          <w:bCs/>
          <w:color w:val="auto"/>
          <w:sz w:val="21"/>
          <w:szCs w:val="21"/>
          <w:highlight w:val="none"/>
          <w:lang w:val="en-US" w:eastAsia="zh-CN" w:bidi="ar"/>
        </w:rPr>
      </w:pPr>
    </w:p>
    <w:p w14:paraId="5007A0DB">
      <w:pPr>
        <w:pStyle w:val="63"/>
        <w:numPr>
          <w:ilvl w:val="0"/>
          <w:numId w:val="0"/>
        </w:numPr>
        <w:rPr>
          <w:rFonts w:hint="eastAsia" w:ascii="宋体" w:hAnsi="宋体" w:eastAsia="宋体" w:cs="宋体"/>
          <w:b/>
          <w:bCs/>
          <w:color w:val="auto"/>
          <w:sz w:val="21"/>
          <w:szCs w:val="21"/>
          <w:highlight w:val="none"/>
          <w:lang w:val="en-US" w:eastAsia="zh-CN" w:bidi="ar"/>
        </w:rPr>
      </w:pPr>
    </w:p>
    <w:p w14:paraId="043E1BE0">
      <w:pPr>
        <w:pStyle w:val="63"/>
        <w:numPr>
          <w:ilvl w:val="0"/>
          <w:numId w:val="0"/>
        </w:numPr>
        <w:rPr>
          <w:rFonts w:hint="eastAsia" w:ascii="宋体" w:hAnsi="宋体" w:eastAsia="宋体" w:cs="宋体"/>
          <w:b/>
          <w:bCs/>
          <w:color w:val="auto"/>
          <w:sz w:val="21"/>
          <w:szCs w:val="21"/>
          <w:highlight w:val="none"/>
          <w:lang w:val="en-US" w:eastAsia="zh-CN" w:bidi="ar"/>
        </w:rPr>
      </w:pPr>
    </w:p>
    <w:p w14:paraId="40CFC262">
      <w:pPr>
        <w:pStyle w:val="63"/>
        <w:numPr>
          <w:ilvl w:val="0"/>
          <w:numId w:val="0"/>
        </w:numPr>
        <w:rPr>
          <w:rFonts w:hint="eastAsia" w:ascii="宋体" w:hAnsi="宋体" w:eastAsia="宋体" w:cs="宋体"/>
          <w:b/>
          <w:bCs/>
          <w:color w:val="auto"/>
          <w:sz w:val="21"/>
          <w:szCs w:val="21"/>
          <w:highlight w:val="none"/>
          <w:lang w:val="en-US" w:eastAsia="zh-CN" w:bidi="ar"/>
        </w:rPr>
      </w:pPr>
    </w:p>
    <w:p w14:paraId="4B27F492">
      <w:pPr>
        <w:pStyle w:val="63"/>
        <w:numPr>
          <w:ilvl w:val="0"/>
          <w:numId w:val="0"/>
        </w:numPr>
        <w:rPr>
          <w:rFonts w:hint="eastAsia" w:ascii="宋体" w:hAnsi="宋体" w:eastAsia="宋体" w:cs="宋体"/>
          <w:b/>
          <w:bCs/>
          <w:color w:val="auto"/>
          <w:sz w:val="21"/>
          <w:szCs w:val="21"/>
          <w:highlight w:val="none"/>
          <w:lang w:val="en-US" w:eastAsia="zh-CN" w:bidi="ar"/>
        </w:rPr>
      </w:pPr>
    </w:p>
    <w:p w14:paraId="40580852">
      <w:pPr>
        <w:pStyle w:val="63"/>
        <w:numPr>
          <w:ilvl w:val="0"/>
          <w:numId w:val="0"/>
        </w:numPr>
        <w:rPr>
          <w:rFonts w:hint="eastAsia" w:ascii="宋体" w:hAnsi="宋体" w:eastAsia="宋体" w:cs="宋体"/>
          <w:b/>
          <w:bCs/>
          <w:color w:val="auto"/>
          <w:sz w:val="21"/>
          <w:szCs w:val="21"/>
          <w:highlight w:val="none"/>
          <w:lang w:val="en-US" w:eastAsia="zh-CN" w:bidi="ar"/>
        </w:rPr>
      </w:pPr>
    </w:p>
    <w:p w14:paraId="542C7FAD">
      <w:pPr>
        <w:pStyle w:val="63"/>
        <w:numPr>
          <w:ilvl w:val="0"/>
          <w:numId w:val="0"/>
        </w:numPr>
        <w:rPr>
          <w:rFonts w:hint="eastAsia" w:ascii="宋体" w:hAnsi="宋体" w:eastAsia="宋体" w:cs="宋体"/>
          <w:b/>
          <w:bCs/>
          <w:color w:val="auto"/>
          <w:sz w:val="21"/>
          <w:szCs w:val="21"/>
          <w:highlight w:val="none"/>
          <w:lang w:val="en-US" w:eastAsia="zh-CN" w:bidi="ar"/>
        </w:rPr>
      </w:pPr>
    </w:p>
    <w:p w14:paraId="7F0F16AE">
      <w:pPr>
        <w:pStyle w:val="63"/>
        <w:numPr>
          <w:ilvl w:val="0"/>
          <w:numId w:val="0"/>
        </w:numPr>
        <w:rPr>
          <w:rFonts w:hint="eastAsia" w:ascii="宋体" w:hAnsi="宋体" w:eastAsia="宋体" w:cs="宋体"/>
          <w:b/>
          <w:bCs/>
          <w:color w:val="auto"/>
          <w:sz w:val="21"/>
          <w:szCs w:val="21"/>
          <w:highlight w:val="none"/>
          <w:lang w:val="en-US" w:eastAsia="zh-CN" w:bidi="ar"/>
        </w:rPr>
      </w:pPr>
    </w:p>
    <w:p w14:paraId="1A847D14">
      <w:pPr>
        <w:pStyle w:val="63"/>
        <w:numPr>
          <w:ilvl w:val="0"/>
          <w:numId w:val="0"/>
        </w:numPr>
        <w:rPr>
          <w:rFonts w:hint="eastAsia" w:ascii="宋体" w:hAnsi="宋体" w:eastAsia="宋体" w:cs="宋体"/>
          <w:b/>
          <w:bCs/>
          <w:color w:val="auto"/>
          <w:sz w:val="21"/>
          <w:szCs w:val="21"/>
          <w:highlight w:val="none"/>
          <w:lang w:val="en-US" w:eastAsia="zh-CN" w:bidi="ar"/>
        </w:rPr>
      </w:pPr>
    </w:p>
    <w:p w14:paraId="65617590">
      <w:pPr>
        <w:pStyle w:val="63"/>
        <w:numPr>
          <w:ilvl w:val="0"/>
          <w:numId w:val="0"/>
        </w:numPr>
        <w:rPr>
          <w:rFonts w:hint="eastAsia" w:ascii="宋体" w:hAnsi="宋体" w:eastAsia="宋体" w:cs="宋体"/>
          <w:b/>
          <w:bCs/>
          <w:color w:val="auto"/>
          <w:sz w:val="21"/>
          <w:szCs w:val="21"/>
          <w:highlight w:val="none"/>
          <w:lang w:val="en-US" w:eastAsia="zh-CN" w:bidi="ar"/>
        </w:rPr>
      </w:pPr>
    </w:p>
    <w:p w14:paraId="17FCE2B1">
      <w:pPr>
        <w:pStyle w:val="63"/>
        <w:numPr>
          <w:ilvl w:val="0"/>
          <w:numId w:val="0"/>
        </w:numPr>
        <w:rPr>
          <w:rFonts w:hint="eastAsia" w:ascii="宋体" w:hAnsi="宋体" w:eastAsia="宋体" w:cs="宋体"/>
          <w:b/>
          <w:bCs/>
          <w:color w:val="auto"/>
          <w:sz w:val="21"/>
          <w:szCs w:val="21"/>
          <w:highlight w:val="none"/>
          <w:lang w:val="en-US" w:eastAsia="zh-CN" w:bidi="ar"/>
        </w:rPr>
      </w:pPr>
    </w:p>
    <w:p w14:paraId="5FB41C0E">
      <w:pPr>
        <w:pStyle w:val="63"/>
        <w:numPr>
          <w:ilvl w:val="0"/>
          <w:numId w:val="0"/>
        </w:numPr>
        <w:rPr>
          <w:rFonts w:hint="eastAsia" w:ascii="宋体" w:hAnsi="宋体" w:eastAsia="宋体" w:cs="宋体"/>
          <w:b/>
          <w:bCs/>
          <w:color w:val="auto"/>
          <w:sz w:val="21"/>
          <w:szCs w:val="21"/>
          <w:highlight w:val="none"/>
          <w:lang w:val="en-US" w:eastAsia="zh-CN" w:bidi="ar"/>
        </w:rPr>
      </w:pPr>
    </w:p>
    <w:p w14:paraId="3CABEEEB">
      <w:pPr>
        <w:pStyle w:val="63"/>
        <w:numPr>
          <w:ilvl w:val="0"/>
          <w:numId w:val="0"/>
        </w:numPr>
        <w:rPr>
          <w:rFonts w:hint="eastAsia" w:ascii="宋体" w:hAnsi="宋体" w:eastAsia="宋体" w:cs="宋体"/>
          <w:b/>
          <w:bCs/>
          <w:color w:val="auto"/>
          <w:sz w:val="21"/>
          <w:szCs w:val="21"/>
          <w:highlight w:val="none"/>
          <w:lang w:val="en-US" w:eastAsia="zh-CN" w:bidi="ar"/>
        </w:rPr>
      </w:pPr>
    </w:p>
    <w:p w14:paraId="51B72878">
      <w:pPr>
        <w:pStyle w:val="63"/>
        <w:numPr>
          <w:ilvl w:val="0"/>
          <w:numId w:val="0"/>
        </w:numPr>
        <w:rPr>
          <w:rFonts w:hint="eastAsia" w:ascii="宋体" w:hAnsi="宋体" w:eastAsia="宋体" w:cs="宋体"/>
          <w:b/>
          <w:bCs/>
          <w:color w:val="auto"/>
          <w:sz w:val="21"/>
          <w:szCs w:val="21"/>
          <w:highlight w:val="none"/>
          <w:lang w:val="en-US" w:eastAsia="zh-CN" w:bidi="ar"/>
        </w:rPr>
      </w:pPr>
    </w:p>
    <w:p w14:paraId="690853B5">
      <w:pPr>
        <w:pStyle w:val="63"/>
        <w:numPr>
          <w:ilvl w:val="0"/>
          <w:numId w:val="0"/>
        </w:numPr>
        <w:rPr>
          <w:rFonts w:hint="eastAsia" w:ascii="宋体" w:hAnsi="宋体" w:eastAsia="宋体" w:cs="宋体"/>
          <w:b/>
          <w:bCs/>
          <w:color w:val="auto"/>
          <w:sz w:val="21"/>
          <w:szCs w:val="21"/>
          <w:highlight w:val="none"/>
          <w:lang w:val="en-US" w:eastAsia="zh-CN" w:bidi="ar"/>
        </w:rPr>
      </w:pPr>
    </w:p>
    <w:p w14:paraId="6D2A7D24">
      <w:pPr>
        <w:pStyle w:val="63"/>
        <w:numPr>
          <w:ilvl w:val="0"/>
          <w:numId w:val="0"/>
        </w:numPr>
        <w:rPr>
          <w:rFonts w:hint="eastAsia" w:ascii="宋体" w:hAnsi="宋体" w:eastAsia="宋体" w:cs="宋体"/>
          <w:b/>
          <w:bCs/>
          <w:color w:val="auto"/>
          <w:sz w:val="21"/>
          <w:szCs w:val="21"/>
          <w:highlight w:val="none"/>
          <w:lang w:val="en-US" w:eastAsia="zh-CN" w:bidi="ar"/>
        </w:rPr>
      </w:pPr>
    </w:p>
    <w:p w14:paraId="41F2B5D6">
      <w:pPr>
        <w:pStyle w:val="63"/>
        <w:numPr>
          <w:ilvl w:val="0"/>
          <w:numId w:val="0"/>
        </w:numPr>
        <w:rPr>
          <w:rFonts w:hint="eastAsia" w:ascii="宋体" w:hAnsi="宋体" w:eastAsia="宋体" w:cs="宋体"/>
          <w:b/>
          <w:bCs/>
          <w:color w:val="auto"/>
          <w:sz w:val="21"/>
          <w:szCs w:val="21"/>
          <w:highlight w:val="none"/>
          <w:lang w:val="en-US" w:eastAsia="zh-CN" w:bidi="ar"/>
        </w:rPr>
      </w:pPr>
    </w:p>
    <w:p w14:paraId="7DFDCBEC">
      <w:pPr>
        <w:pStyle w:val="63"/>
        <w:numPr>
          <w:ilvl w:val="0"/>
          <w:numId w:val="0"/>
        </w:numPr>
        <w:rPr>
          <w:rFonts w:hint="eastAsia" w:ascii="宋体" w:hAnsi="宋体" w:eastAsia="宋体" w:cs="宋体"/>
          <w:b/>
          <w:bCs/>
          <w:color w:val="auto"/>
          <w:sz w:val="21"/>
          <w:szCs w:val="21"/>
          <w:highlight w:val="none"/>
          <w:lang w:val="en-US" w:eastAsia="zh-CN" w:bidi="ar"/>
        </w:rPr>
      </w:pPr>
    </w:p>
    <w:p w14:paraId="33165511">
      <w:pPr>
        <w:pStyle w:val="63"/>
        <w:numPr>
          <w:ilvl w:val="0"/>
          <w:numId w:val="0"/>
        </w:numPr>
        <w:rPr>
          <w:rFonts w:hint="eastAsia" w:ascii="宋体" w:hAnsi="宋体" w:eastAsia="宋体" w:cs="宋体"/>
          <w:b/>
          <w:bCs/>
          <w:color w:val="auto"/>
          <w:sz w:val="21"/>
          <w:szCs w:val="21"/>
          <w:highlight w:val="none"/>
          <w:lang w:val="en-US" w:eastAsia="zh-CN" w:bidi="ar"/>
        </w:rPr>
      </w:pPr>
    </w:p>
    <w:p w14:paraId="1D9693DF">
      <w:pPr>
        <w:pStyle w:val="63"/>
        <w:numPr>
          <w:ilvl w:val="0"/>
          <w:numId w:val="0"/>
        </w:numPr>
        <w:rPr>
          <w:rFonts w:hint="eastAsia" w:ascii="宋体" w:hAnsi="宋体" w:eastAsia="宋体" w:cs="宋体"/>
          <w:b/>
          <w:bCs/>
          <w:color w:val="auto"/>
          <w:sz w:val="21"/>
          <w:szCs w:val="21"/>
          <w:highlight w:val="none"/>
          <w:lang w:val="en-US" w:eastAsia="zh-CN" w:bidi="ar"/>
        </w:rPr>
      </w:pPr>
    </w:p>
    <w:p w14:paraId="0E91699A">
      <w:pPr>
        <w:pStyle w:val="63"/>
        <w:numPr>
          <w:ilvl w:val="0"/>
          <w:numId w:val="0"/>
        </w:numPr>
        <w:rPr>
          <w:rFonts w:hint="eastAsia" w:ascii="宋体" w:hAnsi="宋体" w:eastAsia="宋体" w:cs="宋体"/>
          <w:b/>
          <w:bCs/>
          <w:color w:val="auto"/>
          <w:sz w:val="21"/>
          <w:szCs w:val="21"/>
          <w:highlight w:val="none"/>
          <w:lang w:val="en-US" w:eastAsia="zh-CN" w:bidi="ar"/>
        </w:rPr>
      </w:pPr>
    </w:p>
    <w:p w14:paraId="5C2788FE">
      <w:pPr>
        <w:pStyle w:val="63"/>
        <w:numPr>
          <w:ilvl w:val="0"/>
          <w:numId w:val="0"/>
        </w:numPr>
        <w:rPr>
          <w:rFonts w:hint="eastAsia" w:ascii="宋体" w:hAnsi="宋体" w:eastAsia="宋体" w:cs="宋体"/>
          <w:b/>
          <w:bCs/>
          <w:color w:val="auto"/>
          <w:sz w:val="21"/>
          <w:szCs w:val="21"/>
          <w:highlight w:val="none"/>
          <w:lang w:val="en-US" w:eastAsia="zh-CN" w:bidi="ar"/>
        </w:rPr>
      </w:pPr>
    </w:p>
    <w:p w14:paraId="74627C94">
      <w:pPr>
        <w:pStyle w:val="63"/>
        <w:numPr>
          <w:ilvl w:val="0"/>
          <w:numId w:val="0"/>
        </w:numPr>
        <w:rPr>
          <w:rFonts w:hint="eastAsia" w:ascii="宋体" w:hAnsi="宋体" w:eastAsia="宋体" w:cs="宋体"/>
          <w:b/>
          <w:bCs/>
          <w:color w:val="auto"/>
          <w:sz w:val="21"/>
          <w:szCs w:val="21"/>
          <w:highlight w:val="none"/>
          <w:lang w:val="en-US" w:eastAsia="zh-CN" w:bidi="ar"/>
        </w:rPr>
      </w:pPr>
    </w:p>
    <w:p w14:paraId="2FEF0664">
      <w:pPr>
        <w:pStyle w:val="63"/>
        <w:numPr>
          <w:ilvl w:val="0"/>
          <w:numId w:val="0"/>
        </w:numPr>
        <w:rPr>
          <w:rFonts w:hint="eastAsia" w:ascii="宋体" w:hAnsi="宋体" w:eastAsia="宋体" w:cs="宋体"/>
          <w:b/>
          <w:bCs/>
          <w:color w:val="auto"/>
          <w:sz w:val="21"/>
          <w:szCs w:val="21"/>
          <w:highlight w:val="none"/>
          <w:lang w:val="en-US" w:eastAsia="zh-CN" w:bidi="ar"/>
        </w:rPr>
      </w:pPr>
    </w:p>
    <w:p w14:paraId="55D86D4D">
      <w:pPr>
        <w:pStyle w:val="63"/>
        <w:numPr>
          <w:ilvl w:val="0"/>
          <w:numId w:val="0"/>
        </w:numPr>
        <w:rPr>
          <w:rFonts w:hint="eastAsia" w:ascii="宋体" w:hAnsi="宋体" w:eastAsia="宋体" w:cs="宋体"/>
          <w:b/>
          <w:bCs/>
          <w:color w:val="auto"/>
          <w:sz w:val="21"/>
          <w:szCs w:val="21"/>
          <w:highlight w:val="none"/>
          <w:lang w:val="en-US" w:eastAsia="zh-CN" w:bidi="ar"/>
        </w:rPr>
      </w:pPr>
    </w:p>
    <w:p w14:paraId="2C5D00F5">
      <w:pPr>
        <w:pStyle w:val="63"/>
        <w:numPr>
          <w:ilvl w:val="0"/>
          <w:numId w:val="0"/>
        </w:numPr>
        <w:rPr>
          <w:rFonts w:hint="eastAsia" w:ascii="宋体" w:hAnsi="宋体" w:eastAsia="宋体" w:cs="宋体"/>
          <w:b/>
          <w:bCs/>
          <w:color w:val="auto"/>
          <w:sz w:val="21"/>
          <w:szCs w:val="21"/>
          <w:highlight w:val="none"/>
          <w:lang w:val="en-US" w:eastAsia="zh-CN" w:bidi="ar"/>
        </w:rPr>
      </w:pPr>
    </w:p>
    <w:p w14:paraId="337DD208">
      <w:pPr>
        <w:pStyle w:val="63"/>
        <w:numPr>
          <w:ilvl w:val="0"/>
          <w:numId w:val="0"/>
        </w:numPr>
        <w:rPr>
          <w:rFonts w:hint="eastAsia" w:ascii="宋体" w:hAnsi="宋体" w:eastAsia="宋体" w:cs="宋体"/>
          <w:b/>
          <w:bCs/>
          <w:color w:val="auto"/>
          <w:sz w:val="21"/>
          <w:szCs w:val="21"/>
          <w:highlight w:val="none"/>
          <w:lang w:val="en-US" w:eastAsia="zh-CN" w:bidi="ar"/>
        </w:rPr>
      </w:pPr>
    </w:p>
    <w:p w14:paraId="5995523C">
      <w:pPr>
        <w:pStyle w:val="63"/>
        <w:numPr>
          <w:ilvl w:val="0"/>
          <w:numId w:val="0"/>
        </w:numPr>
        <w:rPr>
          <w:rFonts w:hint="eastAsia" w:ascii="宋体" w:hAnsi="宋体" w:eastAsia="宋体" w:cs="宋体"/>
          <w:b/>
          <w:bCs/>
          <w:color w:val="auto"/>
          <w:sz w:val="21"/>
          <w:szCs w:val="21"/>
          <w:highlight w:val="none"/>
          <w:lang w:val="en-US" w:eastAsia="zh-CN" w:bidi="ar"/>
        </w:rPr>
      </w:pPr>
    </w:p>
    <w:p w14:paraId="45E7D10E">
      <w:pPr>
        <w:pStyle w:val="63"/>
        <w:numPr>
          <w:ilvl w:val="0"/>
          <w:numId w:val="0"/>
        </w:numPr>
        <w:rPr>
          <w:rFonts w:hint="eastAsia" w:ascii="宋体" w:hAnsi="宋体" w:eastAsia="宋体" w:cs="宋体"/>
          <w:b/>
          <w:bCs/>
          <w:color w:val="auto"/>
          <w:sz w:val="21"/>
          <w:szCs w:val="21"/>
          <w:highlight w:val="none"/>
          <w:lang w:val="en-US" w:eastAsia="zh-CN" w:bidi="ar"/>
        </w:rPr>
      </w:pPr>
    </w:p>
    <w:p w14:paraId="4EAC862A">
      <w:pPr>
        <w:pStyle w:val="63"/>
        <w:numPr>
          <w:ilvl w:val="0"/>
          <w:numId w:val="0"/>
        </w:numPr>
        <w:rPr>
          <w:rFonts w:hint="eastAsia" w:ascii="宋体" w:hAnsi="宋体" w:eastAsia="宋体" w:cs="宋体"/>
          <w:b/>
          <w:bCs/>
          <w:color w:val="auto"/>
          <w:sz w:val="21"/>
          <w:szCs w:val="21"/>
          <w:highlight w:val="none"/>
          <w:lang w:val="en-US" w:eastAsia="zh-CN" w:bidi="ar"/>
        </w:rPr>
      </w:pPr>
    </w:p>
    <w:p w14:paraId="71A55E92">
      <w:pPr>
        <w:pStyle w:val="63"/>
        <w:numPr>
          <w:ilvl w:val="0"/>
          <w:numId w:val="0"/>
        </w:numP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二、服务团队投入情况</w:t>
      </w:r>
    </w:p>
    <w:p w14:paraId="315B7876">
      <w:pPr>
        <w:pStyle w:val="63"/>
        <w:widowControl w:val="0"/>
        <w:numPr>
          <w:ilvl w:val="0"/>
          <w:numId w:val="0"/>
        </w:numPr>
        <w:spacing w:after="120" w:afterLines="0" w:line="360" w:lineRule="auto"/>
        <w:ind w:firstLine="420" w:firstLineChars="200"/>
        <w:jc w:val="both"/>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根据项目需求，制定本项目的服务团队投入承诺书，并详细列明所投入的服务团队岗位、数量和人员</w:t>
      </w:r>
      <w:r>
        <w:rPr>
          <w:rFonts w:hint="eastAsia" w:ascii="宋体" w:hAnsi="宋体" w:eastAsia="宋体" w:cs="宋体"/>
          <w:color w:val="auto"/>
          <w:sz w:val="21"/>
          <w:szCs w:val="21"/>
          <w:highlight w:val="none"/>
          <w:lang w:val="en-US" w:eastAsia="zh-CN" w:bidi="ar"/>
        </w:rPr>
        <w:t>投入（格式自拟）。</w:t>
      </w:r>
    </w:p>
    <w:p w14:paraId="210EDEFA">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322923A9">
      <w:pPr>
        <w:pStyle w:val="63"/>
        <w:numPr>
          <w:ilvl w:val="0"/>
          <w:numId w:val="0"/>
        </w:numPr>
        <w:rPr>
          <w:rFonts w:hint="eastAsia" w:ascii="宋体" w:hAnsi="宋体" w:eastAsia="宋体" w:cs="宋体"/>
          <w:b/>
          <w:bCs/>
          <w:color w:val="auto"/>
          <w:sz w:val="21"/>
          <w:szCs w:val="21"/>
          <w:highlight w:val="none"/>
          <w:lang w:val="en-US" w:eastAsia="zh-CN" w:bidi="ar"/>
        </w:rPr>
      </w:pPr>
    </w:p>
    <w:p w14:paraId="4C9D5D2A">
      <w:pPr>
        <w:pStyle w:val="63"/>
        <w:numPr>
          <w:ilvl w:val="0"/>
          <w:numId w:val="0"/>
        </w:numPr>
        <w:rPr>
          <w:rFonts w:hint="eastAsia" w:ascii="宋体" w:hAnsi="宋体" w:eastAsia="宋体" w:cs="宋体"/>
          <w:b/>
          <w:bCs/>
          <w:color w:val="auto"/>
          <w:sz w:val="21"/>
          <w:szCs w:val="21"/>
          <w:highlight w:val="none"/>
          <w:lang w:val="en-US" w:eastAsia="zh-CN" w:bidi="ar"/>
        </w:rPr>
      </w:pPr>
    </w:p>
    <w:p w14:paraId="4D833966">
      <w:pPr>
        <w:pStyle w:val="63"/>
        <w:numPr>
          <w:ilvl w:val="0"/>
          <w:numId w:val="0"/>
        </w:numPr>
        <w:rPr>
          <w:rFonts w:hint="eastAsia" w:ascii="宋体" w:hAnsi="宋体" w:eastAsia="宋体" w:cs="宋体"/>
          <w:b/>
          <w:bCs/>
          <w:color w:val="auto"/>
          <w:sz w:val="21"/>
          <w:szCs w:val="21"/>
          <w:highlight w:val="none"/>
          <w:lang w:val="en-US" w:eastAsia="zh-CN" w:bidi="ar"/>
        </w:rPr>
      </w:pPr>
    </w:p>
    <w:p w14:paraId="6CC92BBF">
      <w:pPr>
        <w:pStyle w:val="63"/>
        <w:numPr>
          <w:ilvl w:val="0"/>
          <w:numId w:val="0"/>
        </w:numPr>
        <w:rPr>
          <w:rFonts w:hint="eastAsia" w:ascii="宋体" w:hAnsi="宋体" w:eastAsia="宋体" w:cs="宋体"/>
          <w:b/>
          <w:bCs/>
          <w:color w:val="auto"/>
          <w:sz w:val="21"/>
          <w:szCs w:val="21"/>
          <w:highlight w:val="none"/>
          <w:lang w:val="en-US" w:eastAsia="zh-CN" w:bidi="ar"/>
        </w:rPr>
      </w:pPr>
    </w:p>
    <w:p w14:paraId="44B61C51">
      <w:pPr>
        <w:pStyle w:val="63"/>
        <w:numPr>
          <w:ilvl w:val="0"/>
          <w:numId w:val="0"/>
        </w:numPr>
        <w:rPr>
          <w:rFonts w:hint="eastAsia" w:ascii="宋体" w:hAnsi="宋体" w:eastAsia="宋体" w:cs="宋体"/>
          <w:b/>
          <w:bCs/>
          <w:color w:val="auto"/>
          <w:sz w:val="21"/>
          <w:szCs w:val="21"/>
          <w:highlight w:val="none"/>
          <w:lang w:val="en-US" w:eastAsia="zh-CN" w:bidi="ar"/>
        </w:rPr>
      </w:pPr>
    </w:p>
    <w:p w14:paraId="4C34D64C">
      <w:pPr>
        <w:pStyle w:val="63"/>
        <w:numPr>
          <w:ilvl w:val="0"/>
          <w:numId w:val="0"/>
        </w:numPr>
        <w:rPr>
          <w:rFonts w:hint="eastAsia" w:ascii="宋体" w:hAnsi="宋体" w:eastAsia="宋体" w:cs="宋体"/>
          <w:b/>
          <w:bCs/>
          <w:color w:val="auto"/>
          <w:sz w:val="21"/>
          <w:szCs w:val="21"/>
          <w:highlight w:val="none"/>
          <w:lang w:val="en-US" w:eastAsia="zh-CN" w:bidi="ar"/>
        </w:rPr>
      </w:pPr>
    </w:p>
    <w:p w14:paraId="122D584D">
      <w:pPr>
        <w:pStyle w:val="63"/>
        <w:numPr>
          <w:ilvl w:val="0"/>
          <w:numId w:val="0"/>
        </w:numPr>
        <w:rPr>
          <w:rFonts w:hint="eastAsia" w:ascii="宋体" w:hAnsi="宋体" w:eastAsia="宋体" w:cs="宋体"/>
          <w:b/>
          <w:bCs/>
          <w:color w:val="auto"/>
          <w:sz w:val="21"/>
          <w:szCs w:val="21"/>
          <w:highlight w:val="none"/>
          <w:lang w:val="en-US" w:eastAsia="zh-CN" w:bidi="ar"/>
        </w:rPr>
      </w:pPr>
    </w:p>
    <w:p w14:paraId="5BCDFAE0">
      <w:pPr>
        <w:pStyle w:val="63"/>
        <w:numPr>
          <w:ilvl w:val="0"/>
          <w:numId w:val="0"/>
        </w:numPr>
        <w:rPr>
          <w:rFonts w:hint="eastAsia" w:ascii="宋体" w:hAnsi="宋体" w:eastAsia="宋体" w:cs="宋体"/>
          <w:b/>
          <w:bCs/>
          <w:color w:val="auto"/>
          <w:sz w:val="21"/>
          <w:szCs w:val="21"/>
          <w:highlight w:val="none"/>
          <w:lang w:val="en-US" w:eastAsia="zh-CN" w:bidi="ar"/>
        </w:rPr>
      </w:pPr>
    </w:p>
    <w:p w14:paraId="029E8684">
      <w:pPr>
        <w:pStyle w:val="63"/>
        <w:numPr>
          <w:ilvl w:val="0"/>
          <w:numId w:val="0"/>
        </w:numPr>
        <w:rPr>
          <w:rFonts w:hint="eastAsia" w:ascii="宋体" w:hAnsi="宋体" w:eastAsia="宋体" w:cs="宋体"/>
          <w:b/>
          <w:bCs/>
          <w:color w:val="auto"/>
          <w:sz w:val="21"/>
          <w:szCs w:val="21"/>
          <w:highlight w:val="none"/>
          <w:lang w:val="en-US" w:eastAsia="zh-CN" w:bidi="ar"/>
        </w:rPr>
      </w:pPr>
    </w:p>
    <w:p w14:paraId="4ACD4B8F">
      <w:pPr>
        <w:pStyle w:val="63"/>
        <w:numPr>
          <w:ilvl w:val="0"/>
          <w:numId w:val="0"/>
        </w:numPr>
        <w:rPr>
          <w:rFonts w:hint="eastAsia" w:ascii="宋体" w:hAnsi="宋体" w:eastAsia="宋体" w:cs="宋体"/>
          <w:b/>
          <w:bCs/>
          <w:color w:val="auto"/>
          <w:sz w:val="21"/>
          <w:szCs w:val="21"/>
          <w:highlight w:val="none"/>
          <w:lang w:val="en-US" w:eastAsia="zh-CN" w:bidi="ar"/>
        </w:rPr>
      </w:pPr>
    </w:p>
    <w:p w14:paraId="0675EEC2">
      <w:pPr>
        <w:pStyle w:val="63"/>
        <w:numPr>
          <w:ilvl w:val="0"/>
          <w:numId w:val="0"/>
        </w:numPr>
        <w:rPr>
          <w:rFonts w:hint="eastAsia" w:ascii="宋体" w:hAnsi="宋体" w:eastAsia="宋体" w:cs="宋体"/>
          <w:b/>
          <w:bCs/>
          <w:color w:val="auto"/>
          <w:sz w:val="21"/>
          <w:szCs w:val="21"/>
          <w:highlight w:val="none"/>
          <w:lang w:val="en-US" w:eastAsia="zh-CN" w:bidi="ar"/>
        </w:rPr>
      </w:pPr>
    </w:p>
    <w:p w14:paraId="192F00B3">
      <w:pPr>
        <w:pStyle w:val="63"/>
        <w:numPr>
          <w:ilvl w:val="0"/>
          <w:numId w:val="0"/>
        </w:numPr>
        <w:rPr>
          <w:rFonts w:hint="eastAsia" w:ascii="宋体" w:hAnsi="宋体" w:eastAsia="宋体" w:cs="宋体"/>
          <w:b/>
          <w:bCs/>
          <w:color w:val="auto"/>
          <w:sz w:val="21"/>
          <w:szCs w:val="21"/>
          <w:highlight w:val="none"/>
          <w:lang w:val="en-US" w:eastAsia="zh-CN" w:bidi="ar"/>
        </w:rPr>
      </w:pPr>
    </w:p>
    <w:p w14:paraId="2836AAAD">
      <w:pPr>
        <w:pStyle w:val="63"/>
        <w:numPr>
          <w:ilvl w:val="0"/>
          <w:numId w:val="0"/>
        </w:numPr>
        <w:rPr>
          <w:rFonts w:hint="eastAsia" w:ascii="宋体" w:hAnsi="宋体" w:eastAsia="宋体" w:cs="宋体"/>
          <w:b/>
          <w:bCs/>
          <w:color w:val="auto"/>
          <w:sz w:val="21"/>
          <w:szCs w:val="21"/>
          <w:highlight w:val="none"/>
          <w:lang w:val="en-US" w:eastAsia="zh-CN" w:bidi="ar"/>
        </w:rPr>
      </w:pPr>
    </w:p>
    <w:p w14:paraId="000C9942">
      <w:pPr>
        <w:pStyle w:val="63"/>
        <w:numPr>
          <w:ilvl w:val="0"/>
          <w:numId w:val="0"/>
        </w:numPr>
        <w:rPr>
          <w:rFonts w:hint="eastAsia" w:ascii="宋体" w:hAnsi="宋体" w:eastAsia="宋体" w:cs="宋体"/>
          <w:b/>
          <w:bCs/>
          <w:color w:val="auto"/>
          <w:sz w:val="21"/>
          <w:szCs w:val="21"/>
          <w:highlight w:val="none"/>
          <w:lang w:val="en-US" w:eastAsia="zh-CN" w:bidi="ar"/>
        </w:rPr>
      </w:pPr>
    </w:p>
    <w:p w14:paraId="733A7991">
      <w:pPr>
        <w:pStyle w:val="63"/>
        <w:numPr>
          <w:ilvl w:val="0"/>
          <w:numId w:val="0"/>
        </w:numPr>
        <w:rPr>
          <w:rFonts w:hint="eastAsia" w:ascii="宋体" w:hAnsi="宋体" w:eastAsia="宋体" w:cs="宋体"/>
          <w:b/>
          <w:bCs/>
          <w:color w:val="auto"/>
          <w:sz w:val="21"/>
          <w:szCs w:val="21"/>
          <w:highlight w:val="none"/>
          <w:lang w:val="en-US" w:eastAsia="zh-CN" w:bidi="ar"/>
        </w:rPr>
      </w:pPr>
    </w:p>
    <w:p w14:paraId="0E6A690B">
      <w:pPr>
        <w:pStyle w:val="63"/>
        <w:numPr>
          <w:ilvl w:val="0"/>
          <w:numId w:val="0"/>
        </w:numPr>
        <w:rPr>
          <w:rFonts w:hint="eastAsia" w:ascii="宋体" w:hAnsi="宋体" w:eastAsia="宋体" w:cs="宋体"/>
          <w:b/>
          <w:bCs/>
          <w:color w:val="auto"/>
          <w:sz w:val="21"/>
          <w:szCs w:val="21"/>
          <w:highlight w:val="none"/>
          <w:lang w:val="en-US" w:eastAsia="zh-CN" w:bidi="ar"/>
        </w:rPr>
      </w:pPr>
    </w:p>
    <w:p w14:paraId="43B0EED0">
      <w:pPr>
        <w:pStyle w:val="63"/>
        <w:numPr>
          <w:ilvl w:val="0"/>
          <w:numId w:val="0"/>
        </w:numPr>
        <w:rPr>
          <w:rFonts w:hint="eastAsia" w:ascii="宋体" w:hAnsi="宋体" w:eastAsia="宋体" w:cs="宋体"/>
          <w:b/>
          <w:bCs/>
          <w:color w:val="auto"/>
          <w:sz w:val="21"/>
          <w:szCs w:val="21"/>
          <w:highlight w:val="none"/>
          <w:lang w:val="en-US" w:eastAsia="zh-CN" w:bidi="ar"/>
        </w:rPr>
      </w:pPr>
    </w:p>
    <w:p w14:paraId="1BAE1DA9">
      <w:pPr>
        <w:pStyle w:val="63"/>
        <w:numPr>
          <w:ilvl w:val="0"/>
          <w:numId w:val="0"/>
        </w:numPr>
        <w:rPr>
          <w:rFonts w:hint="eastAsia" w:ascii="宋体" w:hAnsi="宋体" w:eastAsia="宋体" w:cs="宋体"/>
          <w:b/>
          <w:bCs/>
          <w:color w:val="auto"/>
          <w:sz w:val="21"/>
          <w:szCs w:val="21"/>
          <w:highlight w:val="none"/>
          <w:lang w:val="en-US" w:eastAsia="zh-CN" w:bidi="ar"/>
        </w:rPr>
      </w:pPr>
    </w:p>
    <w:p w14:paraId="2B350417">
      <w:pPr>
        <w:pStyle w:val="63"/>
        <w:numPr>
          <w:ilvl w:val="0"/>
          <w:numId w:val="0"/>
        </w:numPr>
        <w:rPr>
          <w:rFonts w:hint="eastAsia" w:ascii="宋体" w:hAnsi="宋体" w:eastAsia="宋体" w:cs="宋体"/>
          <w:b/>
          <w:bCs/>
          <w:color w:val="auto"/>
          <w:sz w:val="21"/>
          <w:szCs w:val="21"/>
          <w:highlight w:val="none"/>
          <w:lang w:val="en-US" w:eastAsia="zh-CN" w:bidi="ar"/>
        </w:rPr>
      </w:pPr>
    </w:p>
    <w:p w14:paraId="6449A104">
      <w:pPr>
        <w:pStyle w:val="63"/>
        <w:numPr>
          <w:ilvl w:val="0"/>
          <w:numId w:val="0"/>
        </w:numPr>
        <w:rPr>
          <w:rFonts w:hint="eastAsia" w:ascii="宋体" w:hAnsi="宋体" w:eastAsia="宋体" w:cs="宋体"/>
          <w:b/>
          <w:bCs/>
          <w:color w:val="auto"/>
          <w:sz w:val="21"/>
          <w:szCs w:val="21"/>
          <w:highlight w:val="none"/>
          <w:lang w:val="en-US" w:eastAsia="zh-CN" w:bidi="ar"/>
        </w:rPr>
      </w:pPr>
    </w:p>
    <w:p w14:paraId="591A6EDA">
      <w:pPr>
        <w:pStyle w:val="63"/>
        <w:numPr>
          <w:ilvl w:val="0"/>
          <w:numId w:val="0"/>
        </w:numPr>
        <w:rPr>
          <w:rFonts w:hint="eastAsia" w:ascii="宋体" w:hAnsi="宋体" w:eastAsia="宋体" w:cs="宋体"/>
          <w:b/>
          <w:bCs/>
          <w:color w:val="auto"/>
          <w:sz w:val="21"/>
          <w:szCs w:val="21"/>
          <w:highlight w:val="none"/>
          <w:lang w:val="en-US" w:eastAsia="zh-CN" w:bidi="ar"/>
        </w:rPr>
      </w:pPr>
    </w:p>
    <w:p w14:paraId="1E2E31D0">
      <w:pPr>
        <w:pStyle w:val="63"/>
        <w:numPr>
          <w:ilvl w:val="0"/>
          <w:numId w:val="0"/>
        </w:numPr>
        <w:rPr>
          <w:rFonts w:hint="eastAsia" w:ascii="宋体" w:hAnsi="宋体" w:eastAsia="宋体" w:cs="宋体"/>
          <w:b/>
          <w:bCs/>
          <w:color w:val="auto"/>
          <w:sz w:val="21"/>
          <w:szCs w:val="21"/>
          <w:highlight w:val="none"/>
          <w:lang w:val="en-US" w:eastAsia="zh-CN" w:bidi="ar"/>
        </w:rPr>
      </w:pPr>
    </w:p>
    <w:p w14:paraId="4479B07E">
      <w:pPr>
        <w:pStyle w:val="63"/>
        <w:numPr>
          <w:ilvl w:val="0"/>
          <w:numId w:val="0"/>
        </w:numPr>
        <w:rPr>
          <w:rFonts w:hint="eastAsia" w:ascii="宋体" w:hAnsi="宋体" w:eastAsia="宋体" w:cs="宋体"/>
          <w:b/>
          <w:bCs/>
          <w:color w:val="auto"/>
          <w:sz w:val="21"/>
          <w:szCs w:val="21"/>
          <w:highlight w:val="none"/>
          <w:lang w:val="en-US" w:eastAsia="zh-CN" w:bidi="ar"/>
        </w:rPr>
      </w:pPr>
    </w:p>
    <w:p w14:paraId="0CAE37AF">
      <w:pPr>
        <w:pStyle w:val="63"/>
        <w:numPr>
          <w:ilvl w:val="0"/>
          <w:numId w:val="0"/>
        </w:numPr>
        <w:rPr>
          <w:rFonts w:hint="eastAsia" w:ascii="宋体" w:hAnsi="宋体" w:eastAsia="宋体" w:cs="宋体"/>
          <w:b/>
          <w:bCs/>
          <w:color w:val="auto"/>
          <w:sz w:val="21"/>
          <w:szCs w:val="21"/>
          <w:highlight w:val="none"/>
          <w:lang w:val="en-US" w:eastAsia="zh-CN" w:bidi="ar"/>
        </w:rPr>
      </w:pPr>
    </w:p>
    <w:p w14:paraId="353889EC">
      <w:pPr>
        <w:pStyle w:val="63"/>
        <w:numPr>
          <w:ilvl w:val="0"/>
          <w:numId w:val="0"/>
        </w:numPr>
        <w:rPr>
          <w:rFonts w:hint="eastAsia" w:ascii="宋体" w:hAnsi="宋体" w:eastAsia="宋体" w:cs="宋体"/>
          <w:b/>
          <w:bCs/>
          <w:color w:val="auto"/>
          <w:sz w:val="21"/>
          <w:szCs w:val="21"/>
          <w:highlight w:val="none"/>
          <w:lang w:val="en-US" w:eastAsia="zh-CN" w:bidi="ar"/>
        </w:rPr>
      </w:pPr>
    </w:p>
    <w:p w14:paraId="26C5259B">
      <w:pPr>
        <w:pStyle w:val="63"/>
        <w:numPr>
          <w:ilvl w:val="0"/>
          <w:numId w:val="0"/>
        </w:numPr>
        <w:rPr>
          <w:rFonts w:hint="eastAsia" w:ascii="宋体" w:hAnsi="宋体" w:eastAsia="宋体" w:cs="宋体"/>
          <w:b/>
          <w:bCs/>
          <w:color w:val="auto"/>
          <w:sz w:val="21"/>
          <w:szCs w:val="21"/>
          <w:highlight w:val="none"/>
          <w:lang w:val="en-US" w:eastAsia="zh-CN" w:bidi="ar"/>
        </w:rPr>
      </w:pPr>
    </w:p>
    <w:p w14:paraId="0E6DFFAB">
      <w:pPr>
        <w:pStyle w:val="63"/>
        <w:numPr>
          <w:ilvl w:val="0"/>
          <w:numId w:val="0"/>
        </w:numPr>
        <w:rPr>
          <w:rFonts w:hint="eastAsia" w:ascii="宋体" w:hAnsi="宋体" w:eastAsia="宋体" w:cs="宋体"/>
          <w:b/>
          <w:bCs/>
          <w:color w:val="auto"/>
          <w:sz w:val="21"/>
          <w:szCs w:val="21"/>
          <w:highlight w:val="none"/>
          <w:lang w:val="en-US" w:eastAsia="zh-CN" w:bidi="ar"/>
        </w:rPr>
      </w:pPr>
    </w:p>
    <w:p w14:paraId="1DF7FDDC">
      <w:pPr>
        <w:pStyle w:val="63"/>
        <w:numPr>
          <w:ilvl w:val="0"/>
          <w:numId w:val="0"/>
        </w:numPr>
        <w:rPr>
          <w:rFonts w:hint="eastAsia" w:ascii="宋体" w:hAnsi="宋体" w:eastAsia="宋体" w:cs="宋体"/>
          <w:b/>
          <w:bCs/>
          <w:color w:val="auto"/>
          <w:sz w:val="21"/>
          <w:szCs w:val="21"/>
          <w:highlight w:val="none"/>
          <w:lang w:val="en-US" w:eastAsia="zh-CN" w:bidi="ar"/>
        </w:rPr>
      </w:pPr>
    </w:p>
    <w:p w14:paraId="37693FEF">
      <w:pPr>
        <w:pStyle w:val="63"/>
        <w:numPr>
          <w:ilvl w:val="0"/>
          <w:numId w:val="0"/>
        </w:numP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三、企业综合实力</w:t>
      </w:r>
    </w:p>
    <w:p w14:paraId="061BC6D3">
      <w:pPr>
        <w:spacing w:line="360" w:lineRule="auto"/>
        <w:ind w:firstLine="420" w:firstLineChars="20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投标人提供自2020年1月1日至投标截止时间具有餐厨垃圾处理相关的专利（发明专利、实用新型专利）、软件著作权</w:t>
      </w:r>
      <w:r>
        <w:rPr>
          <w:rFonts w:hint="eastAsia" w:ascii="宋体" w:hAnsi="宋体" w:cs="宋体"/>
          <w:color w:val="auto"/>
          <w:sz w:val="21"/>
          <w:szCs w:val="21"/>
          <w:highlight w:val="none"/>
          <w:lang w:val="en-US" w:eastAsia="zh-CN" w:bidi="ar"/>
        </w:rPr>
        <w:t>等</w:t>
      </w:r>
      <w:r>
        <w:rPr>
          <w:rFonts w:hint="eastAsia" w:ascii="宋体" w:hAnsi="宋体" w:eastAsia="宋体" w:cs="宋体"/>
          <w:color w:val="auto"/>
          <w:sz w:val="21"/>
          <w:szCs w:val="21"/>
          <w:highlight w:val="none"/>
          <w:lang w:val="en-US" w:eastAsia="zh-CN" w:bidi="ar"/>
        </w:rPr>
        <w:t>。</w:t>
      </w:r>
    </w:p>
    <w:p w14:paraId="70A232EE">
      <w:pPr>
        <w:pStyle w:val="63"/>
        <w:widowControl w:val="0"/>
        <w:numPr>
          <w:ilvl w:val="0"/>
          <w:numId w:val="0"/>
        </w:numPr>
        <w:spacing w:after="120" w:afterLines="0"/>
        <w:ind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注：提供相关证明材料扫描件。</w:t>
      </w:r>
    </w:p>
    <w:p w14:paraId="7BE8CB97">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1034C6AC">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1443FF93">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7696E051">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3F50FF50">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53C0E647">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060713F1">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34696011">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52237F8E">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31B45E93">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7AE0AEBD">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0D1E1891">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7420ACFC">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72891577">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06C489B8">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49526EDC">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6A9336F2">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0DEB7A4D">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6B76AC27">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5464BA14">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10BE0BA8">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62695596">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4F8A44D6">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36A9F4E3">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7FE75F91">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592DB8DE">
      <w:pPr>
        <w:pStyle w:val="63"/>
        <w:widowControl w:val="0"/>
        <w:numPr>
          <w:ilvl w:val="0"/>
          <w:numId w:val="0"/>
        </w:numPr>
        <w:spacing w:after="120" w:afterLines="0"/>
        <w:jc w:val="both"/>
        <w:rPr>
          <w:rFonts w:hint="eastAsia" w:ascii="宋体" w:hAnsi="宋体" w:eastAsia="宋体" w:cs="宋体"/>
          <w:color w:val="auto"/>
          <w:sz w:val="21"/>
          <w:szCs w:val="21"/>
          <w:highlight w:val="none"/>
          <w:lang w:val="en-US" w:eastAsia="zh-CN" w:bidi="ar"/>
        </w:rPr>
      </w:pPr>
    </w:p>
    <w:p w14:paraId="292ACE72">
      <w:pPr>
        <w:pStyle w:val="63"/>
        <w:numPr>
          <w:ilvl w:val="0"/>
          <w:numId w:val="0"/>
        </w:numP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四、项目管理经验</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064"/>
        <w:gridCol w:w="1998"/>
        <w:gridCol w:w="2297"/>
        <w:gridCol w:w="1821"/>
        <w:gridCol w:w="981"/>
      </w:tblGrid>
      <w:tr w14:paraId="0C5F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1373B956">
            <w:pPr>
              <w:widowControl w:val="0"/>
              <w:spacing w:line="240" w:lineRule="atLeast"/>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036" w:type="pct"/>
            <w:tcBorders>
              <w:top w:val="single" w:color="auto" w:sz="4" w:space="0"/>
              <w:left w:val="single" w:color="auto" w:sz="4" w:space="0"/>
              <w:bottom w:val="single" w:color="auto" w:sz="4" w:space="0"/>
              <w:right w:val="single" w:color="auto" w:sz="4" w:space="0"/>
            </w:tcBorders>
            <w:vAlign w:val="center"/>
          </w:tcPr>
          <w:p w14:paraId="7461A92B">
            <w:pPr>
              <w:widowControl w:val="0"/>
              <w:spacing w:line="240" w:lineRule="atLeast"/>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项目名称</w:t>
            </w:r>
          </w:p>
        </w:tc>
        <w:tc>
          <w:tcPr>
            <w:tcW w:w="1003" w:type="pct"/>
            <w:tcBorders>
              <w:top w:val="single" w:color="auto" w:sz="4" w:space="0"/>
              <w:left w:val="single" w:color="auto" w:sz="4" w:space="0"/>
              <w:bottom w:val="single" w:color="auto" w:sz="4" w:space="0"/>
              <w:right w:val="single" w:color="auto" w:sz="4" w:space="0"/>
            </w:tcBorders>
            <w:vAlign w:val="center"/>
          </w:tcPr>
          <w:p w14:paraId="10B36684">
            <w:pPr>
              <w:widowControl w:val="0"/>
              <w:spacing w:line="240" w:lineRule="atLeast"/>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合同甲方名称</w:t>
            </w:r>
          </w:p>
        </w:tc>
        <w:tc>
          <w:tcPr>
            <w:tcW w:w="1153" w:type="pct"/>
            <w:tcBorders>
              <w:top w:val="single" w:color="auto" w:sz="4" w:space="0"/>
              <w:left w:val="single" w:color="auto" w:sz="4" w:space="0"/>
              <w:bottom w:val="single" w:color="auto" w:sz="4" w:space="0"/>
              <w:right w:val="single" w:color="auto" w:sz="4" w:space="0"/>
            </w:tcBorders>
            <w:vAlign w:val="center"/>
          </w:tcPr>
          <w:p w14:paraId="209657C8">
            <w:pPr>
              <w:widowControl w:val="0"/>
              <w:spacing w:line="240" w:lineRule="atLeast"/>
              <w:ind w:firstLine="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总投资/</w:t>
            </w:r>
            <w:r>
              <w:rPr>
                <w:rFonts w:hint="eastAsia" w:ascii="宋体" w:hAnsi="宋体" w:eastAsia="宋体" w:cs="宋体"/>
                <w:color w:val="auto"/>
                <w:kern w:val="2"/>
                <w:sz w:val="21"/>
                <w:szCs w:val="21"/>
                <w:highlight w:val="none"/>
                <w:lang w:val="en-US" w:eastAsia="zh-CN"/>
              </w:rPr>
              <w:t>合同金额</w:t>
            </w:r>
          </w:p>
        </w:tc>
        <w:tc>
          <w:tcPr>
            <w:tcW w:w="914" w:type="pct"/>
            <w:tcBorders>
              <w:top w:val="single" w:color="auto" w:sz="4" w:space="0"/>
              <w:left w:val="single" w:color="auto" w:sz="4" w:space="0"/>
              <w:bottom w:val="single" w:color="auto" w:sz="4" w:space="0"/>
              <w:right w:val="single" w:color="auto" w:sz="4" w:space="0"/>
            </w:tcBorders>
            <w:vAlign w:val="center"/>
          </w:tcPr>
          <w:p w14:paraId="100567FD">
            <w:pPr>
              <w:widowControl w:val="0"/>
              <w:spacing w:line="240" w:lineRule="atLeast"/>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合同签订时间</w:t>
            </w:r>
          </w:p>
        </w:tc>
        <w:tc>
          <w:tcPr>
            <w:tcW w:w="492" w:type="pct"/>
            <w:tcBorders>
              <w:top w:val="single" w:color="auto" w:sz="4" w:space="0"/>
              <w:left w:val="single" w:color="auto" w:sz="4" w:space="0"/>
              <w:bottom w:val="single" w:color="auto" w:sz="4" w:space="0"/>
              <w:right w:val="single" w:color="auto" w:sz="4" w:space="0"/>
            </w:tcBorders>
            <w:vAlign w:val="center"/>
          </w:tcPr>
          <w:p w14:paraId="0FDB1EBF">
            <w:pPr>
              <w:widowControl w:val="0"/>
              <w:spacing w:line="240" w:lineRule="atLeast"/>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0AB09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5923C5A8">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1036" w:type="pct"/>
            <w:tcBorders>
              <w:top w:val="single" w:color="auto" w:sz="4" w:space="0"/>
              <w:left w:val="single" w:color="auto" w:sz="4" w:space="0"/>
              <w:bottom w:val="single" w:color="auto" w:sz="4" w:space="0"/>
              <w:right w:val="single" w:color="auto" w:sz="4" w:space="0"/>
            </w:tcBorders>
            <w:vAlign w:val="center"/>
          </w:tcPr>
          <w:p w14:paraId="102274E7">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5B762925">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41C6762E">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37DB26CE">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13EB2518">
            <w:pPr>
              <w:widowControl w:val="0"/>
              <w:spacing w:line="360" w:lineRule="auto"/>
              <w:ind w:firstLine="0"/>
              <w:jc w:val="center"/>
              <w:rPr>
                <w:rFonts w:hint="eastAsia" w:ascii="宋体" w:hAnsi="宋体" w:eastAsia="宋体" w:cs="宋体"/>
                <w:color w:val="auto"/>
                <w:kern w:val="2"/>
                <w:sz w:val="21"/>
                <w:szCs w:val="21"/>
                <w:highlight w:val="none"/>
              </w:rPr>
            </w:pPr>
          </w:p>
        </w:tc>
      </w:tr>
      <w:tr w14:paraId="4BCF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3399C623">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1036" w:type="pct"/>
            <w:tcBorders>
              <w:top w:val="single" w:color="auto" w:sz="4" w:space="0"/>
              <w:left w:val="single" w:color="auto" w:sz="4" w:space="0"/>
              <w:bottom w:val="single" w:color="auto" w:sz="4" w:space="0"/>
              <w:right w:val="single" w:color="auto" w:sz="4" w:space="0"/>
            </w:tcBorders>
            <w:vAlign w:val="center"/>
          </w:tcPr>
          <w:p w14:paraId="534DAA3E">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238AA577">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18AB2334">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0261F671">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3DD14D60">
            <w:pPr>
              <w:widowControl w:val="0"/>
              <w:spacing w:line="360" w:lineRule="auto"/>
              <w:ind w:firstLine="0"/>
              <w:jc w:val="center"/>
              <w:rPr>
                <w:rFonts w:hint="eastAsia" w:ascii="宋体" w:hAnsi="宋体" w:eastAsia="宋体" w:cs="宋体"/>
                <w:color w:val="auto"/>
                <w:kern w:val="2"/>
                <w:sz w:val="21"/>
                <w:szCs w:val="21"/>
                <w:highlight w:val="none"/>
              </w:rPr>
            </w:pPr>
          </w:p>
        </w:tc>
      </w:tr>
      <w:tr w14:paraId="4509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3F66992A">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1036" w:type="pct"/>
            <w:tcBorders>
              <w:top w:val="single" w:color="auto" w:sz="4" w:space="0"/>
              <w:left w:val="single" w:color="auto" w:sz="4" w:space="0"/>
              <w:bottom w:val="single" w:color="auto" w:sz="4" w:space="0"/>
              <w:right w:val="single" w:color="auto" w:sz="4" w:space="0"/>
            </w:tcBorders>
            <w:vAlign w:val="center"/>
          </w:tcPr>
          <w:p w14:paraId="060167A3">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0CD3F284">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029C10BD">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42A4A768">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2D10A5ED">
            <w:pPr>
              <w:widowControl w:val="0"/>
              <w:spacing w:line="360" w:lineRule="auto"/>
              <w:ind w:firstLine="0"/>
              <w:jc w:val="center"/>
              <w:rPr>
                <w:rFonts w:hint="eastAsia" w:ascii="宋体" w:hAnsi="宋体" w:eastAsia="宋体" w:cs="宋体"/>
                <w:color w:val="auto"/>
                <w:kern w:val="2"/>
                <w:sz w:val="21"/>
                <w:szCs w:val="21"/>
                <w:highlight w:val="none"/>
              </w:rPr>
            </w:pPr>
          </w:p>
        </w:tc>
      </w:tr>
      <w:tr w14:paraId="5E52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3D85E4CF">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1036" w:type="pct"/>
            <w:tcBorders>
              <w:top w:val="single" w:color="auto" w:sz="4" w:space="0"/>
              <w:left w:val="single" w:color="auto" w:sz="4" w:space="0"/>
              <w:bottom w:val="single" w:color="auto" w:sz="4" w:space="0"/>
              <w:right w:val="single" w:color="auto" w:sz="4" w:space="0"/>
            </w:tcBorders>
            <w:vAlign w:val="center"/>
          </w:tcPr>
          <w:p w14:paraId="6478429D">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79F08445">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76A3234D">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73E610EA">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35F2F516">
            <w:pPr>
              <w:widowControl w:val="0"/>
              <w:spacing w:line="360" w:lineRule="auto"/>
              <w:ind w:firstLine="0"/>
              <w:jc w:val="center"/>
              <w:rPr>
                <w:rFonts w:hint="eastAsia" w:ascii="宋体" w:hAnsi="宋体" w:eastAsia="宋体" w:cs="宋体"/>
                <w:color w:val="auto"/>
                <w:kern w:val="2"/>
                <w:sz w:val="21"/>
                <w:szCs w:val="21"/>
                <w:highlight w:val="none"/>
              </w:rPr>
            </w:pPr>
          </w:p>
        </w:tc>
      </w:tr>
      <w:tr w14:paraId="0B22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01D2F198">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1036" w:type="pct"/>
            <w:tcBorders>
              <w:top w:val="single" w:color="auto" w:sz="4" w:space="0"/>
              <w:left w:val="single" w:color="auto" w:sz="4" w:space="0"/>
              <w:bottom w:val="single" w:color="auto" w:sz="4" w:space="0"/>
              <w:right w:val="single" w:color="auto" w:sz="4" w:space="0"/>
            </w:tcBorders>
            <w:vAlign w:val="center"/>
          </w:tcPr>
          <w:p w14:paraId="385CAB30">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56BB901C">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5154E5AC">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7DF33C4D">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603E6615">
            <w:pPr>
              <w:widowControl w:val="0"/>
              <w:spacing w:line="360" w:lineRule="auto"/>
              <w:ind w:firstLine="0"/>
              <w:jc w:val="center"/>
              <w:rPr>
                <w:rFonts w:hint="eastAsia" w:ascii="宋体" w:hAnsi="宋体" w:eastAsia="宋体" w:cs="宋体"/>
                <w:color w:val="auto"/>
                <w:kern w:val="2"/>
                <w:sz w:val="21"/>
                <w:szCs w:val="21"/>
                <w:highlight w:val="none"/>
              </w:rPr>
            </w:pPr>
          </w:p>
        </w:tc>
      </w:tr>
      <w:tr w14:paraId="45AF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3BA2C154">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1036" w:type="pct"/>
            <w:tcBorders>
              <w:top w:val="single" w:color="auto" w:sz="4" w:space="0"/>
              <w:left w:val="single" w:color="auto" w:sz="4" w:space="0"/>
              <w:bottom w:val="single" w:color="auto" w:sz="4" w:space="0"/>
              <w:right w:val="single" w:color="auto" w:sz="4" w:space="0"/>
            </w:tcBorders>
            <w:vAlign w:val="center"/>
          </w:tcPr>
          <w:p w14:paraId="33AD29F6">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55BFB5EE">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7A950904">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11BA31FD">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05E1DDFF">
            <w:pPr>
              <w:widowControl w:val="0"/>
              <w:spacing w:line="360" w:lineRule="auto"/>
              <w:ind w:firstLine="0"/>
              <w:jc w:val="center"/>
              <w:rPr>
                <w:rFonts w:hint="eastAsia" w:ascii="宋体" w:hAnsi="宋体" w:eastAsia="宋体" w:cs="宋体"/>
                <w:color w:val="auto"/>
                <w:kern w:val="2"/>
                <w:sz w:val="21"/>
                <w:szCs w:val="21"/>
                <w:highlight w:val="none"/>
              </w:rPr>
            </w:pPr>
          </w:p>
        </w:tc>
      </w:tr>
      <w:tr w14:paraId="5CDF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14A840FE">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1036" w:type="pct"/>
            <w:tcBorders>
              <w:top w:val="single" w:color="auto" w:sz="4" w:space="0"/>
              <w:left w:val="single" w:color="auto" w:sz="4" w:space="0"/>
              <w:bottom w:val="single" w:color="auto" w:sz="4" w:space="0"/>
              <w:right w:val="single" w:color="auto" w:sz="4" w:space="0"/>
            </w:tcBorders>
            <w:vAlign w:val="center"/>
          </w:tcPr>
          <w:p w14:paraId="36AA11D1">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3877A759">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79EB111F">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2C3F5A70">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7E796B40">
            <w:pPr>
              <w:widowControl w:val="0"/>
              <w:spacing w:line="360" w:lineRule="auto"/>
              <w:ind w:firstLine="0"/>
              <w:jc w:val="center"/>
              <w:rPr>
                <w:rFonts w:hint="eastAsia" w:ascii="宋体" w:hAnsi="宋体" w:eastAsia="宋体" w:cs="宋体"/>
                <w:color w:val="auto"/>
                <w:kern w:val="2"/>
                <w:sz w:val="21"/>
                <w:szCs w:val="21"/>
                <w:highlight w:val="none"/>
              </w:rPr>
            </w:pPr>
          </w:p>
        </w:tc>
      </w:tr>
      <w:tr w14:paraId="06B0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519B4A43">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1036" w:type="pct"/>
            <w:tcBorders>
              <w:top w:val="single" w:color="auto" w:sz="4" w:space="0"/>
              <w:left w:val="single" w:color="auto" w:sz="4" w:space="0"/>
              <w:bottom w:val="single" w:color="auto" w:sz="4" w:space="0"/>
              <w:right w:val="single" w:color="auto" w:sz="4" w:space="0"/>
            </w:tcBorders>
            <w:vAlign w:val="center"/>
          </w:tcPr>
          <w:p w14:paraId="0CF664AC">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15BEE6A0">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39E9E9A1">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73B6C33E">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2AF375A0">
            <w:pPr>
              <w:widowControl w:val="0"/>
              <w:spacing w:line="360" w:lineRule="auto"/>
              <w:ind w:firstLine="0"/>
              <w:jc w:val="center"/>
              <w:rPr>
                <w:rFonts w:hint="eastAsia" w:ascii="宋体" w:hAnsi="宋体" w:eastAsia="宋体" w:cs="宋体"/>
                <w:color w:val="auto"/>
                <w:kern w:val="2"/>
                <w:sz w:val="21"/>
                <w:szCs w:val="21"/>
                <w:highlight w:val="none"/>
              </w:rPr>
            </w:pPr>
          </w:p>
        </w:tc>
      </w:tr>
      <w:tr w14:paraId="7E7B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Borders>
              <w:top w:val="single" w:color="auto" w:sz="4" w:space="0"/>
              <w:left w:val="single" w:color="auto" w:sz="4" w:space="0"/>
              <w:bottom w:val="single" w:color="auto" w:sz="4" w:space="0"/>
              <w:right w:val="single" w:color="auto" w:sz="4" w:space="0"/>
            </w:tcBorders>
            <w:vAlign w:val="center"/>
          </w:tcPr>
          <w:p w14:paraId="0BC6C399">
            <w:pPr>
              <w:widowControl w:val="0"/>
              <w:spacing w:line="360" w:lineRule="auto"/>
              <w:ind w:firstLine="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w:t>
            </w:r>
          </w:p>
        </w:tc>
        <w:tc>
          <w:tcPr>
            <w:tcW w:w="1036" w:type="pct"/>
            <w:tcBorders>
              <w:top w:val="single" w:color="auto" w:sz="4" w:space="0"/>
              <w:left w:val="single" w:color="auto" w:sz="4" w:space="0"/>
              <w:bottom w:val="single" w:color="auto" w:sz="4" w:space="0"/>
              <w:right w:val="single" w:color="auto" w:sz="4" w:space="0"/>
            </w:tcBorders>
            <w:vAlign w:val="center"/>
          </w:tcPr>
          <w:p w14:paraId="2DF78A8E">
            <w:pPr>
              <w:widowControl w:val="0"/>
              <w:spacing w:line="360" w:lineRule="auto"/>
              <w:ind w:firstLine="0"/>
              <w:jc w:val="center"/>
              <w:rPr>
                <w:rFonts w:hint="eastAsia" w:ascii="宋体" w:hAnsi="宋体" w:eastAsia="宋体" w:cs="宋体"/>
                <w:color w:val="auto"/>
                <w:kern w:val="2"/>
                <w:sz w:val="21"/>
                <w:szCs w:val="21"/>
                <w:highlight w:val="none"/>
              </w:rPr>
            </w:pPr>
          </w:p>
        </w:tc>
        <w:tc>
          <w:tcPr>
            <w:tcW w:w="1003" w:type="pct"/>
            <w:tcBorders>
              <w:top w:val="single" w:color="auto" w:sz="4" w:space="0"/>
              <w:left w:val="single" w:color="auto" w:sz="4" w:space="0"/>
              <w:bottom w:val="single" w:color="auto" w:sz="4" w:space="0"/>
              <w:right w:val="single" w:color="auto" w:sz="4" w:space="0"/>
            </w:tcBorders>
            <w:vAlign w:val="center"/>
          </w:tcPr>
          <w:p w14:paraId="57FBEF88">
            <w:pPr>
              <w:widowControl w:val="0"/>
              <w:spacing w:line="360" w:lineRule="auto"/>
              <w:ind w:firstLine="0"/>
              <w:jc w:val="center"/>
              <w:rPr>
                <w:rFonts w:hint="eastAsia" w:ascii="宋体" w:hAnsi="宋体" w:eastAsia="宋体" w:cs="宋体"/>
                <w:color w:val="auto"/>
                <w:kern w:val="2"/>
                <w:sz w:val="21"/>
                <w:szCs w:val="21"/>
                <w:highlight w:val="none"/>
              </w:rPr>
            </w:pPr>
          </w:p>
        </w:tc>
        <w:tc>
          <w:tcPr>
            <w:tcW w:w="1153" w:type="pct"/>
            <w:tcBorders>
              <w:top w:val="single" w:color="auto" w:sz="4" w:space="0"/>
              <w:left w:val="single" w:color="auto" w:sz="4" w:space="0"/>
              <w:bottom w:val="single" w:color="auto" w:sz="4" w:space="0"/>
              <w:right w:val="single" w:color="auto" w:sz="4" w:space="0"/>
            </w:tcBorders>
            <w:vAlign w:val="center"/>
          </w:tcPr>
          <w:p w14:paraId="5DABD857">
            <w:pPr>
              <w:widowControl w:val="0"/>
              <w:spacing w:line="360" w:lineRule="auto"/>
              <w:ind w:firstLine="0"/>
              <w:jc w:val="center"/>
              <w:rPr>
                <w:rFonts w:hint="eastAsia" w:ascii="宋体" w:hAnsi="宋体" w:eastAsia="宋体" w:cs="宋体"/>
                <w:color w:val="auto"/>
                <w:kern w:val="2"/>
                <w:sz w:val="21"/>
                <w:szCs w:val="21"/>
                <w:highlight w:val="none"/>
              </w:rPr>
            </w:pPr>
          </w:p>
        </w:tc>
        <w:tc>
          <w:tcPr>
            <w:tcW w:w="914" w:type="pct"/>
            <w:tcBorders>
              <w:top w:val="single" w:color="auto" w:sz="4" w:space="0"/>
              <w:left w:val="single" w:color="auto" w:sz="4" w:space="0"/>
              <w:bottom w:val="single" w:color="auto" w:sz="4" w:space="0"/>
              <w:right w:val="single" w:color="auto" w:sz="4" w:space="0"/>
            </w:tcBorders>
            <w:vAlign w:val="center"/>
          </w:tcPr>
          <w:p w14:paraId="6ADCA2A7">
            <w:pPr>
              <w:widowControl w:val="0"/>
              <w:spacing w:line="360" w:lineRule="auto"/>
              <w:ind w:firstLine="0"/>
              <w:jc w:val="center"/>
              <w:rPr>
                <w:rFonts w:hint="eastAsia" w:ascii="宋体" w:hAnsi="宋体" w:eastAsia="宋体" w:cs="宋体"/>
                <w:color w:val="auto"/>
                <w:kern w:val="2"/>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vAlign w:val="center"/>
          </w:tcPr>
          <w:p w14:paraId="025F1A75">
            <w:pPr>
              <w:widowControl w:val="0"/>
              <w:spacing w:line="360" w:lineRule="auto"/>
              <w:ind w:firstLine="0"/>
              <w:jc w:val="center"/>
              <w:rPr>
                <w:rFonts w:hint="eastAsia" w:ascii="宋体" w:hAnsi="宋体" w:eastAsia="宋体" w:cs="宋体"/>
                <w:color w:val="auto"/>
                <w:kern w:val="2"/>
                <w:sz w:val="21"/>
                <w:szCs w:val="21"/>
                <w:highlight w:val="none"/>
              </w:rPr>
            </w:pPr>
          </w:p>
        </w:tc>
      </w:tr>
    </w:tbl>
    <w:p w14:paraId="236F7C49">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p>
    <w:p w14:paraId="1F47725C">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w:t>
      </w:r>
    </w:p>
    <w:p w14:paraId="2C10E0B8">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1、项目管理经营指市政或环保工程项目特许经营类业绩。</w:t>
      </w:r>
    </w:p>
    <w:p w14:paraId="4E0A8D13">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2、特许经营类业绩指BOT、TOT、ROT、BOOT、DBFOT等形式业绩；</w:t>
      </w:r>
    </w:p>
    <w:p w14:paraId="5AA83E95">
      <w:pPr>
        <w:pStyle w:val="63"/>
        <w:widowControl w:val="0"/>
        <w:numPr>
          <w:ilvl w:val="0"/>
          <w:numId w:val="0"/>
        </w:numPr>
        <w:spacing w:after="120" w:afterLines="0" w:line="360" w:lineRule="auto"/>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3、需提供中标通知书或合同协议书或备案证明，无法充分体现项目规模及工作内容等情况的，可附业主证明材料或政府部门审批文件佐证；</w:t>
      </w:r>
    </w:p>
    <w:p w14:paraId="1F141B15">
      <w:pPr>
        <w:pStyle w:val="63"/>
        <w:ind w:left="0" w:leftChars="0" w:firstLine="0" w:firstLineChars="0"/>
        <w:rPr>
          <w:rFonts w:hint="eastAsia" w:ascii="宋体" w:hAnsi="宋体" w:cs="宋体"/>
          <w:b/>
          <w:bCs/>
          <w:color w:val="auto"/>
          <w:kern w:val="2"/>
          <w:sz w:val="22"/>
          <w:szCs w:val="22"/>
          <w:highlight w:val="none"/>
          <w:lang w:val="en-US" w:eastAsia="zh-CN"/>
        </w:rPr>
      </w:pPr>
    </w:p>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p w14:paraId="7481B307">
      <w:pPr>
        <w:ind w:left="0" w:leftChars="0" w:firstLine="0" w:firstLineChars="0"/>
        <w:rPr>
          <w:rFonts w:hint="default" w:ascii="宋体" w:hAnsi="宋体" w:cs="宋体"/>
          <w:color w:val="auto"/>
          <w:kern w:val="2"/>
          <w:szCs w:val="20"/>
          <w:highlight w:val="none"/>
          <w:lang w:val="en-US" w:eastAsia="zh-CN"/>
        </w:rPr>
      </w:pPr>
    </w:p>
    <w:p w14:paraId="55AC2E5B">
      <w:pPr>
        <w:pStyle w:val="63"/>
        <w:rPr>
          <w:rFonts w:hint="default" w:ascii="宋体" w:hAnsi="宋体" w:cs="宋体"/>
          <w:color w:val="auto"/>
          <w:kern w:val="2"/>
          <w:szCs w:val="20"/>
          <w:highlight w:val="none"/>
          <w:lang w:val="en-US" w:eastAsia="zh-CN"/>
        </w:rPr>
      </w:pPr>
    </w:p>
    <w:p w14:paraId="61EF9FD8">
      <w:pPr>
        <w:pStyle w:val="63"/>
        <w:rPr>
          <w:rFonts w:hint="default" w:ascii="宋体" w:hAnsi="宋体" w:cs="宋体"/>
          <w:color w:val="auto"/>
          <w:kern w:val="2"/>
          <w:szCs w:val="20"/>
          <w:highlight w:val="none"/>
          <w:lang w:val="en-US" w:eastAsia="zh-CN"/>
        </w:rPr>
      </w:pPr>
    </w:p>
    <w:p w14:paraId="2A02D16D">
      <w:pPr>
        <w:pStyle w:val="63"/>
        <w:rPr>
          <w:rFonts w:hint="default" w:ascii="宋体" w:hAnsi="宋体" w:cs="宋体"/>
          <w:color w:val="auto"/>
          <w:kern w:val="2"/>
          <w:szCs w:val="20"/>
          <w:highlight w:val="none"/>
          <w:lang w:val="en-US" w:eastAsia="zh-CN"/>
        </w:rPr>
      </w:pPr>
    </w:p>
    <w:p w14:paraId="28931787">
      <w:pPr>
        <w:pStyle w:val="63"/>
        <w:rPr>
          <w:rFonts w:hint="default" w:ascii="宋体" w:hAnsi="宋体" w:cs="宋体"/>
          <w:color w:val="auto"/>
          <w:kern w:val="2"/>
          <w:szCs w:val="20"/>
          <w:highlight w:val="none"/>
          <w:lang w:val="en-US" w:eastAsia="zh-CN"/>
        </w:rPr>
      </w:pPr>
    </w:p>
    <w:p w14:paraId="29CDF6AA">
      <w:pPr>
        <w:pStyle w:val="63"/>
        <w:rPr>
          <w:rFonts w:hint="default" w:ascii="宋体" w:hAnsi="宋体" w:cs="宋体"/>
          <w:color w:val="auto"/>
          <w:kern w:val="2"/>
          <w:szCs w:val="20"/>
          <w:highlight w:val="none"/>
          <w:lang w:val="en-US" w:eastAsia="zh-CN"/>
        </w:rPr>
      </w:pPr>
    </w:p>
    <w:p w14:paraId="4EB4908C">
      <w:pPr>
        <w:pStyle w:val="63"/>
        <w:rPr>
          <w:rFonts w:hint="default" w:ascii="宋体" w:hAnsi="宋体" w:cs="宋体"/>
          <w:color w:val="auto"/>
          <w:kern w:val="2"/>
          <w:szCs w:val="20"/>
          <w:highlight w:val="none"/>
          <w:lang w:val="en-US" w:eastAsia="zh-CN"/>
        </w:rPr>
      </w:pPr>
    </w:p>
    <w:p w14:paraId="7832A6CA">
      <w:pPr>
        <w:pStyle w:val="63"/>
        <w:rPr>
          <w:rFonts w:hint="default" w:ascii="宋体" w:hAnsi="宋体" w:cs="宋体"/>
          <w:color w:val="auto"/>
          <w:kern w:val="2"/>
          <w:szCs w:val="20"/>
          <w:highlight w:val="none"/>
          <w:lang w:val="en-US" w:eastAsia="zh-CN"/>
        </w:rPr>
      </w:pPr>
    </w:p>
    <w:p w14:paraId="1B5A17C9">
      <w:pPr>
        <w:pStyle w:val="63"/>
        <w:rPr>
          <w:rFonts w:hint="default" w:ascii="宋体" w:hAnsi="宋体" w:cs="宋体"/>
          <w:color w:val="auto"/>
          <w:kern w:val="2"/>
          <w:szCs w:val="20"/>
          <w:highlight w:val="none"/>
          <w:lang w:val="en-US" w:eastAsia="zh-CN"/>
        </w:rPr>
      </w:pPr>
    </w:p>
    <w:p w14:paraId="06E7420C">
      <w:pPr>
        <w:pStyle w:val="63"/>
        <w:rPr>
          <w:rFonts w:hint="default" w:ascii="宋体" w:hAnsi="宋体" w:cs="宋体"/>
          <w:color w:val="auto"/>
          <w:kern w:val="2"/>
          <w:szCs w:val="20"/>
          <w:highlight w:val="none"/>
          <w:lang w:val="en-US" w:eastAsia="zh-CN"/>
        </w:rPr>
      </w:pPr>
    </w:p>
    <w:p w14:paraId="360E420E">
      <w:pPr>
        <w:pStyle w:val="63"/>
        <w:rPr>
          <w:rFonts w:hint="default" w:ascii="宋体" w:hAnsi="宋体" w:cs="宋体"/>
          <w:color w:val="auto"/>
          <w:kern w:val="2"/>
          <w:szCs w:val="20"/>
          <w:highlight w:val="none"/>
          <w:lang w:val="en-US" w:eastAsia="zh-CN"/>
        </w:rPr>
      </w:pPr>
    </w:p>
    <w:p w14:paraId="7D0C4EB8">
      <w:pPr>
        <w:pStyle w:val="63"/>
        <w:rPr>
          <w:rFonts w:hint="default" w:ascii="宋体" w:hAnsi="宋体" w:cs="宋体"/>
          <w:color w:val="auto"/>
          <w:kern w:val="2"/>
          <w:szCs w:val="20"/>
          <w:highlight w:val="none"/>
          <w:lang w:val="en-US" w:eastAsia="zh-CN"/>
        </w:rPr>
      </w:pPr>
    </w:p>
    <w:p w14:paraId="3F6DF8EC">
      <w:pPr>
        <w:pStyle w:val="63"/>
        <w:numPr>
          <w:ilvl w:val="0"/>
          <w:numId w:val="114"/>
        </w:numPr>
        <w:rPr>
          <w:rFonts w:hint="eastAsia" w:ascii="宋体" w:hAnsi="宋体" w:cs="宋体"/>
          <w:b/>
          <w:bCs/>
          <w:color w:val="auto"/>
          <w:kern w:val="2"/>
          <w:szCs w:val="20"/>
          <w:highlight w:val="none"/>
          <w:lang w:val="en-US" w:eastAsia="zh-CN"/>
        </w:rPr>
      </w:pPr>
      <w:r>
        <w:rPr>
          <w:rFonts w:hint="eastAsia" w:ascii="宋体" w:hAnsi="宋体" w:cs="宋体"/>
          <w:b/>
          <w:bCs/>
          <w:color w:val="auto"/>
          <w:kern w:val="2"/>
          <w:szCs w:val="20"/>
          <w:highlight w:val="none"/>
          <w:lang w:val="en-US" w:eastAsia="zh-CN"/>
        </w:rPr>
        <w:t>认证情况</w:t>
      </w:r>
    </w:p>
    <w:p w14:paraId="136D578B">
      <w:pPr>
        <w:spacing w:line="360" w:lineRule="auto"/>
        <w:ind w:firstLine="420" w:firstLineChars="20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投标人</w:t>
      </w:r>
      <w:r>
        <w:rPr>
          <w:rFonts w:hint="eastAsia" w:ascii="宋体" w:hAnsi="宋体" w:cs="宋体"/>
          <w:color w:val="auto"/>
          <w:sz w:val="21"/>
          <w:szCs w:val="21"/>
          <w:highlight w:val="none"/>
          <w:lang w:val="en-US" w:eastAsia="zh-CN" w:bidi="ar"/>
        </w:rPr>
        <w:t>根据招标文件要求</w:t>
      </w:r>
      <w:r>
        <w:rPr>
          <w:rFonts w:hint="eastAsia" w:ascii="宋体" w:hAnsi="宋体" w:eastAsia="宋体" w:cs="宋体"/>
          <w:color w:val="auto"/>
          <w:sz w:val="21"/>
          <w:szCs w:val="21"/>
          <w:highlight w:val="none"/>
          <w:lang w:val="en-US" w:eastAsia="zh-CN" w:bidi="ar"/>
        </w:rPr>
        <w:t>以下有效证书：①质量管理体系认证证书；②环境管理体系认证证书；③职业健康安全管理体系认证证书</w:t>
      </w:r>
      <w:r>
        <w:rPr>
          <w:rFonts w:hint="eastAsia" w:ascii="宋体" w:hAnsi="宋体" w:cs="宋体"/>
          <w:color w:val="auto"/>
          <w:sz w:val="21"/>
          <w:szCs w:val="21"/>
          <w:highlight w:val="none"/>
          <w:lang w:val="en-US" w:eastAsia="zh-CN" w:bidi="ar"/>
        </w:rPr>
        <w:t>。</w:t>
      </w:r>
      <w:r>
        <w:rPr>
          <w:rFonts w:hint="eastAsia" w:ascii="宋体" w:hAnsi="宋体" w:eastAsia="宋体" w:cs="宋体"/>
          <w:color w:val="auto"/>
          <w:sz w:val="21"/>
          <w:szCs w:val="21"/>
          <w:highlight w:val="none"/>
          <w:lang w:val="en-US" w:eastAsia="zh-CN" w:bidi="ar"/>
        </w:rPr>
        <w:t xml:space="preserve"> </w:t>
      </w:r>
    </w:p>
    <w:p w14:paraId="72832CCF">
      <w:pPr>
        <w:spacing w:line="360" w:lineRule="auto"/>
        <w:ind w:firstLine="0" w:firstLineChars="0"/>
        <w:jc w:val="left"/>
        <w:textAlignment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注：须提供以上证书扫描件及国家认证认可监督管理委员的“全国认证认可信息公共服务平台”（http://cx.cnca.cn）查询结果截图。</w:t>
      </w:r>
    </w:p>
    <w:p w14:paraId="0D096474">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07A46AF3">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57DD2C95">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31E09A74">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0E82C01B">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3400AC57">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7263B82A">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1C036E0D">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4667087C">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01AFD9AB">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4C6FA6BA">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4FE7ED64">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2142D42F">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328AFC04">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14CE4972">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558CF9C6">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63159222">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04C32A9A">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4D253B78">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1A017BC3">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5EB2F30C">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517792C3">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7E120FBB">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486349DD">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3DD4385E">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6E7E03D7">
      <w:pPr>
        <w:pStyle w:val="63"/>
        <w:widowControl w:val="0"/>
        <w:numPr>
          <w:ilvl w:val="0"/>
          <w:numId w:val="0"/>
        </w:numPr>
        <w:spacing w:after="120" w:afterLines="0"/>
        <w:jc w:val="both"/>
        <w:rPr>
          <w:rFonts w:hint="eastAsia" w:ascii="宋体" w:hAnsi="宋体" w:cs="宋体"/>
          <w:b/>
          <w:bCs/>
          <w:color w:val="auto"/>
          <w:kern w:val="2"/>
          <w:szCs w:val="20"/>
          <w:highlight w:val="none"/>
          <w:lang w:val="en-US" w:eastAsia="zh-CN"/>
        </w:rPr>
      </w:pPr>
    </w:p>
    <w:p w14:paraId="3C5C985A">
      <w:pPr>
        <w:pStyle w:val="63"/>
        <w:rPr>
          <w:rFonts w:hint="default" w:ascii="宋体" w:hAnsi="宋体" w:cs="宋体"/>
          <w:b/>
          <w:bCs/>
          <w:color w:val="auto"/>
          <w:kern w:val="2"/>
          <w:szCs w:val="20"/>
          <w:highlight w:val="none"/>
          <w:lang w:val="en-US" w:eastAsia="zh-CN"/>
        </w:rPr>
      </w:pPr>
      <w:r>
        <w:rPr>
          <w:rFonts w:hint="eastAsia" w:ascii="宋体" w:hAnsi="宋体" w:cs="宋体"/>
          <w:b/>
          <w:bCs/>
          <w:color w:val="auto"/>
          <w:kern w:val="2"/>
          <w:szCs w:val="20"/>
          <w:highlight w:val="none"/>
          <w:lang w:val="en-US" w:eastAsia="zh-CN"/>
        </w:rPr>
        <w:t>六、投标人认为需要提供的其他资料</w:t>
      </w:r>
    </w:p>
    <w:p w14:paraId="7F38B667">
      <w:pPr>
        <w:pStyle w:val="63"/>
        <w:rPr>
          <w:rFonts w:hint="default" w:ascii="宋体" w:hAnsi="宋体" w:cs="宋体"/>
          <w:color w:val="auto"/>
          <w:kern w:val="2"/>
          <w:szCs w:val="20"/>
          <w:highlight w:val="none"/>
          <w:lang w:val="en-US" w:eastAsia="zh-CN"/>
        </w:rPr>
      </w:pPr>
    </w:p>
    <w:p w14:paraId="73A6202D">
      <w:pPr>
        <w:pStyle w:val="63"/>
        <w:rPr>
          <w:rFonts w:hint="default" w:ascii="宋体" w:hAnsi="宋体" w:cs="宋体"/>
          <w:color w:val="auto"/>
          <w:kern w:val="2"/>
          <w:szCs w:val="20"/>
          <w:highlight w:val="none"/>
          <w:lang w:val="en-US" w:eastAsia="zh-CN"/>
        </w:rPr>
      </w:pPr>
    </w:p>
    <w:p w14:paraId="772D48EB">
      <w:pPr>
        <w:pStyle w:val="63"/>
        <w:rPr>
          <w:rFonts w:hint="default" w:ascii="宋体" w:hAnsi="宋体" w:cs="宋体"/>
          <w:color w:val="auto"/>
          <w:kern w:val="2"/>
          <w:szCs w:val="20"/>
          <w:highlight w:val="none"/>
          <w:lang w:val="en-US" w:eastAsia="zh-CN"/>
        </w:rPr>
      </w:pPr>
    </w:p>
    <w:p w14:paraId="2BE957FF">
      <w:pPr>
        <w:pStyle w:val="63"/>
        <w:rPr>
          <w:rFonts w:hint="default" w:ascii="宋体" w:hAnsi="宋体" w:cs="宋体"/>
          <w:color w:val="auto"/>
          <w:kern w:val="2"/>
          <w:szCs w:val="20"/>
          <w:highlight w:val="none"/>
          <w:lang w:val="en-US" w:eastAsia="zh-CN"/>
        </w:rPr>
      </w:pPr>
    </w:p>
    <w:p w14:paraId="28E4F3A2">
      <w:pPr>
        <w:pStyle w:val="63"/>
        <w:rPr>
          <w:rFonts w:hint="default" w:ascii="宋体" w:hAnsi="宋体" w:cs="宋体"/>
          <w:color w:val="auto"/>
          <w:kern w:val="2"/>
          <w:szCs w:val="20"/>
          <w:highlight w:val="none"/>
          <w:lang w:val="en-US" w:eastAsia="zh-CN"/>
        </w:rPr>
      </w:pPr>
    </w:p>
    <w:p w14:paraId="7D27CDD2">
      <w:pPr>
        <w:pStyle w:val="63"/>
        <w:rPr>
          <w:rFonts w:hint="default" w:ascii="宋体" w:hAnsi="宋体" w:cs="宋体"/>
          <w:color w:val="auto"/>
          <w:kern w:val="2"/>
          <w:szCs w:val="20"/>
          <w:highlight w:val="none"/>
          <w:lang w:val="en-US" w:eastAsia="zh-CN"/>
        </w:rPr>
      </w:pPr>
    </w:p>
    <w:sectPr>
      <w:headerReference r:id="rId17" w:type="default"/>
      <w:footerReference r:id="rId18" w:type="default"/>
      <w:pgSz w:w="11906" w:h="16838"/>
      <w:pgMar w:top="1440" w:right="1080" w:bottom="1440" w:left="1080" w:header="851" w:footer="992" w:gutter="0"/>
      <w:pgNumType w:fmt="decimal"/>
      <w:cols w:space="708"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D76B5FB-DA25-45C5-8AF6-41BD51A7DA6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14D8F88-5474-444B-8D74-45F34BE0A256}"/>
  </w:font>
  <w:font w:name="Arial Unicode MS">
    <w:panose1 w:val="020B0604020202020204"/>
    <w:charset w:val="86"/>
    <w:family w:val="swiss"/>
    <w:pitch w:val="default"/>
    <w:sig w:usb0="FFFFFFFF" w:usb1="E9FFFFFF" w:usb2="0000003F" w:usb3="00000000" w:csb0="603F01FF" w:csb1="FFFF0000"/>
  </w:font>
  <w:font w:name="方正书宋简体">
    <w:panose1 w:val="03000509000000000000"/>
    <w:charset w:val="86"/>
    <w:family w:val="auto"/>
    <w:pitch w:val="default"/>
    <w:sig w:usb0="00000001" w:usb1="080E0000" w:usb2="00000000" w:usb3="00000000" w:csb0="00040000" w:csb1="00000000"/>
    <w:embedRegular r:id="rId3" w:fontKey="{79DB392A-3A31-4422-985F-4BE5848E939C}"/>
  </w:font>
  <w:font w:name="仿宋_GB2312">
    <w:panose1 w:val="02010609030101010101"/>
    <w:charset w:val="86"/>
    <w:family w:val="auto"/>
    <w:pitch w:val="default"/>
    <w:sig w:usb0="00000001" w:usb1="080E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MS Sans Serif">
    <w:altName w:val="Arial"/>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default"/>
    <w:sig w:usb0="E00002FF" w:usb1="420024FF" w:usb2="00000000" w:usb3="00000000" w:csb0="2000019F" w:csb1="00000000"/>
  </w:font>
  <w:font w:name="宋体-18030">
    <w:altName w:val="宋体"/>
    <w:panose1 w:val="00000000000000000000"/>
    <w:charset w:val="86"/>
    <w:family w:val="modern"/>
    <w:pitch w:val="default"/>
    <w:sig w:usb0="00000000" w:usb1="00000000" w:usb2="000A005E"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embedRegular r:id="rId4" w:fontKey="{1E791E0C-CFAD-41AF-AB0B-C134DAA2AA7F}"/>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F00F">
    <w:pPr>
      <w:pStyle w:val="36"/>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EEA247">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0BEEA247">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6CE0A">
    <w:pPr>
      <w:pStyle w:val="3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EC2581">
                          <w:pPr>
                            <w:pStyle w:val="36"/>
                          </w:pPr>
                          <w:r>
                            <w:fldChar w:fldCharType="begin"/>
                          </w:r>
                          <w:r>
                            <w:instrText xml:space="preserve"> PAGE  \* MERGEFORMAT </w:instrText>
                          </w:r>
                          <w:r>
                            <w:fldChar w:fldCharType="separate"/>
                          </w:r>
                          <w:r>
                            <w:t>17</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14:paraId="75EC2581">
                    <w:pPr>
                      <w:pStyle w:val="3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06ED6">
    <w:pPr>
      <w:pStyle w:val="36"/>
      <w:spacing w:before="120" w:after="120"/>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29245F">
                          <w:pPr>
                            <w:pStyle w:val="36"/>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7829245F">
                    <w:pPr>
                      <w:pStyle w:val="3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9B461">
    <w:pPr>
      <w:pStyle w:val="36"/>
      <w:spacing w:before="120" w:after="1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55B59">
    <w:pPr>
      <w:pStyle w:val="36"/>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89D0C">
    <w:pPr>
      <w:pStyle w:val="36"/>
      <w:jc w:val="right"/>
      <w:rPr>
        <w:szCs w:val="2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68BC46">
                          <w:pPr>
                            <w:pStyle w:val="3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6268BC46">
                    <w:pPr>
                      <w:pStyle w:val="36"/>
                    </w:pPr>
                    <w:r>
                      <w:fldChar w:fldCharType="begin"/>
                    </w:r>
                    <w:r>
                      <w:instrText xml:space="preserve"> PAGE  \* MERGEFORMAT </w:instrText>
                    </w:r>
                    <w:r>
                      <w:fldChar w:fldCharType="separate"/>
                    </w:r>
                    <w:r>
                      <w:t>1</w:t>
                    </w:r>
                    <w:r>
                      <w:fldChar w:fldCharType="end"/>
                    </w:r>
                  </w:p>
                </w:txbxContent>
              </v:textbox>
            </v:shape>
          </w:pict>
        </mc:Fallback>
      </mc:AlternateContent>
    </w:r>
  </w:p>
  <w:p w14:paraId="4A004FEA">
    <w:pPr>
      <w:pStyle w:val="36"/>
      <w:spacing w:before="120" w:after="120"/>
      <w:rPr>
        <w:rFonts w:hint="default" w:ascii="Times New Roman" w:hAnsi="Times New Roman" w:cs="Times New Roman"/>
        <w:sz w:val="24"/>
        <w:szCs w:val="24"/>
      </w:rPr>
    </w:pPr>
  </w:p>
  <w:p w14:paraId="1DCE401A">
    <w:pPr>
      <w:spacing w:before="120" w:after="120"/>
      <w:ind w:firstLine="5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A3A6C">
    <w:pPr>
      <w:pStyle w:val="36"/>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2FCF7F">
                          <w:pPr>
                            <w:pStyle w:val="36"/>
                          </w:pPr>
                          <w:r>
                            <w:fldChar w:fldCharType="begin"/>
                          </w:r>
                          <w:r>
                            <w:instrText xml:space="preserve"> PAGE  \* MERGEFORMAT </w:instrText>
                          </w:r>
                          <w:r>
                            <w:fldChar w:fldCharType="separate"/>
                          </w:r>
                          <w:r>
                            <w:t>33</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V1us8oBAACc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vaHEcYsDv/z4fvn5+/LrG1lW&#10;q9dZoT5AjYn3AVPT8NYPuDezH9CZiQ8q2vxFSgTjqO/5qq8cEhH50Xq1XlcYEhibL4jPHp6HCOmd&#10;9JZko6ERB1h05acPkMbUOSVXc/5OG1OGaNxfDsTMHpZ7H3vMVhr2w0Ro79sz8ulx9g11uOqUmPcO&#10;pc1rMhtxNvazcQxRH7qyR7kehDfHhE2U3nKFEXYqjEMr7KYFy1vx+F6yHn6q7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tV1us8oBAACcAwAADgAAAAAAAAABACAAAAAeAQAAZHJzL2Uyb0Rv&#10;Yy54bWxQSwUGAAAAAAYABgBZAQAAWgUAAAAA&#10;">
              <v:fill on="f" focussize="0,0"/>
              <v:stroke on="f"/>
              <v:imagedata o:title=""/>
              <o:lock v:ext="edit" aspectratio="f"/>
              <v:textbox inset="0mm,0mm,0mm,0mm" style="mso-fit-shape-to-text:t;">
                <w:txbxContent>
                  <w:p w14:paraId="632FCF7F">
                    <w:pPr>
                      <w:pStyle w:val="36"/>
                    </w:pPr>
                    <w:r>
                      <w:fldChar w:fldCharType="begin"/>
                    </w:r>
                    <w:r>
                      <w:instrText xml:space="preserve"> PAGE  \* MERGEFORMAT </w:instrText>
                    </w:r>
                    <w:r>
                      <w:fldChar w:fldCharType="separate"/>
                    </w:r>
                    <w:r>
                      <w:t>33</w:t>
                    </w:r>
                    <w:r>
                      <w:fldChar w:fldCharType="end"/>
                    </w:r>
                  </w:p>
                </w:txbxContent>
              </v:textbox>
            </v:shape>
          </w:pict>
        </mc:Fallback>
      </mc:AlternateContent>
    </w:r>
  </w:p>
  <w:p w14:paraId="3516D7D7">
    <w:pPr>
      <w:rPr>
        <w:rFonts w:hint="eastAsia"/>
      </w:rPr>
    </w:pPr>
  </w:p>
  <w:p w14:paraId="2F4FCEEE">
    <w:pPr>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ED06E">
    <w:pPr>
      <w:pStyle w:val="36"/>
      <w:jc w:val="center"/>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3A7FF5">
                          <w:pPr>
                            <w:pStyle w:val="36"/>
                          </w:pPr>
                          <w:r>
                            <w:fldChar w:fldCharType="begin"/>
                          </w:r>
                          <w:r>
                            <w:instrText xml:space="preserve"> PAGE  \* MERGEFORMAT </w:instrText>
                          </w:r>
                          <w:r>
                            <w:fldChar w:fldCharType="separate"/>
                          </w:r>
                          <w:r>
                            <w:t>136</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Qbc6jLAQAAnAMAAA4AAAAAAAAAAQAgAAAAHgEAAGRycy9lMm9E&#10;b2MueG1sUEsFBgAAAAAGAAYAWQEAAFsFAAAAAA==&#10;">
              <v:fill on="f" focussize="0,0"/>
              <v:stroke on="f"/>
              <v:imagedata o:title=""/>
              <o:lock v:ext="edit" aspectratio="f"/>
              <v:textbox inset="0mm,0mm,0mm,0mm" style="mso-fit-shape-to-text:t;">
                <w:txbxContent>
                  <w:p w14:paraId="373A7FF5">
                    <w:pPr>
                      <w:pStyle w:val="36"/>
                    </w:pPr>
                    <w:r>
                      <w:fldChar w:fldCharType="begin"/>
                    </w:r>
                    <w:r>
                      <w:instrText xml:space="preserve"> PAGE  \* MERGEFORMAT </w:instrText>
                    </w:r>
                    <w:r>
                      <w:fldChar w:fldCharType="separate"/>
                    </w:r>
                    <w:r>
                      <w:t>136</w:t>
                    </w:r>
                    <w:r>
                      <w:fldChar w:fldCharType="end"/>
                    </w:r>
                  </w:p>
                </w:txbxContent>
              </v:textbox>
            </v:shape>
          </w:pict>
        </mc:Fallback>
      </mc:AlternateContent>
    </w:r>
  </w:p>
  <w:p w14:paraId="5223985C">
    <w:pPr>
      <w:rPr>
        <w:rFonts w:hint="eastAsia"/>
      </w:rPr>
    </w:pPr>
  </w:p>
  <w:p w14:paraId="75B00842">
    <w:pP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1C8B5">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4A51F">
    <w:pPr>
      <w:pStyle w:val="37"/>
      <w:jc w:val="right"/>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6335">
    <w:pPr>
      <w:spacing w:before="120" w:after="120"/>
      <w:ind w:left="56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ECECD">
    <w:pPr>
      <w:pStyle w:val="37"/>
      <w:spacing w:before="120" w:after="120"/>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145E1">
    <w:pPr>
      <w:pStyle w:val="37"/>
      <w:spacing w:before="120" w:after="1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C7DC2">
    <w:pPr>
      <w:spacing w:before="120" w:after="120"/>
      <w:ind w:firstLine="5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17E9A">
    <w:pPr>
      <w:ind w:firstLine="5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91A7F">
    <w:pPr>
      <w:ind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73237"/>
    <w:multiLevelType w:val="singleLevel"/>
    <w:tmpl w:val="87B73237"/>
    <w:lvl w:ilvl="0" w:tentative="0">
      <w:start w:val="6"/>
      <w:numFmt w:val="chineseCounting"/>
      <w:suff w:val="nothing"/>
      <w:lvlText w:val="（%1）"/>
      <w:lvlJc w:val="left"/>
      <w:rPr>
        <w:rFonts w:hint="eastAsia"/>
      </w:rPr>
    </w:lvl>
  </w:abstractNum>
  <w:abstractNum w:abstractNumId="1">
    <w:nsid w:val="9F772D02"/>
    <w:multiLevelType w:val="singleLevel"/>
    <w:tmpl w:val="9F772D02"/>
    <w:lvl w:ilvl="0" w:tentative="0">
      <w:start w:val="1"/>
      <w:numFmt w:val="decimal"/>
      <w:suff w:val="space"/>
      <w:lvlText w:val="%1."/>
      <w:lvlJc w:val="left"/>
    </w:lvl>
  </w:abstractNum>
  <w:abstractNum w:abstractNumId="2">
    <w:nsid w:val="BDF64E79"/>
    <w:multiLevelType w:val="singleLevel"/>
    <w:tmpl w:val="BDF64E79"/>
    <w:lvl w:ilvl="0" w:tentative="0">
      <w:start w:val="1"/>
      <w:numFmt w:val="decimal"/>
      <w:suff w:val="space"/>
      <w:lvlText w:val="%1."/>
      <w:lvlJc w:val="left"/>
    </w:lvl>
  </w:abstractNum>
  <w:abstractNum w:abstractNumId="3">
    <w:nsid w:val="BF3B663A"/>
    <w:multiLevelType w:val="singleLevel"/>
    <w:tmpl w:val="BF3B663A"/>
    <w:lvl w:ilvl="0" w:tentative="0">
      <w:start w:val="1"/>
      <w:numFmt w:val="lowerLetter"/>
      <w:suff w:val="space"/>
      <w:lvlText w:val="%1."/>
      <w:lvlJc w:val="left"/>
    </w:lvl>
  </w:abstractNum>
  <w:abstractNum w:abstractNumId="4">
    <w:nsid w:val="C77FD518"/>
    <w:multiLevelType w:val="multilevel"/>
    <w:tmpl w:val="C77FD518"/>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5">
    <w:nsid w:val="CD97D70D"/>
    <w:multiLevelType w:val="multilevel"/>
    <w:tmpl w:val="CD97D70D"/>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DBF76C76"/>
    <w:multiLevelType w:val="multilevel"/>
    <w:tmpl w:val="DBF76C76"/>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DFFEE857"/>
    <w:multiLevelType w:val="singleLevel"/>
    <w:tmpl w:val="DFFEE857"/>
    <w:lvl w:ilvl="0" w:tentative="0">
      <w:start w:val="1"/>
      <w:numFmt w:val="decimal"/>
      <w:suff w:val="space"/>
      <w:lvlText w:val="%1."/>
      <w:lvlJc w:val="left"/>
    </w:lvl>
  </w:abstractNum>
  <w:abstractNum w:abstractNumId="8">
    <w:nsid w:val="DFFFC6FC"/>
    <w:multiLevelType w:val="singleLevel"/>
    <w:tmpl w:val="DFFFC6FC"/>
    <w:lvl w:ilvl="0" w:tentative="0">
      <w:start w:val="1"/>
      <w:numFmt w:val="decimal"/>
      <w:suff w:val="space"/>
      <w:lvlText w:val="%1."/>
      <w:lvlJc w:val="left"/>
    </w:lvl>
  </w:abstractNum>
  <w:abstractNum w:abstractNumId="9">
    <w:nsid w:val="E7FF13B3"/>
    <w:multiLevelType w:val="multilevel"/>
    <w:tmpl w:val="E7FF13B3"/>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10">
    <w:nsid w:val="EBFCCA9F"/>
    <w:multiLevelType w:val="singleLevel"/>
    <w:tmpl w:val="EBFCCA9F"/>
    <w:lvl w:ilvl="0" w:tentative="0">
      <w:start w:val="1"/>
      <w:numFmt w:val="decimal"/>
      <w:suff w:val="space"/>
      <w:lvlText w:val="%1."/>
      <w:lvlJc w:val="left"/>
    </w:lvl>
  </w:abstractNum>
  <w:abstractNum w:abstractNumId="11">
    <w:nsid w:val="EBFF9199"/>
    <w:multiLevelType w:val="singleLevel"/>
    <w:tmpl w:val="EBFF9199"/>
    <w:lvl w:ilvl="0" w:tentative="0">
      <w:start w:val="1"/>
      <w:numFmt w:val="decimal"/>
      <w:suff w:val="space"/>
      <w:lvlText w:val="%1."/>
      <w:lvlJc w:val="left"/>
    </w:lvl>
  </w:abstractNum>
  <w:abstractNum w:abstractNumId="12">
    <w:nsid w:val="EBFFEFEF"/>
    <w:multiLevelType w:val="singleLevel"/>
    <w:tmpl w:val="EBFFEFEF"/>
    <w:lvl w:ilvl="0" w:tentative="0">
      <w:start w:val="1"/>
      <w:numFmt w:val="decimal"/>
      <w:suff w:val="nothing"/>
      <w:lvlText w:val="（%1）"/>
      <w:lvlJc w:val="left"/>
    </w:lvl>
  </w:abstractNum>
  <w:abstractNum w:abstractNumId="13">
    <w:nsid w:val="EDBEADCC"/>
    <w:multiLevelType w:val="multilevel"/>
    <w:tmpl w:val="EDBEADCC"/>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14">
    <w:nsid w:val="EFE62C68"/>
    <w:multiLevelType w:val="multilevel"/>
    <w:tmpl w:val="EFE62C68"/>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F7BFD521"/>
    <w:multiLevelType w:val="singleLevel"/>
    <w:tmpl w:val="F7BFD521"/>
    <w:lvl w:ilvl="0" w:tentative="0">
      <w:start w:val="1"/>
      <w:numFmt w:val="decimal"/>
      <w:suff w:val="nothing"/>
      <w:lvlText w:val="（%1）"/>
      <w:lvlJc w:val="left"/>
    </w:lvl>
  </w:abstractNum>
  <w:abstractNum w:abstractNumId="16">
    <w:nsid w:val="F7FB9614"/>
    <w:multiLevelType w:val="multilevel"/>
    <w:tmpl w:val="F7FB9614"/>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FBEDC07D"/>
    <w:multiLevelType w:val="multilevel"/>
    <w:tmpl w:val="FBEDC07D"/>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18">
    <w:nsid w:val="FDD6AB73"/>
    <w:multiLevelType w:val="multilevel"/>
    <w:tmpl w:val="FDD6AB73"/>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19">
    <w:nsid w:val="FE7E9C8E"/>
    <w:multiLevelType w:val="multilevel"/>
    <w:tmpl w:val="FE7E9C8E"/>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20">
    <w:nsid w:val="FEDE1A5C"/>
    <w:multiLevelType w:val="multilevel"/>
    <w:tmpl w:val="FEDE1A5C"/>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21">
    <w:nsid w:val="FEFA46DE"/>
    <w:multiLevelType w:val="multilevel"/>
    <w:tmpl w:val="FEFA46DE"/>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22">
    <w:nsid w:val="FF6CA7A2"/>
    <w:multiLevelType w:val="singleLevel"/>
    <w:tmpl w:val="FF6CA7A2"/>
    <w:lvl w:ilvl="0" w:tentative="0">
      <w:start w:val="1"/>
      <w:numFmt w:val="decimal"/>
      <w:suff w:val="space"/>
      <w:lvlText w:val="%1."/>
      <w:lvlJc w:val="left"/>
    </w:lvl>
  </w:abstractNum>
  <w:abstractNum w:abstractNumId="23">
    <w:nsid w:val="FF7DAE39"/>
    <w:multiLevelType w:val="multilevel"/>
    <w:tmpl w:val="FF7DAE39"/>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24">
    <w:nsid w:val="FFFFFF7D"/>
    <w:multiLevelType w:val="singleLevel"/>
    <w:tmpl w:val="FFFFFF7D"/>
    <w:lvl w:ilvl="0" w:tentative="0">
      <w:start w:val="1"/>
      <w:numFmt w:val="decimal"/>
      <w:lvlText w:val="%1."/>
      <w:lvlJc w:val="left"/>
      <w:pPr>
        <w:tabs>
          <w:tab w:val="left" w:pos="1620"/>
        </w:tabs>
        <w:ind w:left="1620" w:hanging="360"/>
      </w:pPr>
    </w:lvl>
  </w:abstractNum>
  <w:abstractNum w:abstractNumId="25">
    <w:nsid w:val="00000010"/>
    <w:multiLevelType w:val="multilevel"/>
    <w:tmpl w:val="00000010"/>
    <w:lvl w:ilvl="0" w:tentative="0">
      <w:start w:val="1"/>
      <w:numFmt w:val="none"/>
      <w:pStyle w:val="301"/>
      <w:suff w:val="nothing"/>
      <w:lvlText w:val="%1"/>
      <w:lvlJc w:val="left"/>
      <w:pPr>
        <w:ind w:left="568" w:firstLine="0"/>
      </w:pPr>
      <w:rPr>
        <w:rFonts w:hint="default" w:ascii="华文中宋" w:hAnsi="华文中宋"/>
        <w:b/>
        <w:i w:val="0"/>
        <w:sz w:val="21"/>
      </w:rPr>
    </w:lvl>
    <w:lvl w:ilvl="1" w:tentative="0">
      <w:start w:val="1"/>
      <w:numFmt w:val="decimal"/>
      <w:pStyle w:val="236"/>
      <w:suff w:val="nothing"/>
      <w:lvlText w:val="%1%2　"/>
      <w:lvlJc w:val="left"/>
      <w:pPr>
        <w:ind w:left="568" w:firstLine="0"/>
      </w:pPr>
      <w:rPr>
        <w:rFonts w:hint="eastAsia" w:ascii="Arial" w:hAnsi="华文中宋" w:eastAsia="Arial"/>
        <w:b w:val="0"/>
        <w:i w:val="0"/>
        <w:sz w:val="32"/>
      </w:rPr>
    </w:lvl>
    <w:lvl w:ilvl="2" w:tentative="0">
      <w:start w:val="1"/>
      <w:numFmt w:val="decimal"/>
      <w:pStyle w:val="238"/>
      <w:suff w:val="nothing"/>
      <w:lvlText w:val="%1%2.%3　"/>
      <w:lvlJc w:val="left"/>
      <w:pPr>
        <w:ind w:left="568" w:firstLine="0"/>
      </w:pPr>
      <w:rPr>
        <w:rFonts w:hint="eastAsia" w:ascii="Arial" w:hAnsi="华文中宋" w:eastAsia="Arial"/>
        <w:b w:val="0"/>
        <w:i w:val="0"/>
        <w:sz w:val="30"/>
      </w:rPr>
    </w:lvl>
    <w:lvl w:ilvl="3" w:tentative="0">
      <w:start w:val="1"/>
      <w:numFmt w:val="decimal"/>
      <w:pStyle w:val="310"/>
      <w:suff w:val="nothing"/>
      <w:lvlText w:val="%1%2.%3.%4　"/>
      <w:lvlJc w:val="left"/>
      <w:pPr>
        <w:ind w:left="568" w:firstLine="0"/>
      </w:pPr>
      <w:rPr>
        <w:rFonts w:hint="eastAsia" w:ascii="Arial" w:hAnsi="华文中宋" w:eastAsia="Arial"/>
        <w:b w:val="0"/>
        <w:i w:val="0"/>
        <w:sz w:val="28"/>
      </w:rPr>
    </w:lvl>
    <w:lvl w:ilvl="4" w:tentative="0">
      <w:start w:val="1"/>
      <w:numFmt w:val="decimal"/>
      <w:pStyle w:val="342"/>
      <w:suff w:val="nothing"/>
      <w:lvlText w:val="%1%2.%3.%4.%5　"/>
      <w:lvlJc w:val="left"/>
      <w:pPr>
        <w:ind w:left="568" w:firstLine="0"/>
      </w:pPr>
      <w:rPr>
        <w:rFonts w:hint="eastAsia" w:ascii="Arial" w:hAnsi="华文中宋" w:eastAsia="Arial"/>
        <w:b w:val="0"/>
        <w:i w:val="0"/>
        <w:sz w:val="21"/>
      </w:rPr>
    </w:lvl>
    <w:lvl w:ilvl="5" w:tentative="0">
      <w:start w:val="1"/>
      <w:numFmt w:val="decimal"/>
      <w:suff w:val="nothing"/>
      <w:lvlText w:val="%1%2.%3.%4.%5.%6　"/>
      <w:lvlJc w:val="left"/>
      <w:pPr>
        <w:ind w:left="568" w:firstLine="0"/>
      </w:pPr>
      <w:rPr>
        <w:rFonts w:hint="eastAsia" w:ascii="Arial" w:hAnsi="华文中宋" w:eastAsia="Arial"/>
        <w:b w:val="0"/>
        <w:i w:val="0"/>
        <w:sz w:val="21"/>
      </w:rPr>
    </w:lvl>
    <w:lvl w:ilvl="6" w:tentative="0">
      <w:start w:val="1"/>
      <w:numFmt w:val="decimal"/>
      <w:suff w:val="nothing"/>
      <w:lvlText w:val="%1%2.%3.%4.%5.%6.%7　"/>
      <w:lvlJc w:val="left"/>
      <w:pPr>
        <w:ind w:left="568" w:firstLine="0"/>
      </w:pPr>
      <w:rPr>
        <w:rFonts w:hint="eastAsia" w:ascii="Arial" w:hAnsi="华文中宋" w:eastAsia="Arial"/>
        <w:b w:val="0"/>
        <w:i w:val="0"/>
        <w:sz w:val="21"/>
      </w:rPr>
    </w:lvl>
    <w:lvl w:ilvl="7" w:tentative="0">
      <w:start w:val="1"/>
      <w:numFmt w:val="decimal"/>
      <w:lvlText w:val="%1.%2.%3.%4.%5.%6.%7.%8"/>
      <w:lvlJc w:val="left"/>
      <w:pPr>
        <w:tabs>
          <w:tab w:val="left" w:pos="4919"/>
        </w:tabs>
        <w:ind w:left="4537" w:hanging="1418"/>
      </w:pPr>
      <w:rPr>
        <w:rFonts w:hint="eastAsia"/>
      </w:rPr>
    </w:lvl>
    <w:lvl w:ilvl="8" w:tentative="0">
      <w:start w:val="1"/>
      <w:numFmt w:val="decimal"/>
      <w:lvlText w:val="%1.%2.%3.%4.%5.%6.%7.%8.%9"/>
      <w:lvlJc w:val="left"/>
      <w:pPr>
        <w:tabs>
          <w:tab w:val="left" w:pos="5345"/>
        </w:tabs>
        <w:ind w:left="5245" w:hanging="1700"/>
      </w:pPr>
      <w:rPr>
        <w:rFonts w:hint="eastAsia"/>
      </w:rPr>
    </w:lvl>
  </w:abstractNum>
  <w:abstractNum w:abstractNumId="26">
    <w:nsid w:val="009B5957"/>
    <w:multiLevelType w:val="multilevel"/>
    <w:tmpl w:val="009B5957"/>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27">
    <w:nsid w:val="01B9330C"/>
    <w:multiLevelType w:val="multilevel"/>
    <w:tmpl w:val="01B9330C"/>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default" w:ascii="Times New Roman" w:hAnsi="Times New Roman" w:eastAsia="宋体" w:cs="Times New Roman"/>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8">
    <w:nsid w:val="058A3193"/>
    <w:multiLevelType w:val="multilevel"/>
    <w:tmpl w:val="058A3193"/>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29">
    <w:nsid w:val="05B77470"/>
    <w:multiLevelType w:val="multilevel"/>
    <w:tmpl w:val="05B77470"/>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30">
    <w:nsid w:val="06952C40"/>
    <w:multiLevelType w:val="multilevel"/>
    <w:tmpl w:val="06952C40"/>
    <w:lvl w:ilvl="0" w:tentative="0">
      <w:start w:val="1"/>
      <w:numFmt w:val="decimal"/>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31">
    <w:nsid w:val="0B3F2084"/>
    <w:multiLevelType w:val="multilevel"/>
    <w:tmpl w:val="0B3F2084"/>
    <w:lvl w:ilvl="0" w:tentative="0">
      <w:start w:val="1"/>
      <w:numFmt w:val="decimal"/>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32">
    <w:nsid w:val="0B711458"/>
    <w:multiLevelType w:val="multilevel"/>
    <w:tmpl w:val="0B711458"/>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33">
    <w:nsid w:val="0C8B733A"/>
    <w:multiLevelType w:val="multilevel"/>
    <w:tmpl w:val="0C8B733A"/>
    <w:lvl w:ilvl="0" w:tentative="0">
      <w:start w:val="1"/>
      <w:numFmt w:val="decimal"/>
      <w:lvlText w:val="（%1）"/>
      <w:lvlJc w:val="left"/>
      <w:pPr>
        <w:tabs>
          <w:tab w:val="left" w:pos="1271"/>
        </w:tabs>
        <w:ind w:left="0" w:firstLine="567"/>
      </w:pPr>
      <w:rPr>
        <w:rFonts w:hint="eastAsia"/>
        <w:lang w:val="en-US"/>
      </w:rPr>
    </w:lvl>
    <w:lvl w:ilvl="1" w:tentative="0">
      <w:start w:val="1"/>
      <w:numFmt w:val="lowerLetter"/>
      <w:lvlText w:val="%2)"/>
      <w:lvlJc w:val="left"/>
      <w:pPr>
        <w:tabs>
          <w:tab w:val="left" w:pos="843"/>
        </w:tabs>
        <w:ind w:left="843" w:hanging="420"/>
      </w:pPr>
    </w:lvl>
    <w:lvl w:ilvl="2" w:tentative="0">
      <w:start w:val="1"/>
      <w:numFmt w:val="lowerRoman"/>
      <w:lvlText w:val="%3."/>
      <w:lvlJc w:val="right"/>
      <w:pPr>
        <w:tabs>
          <w:tab w:val="left" w:pos="1263"/>
        </w:tabs>
        <w:ind w:left="1263" w:hanging="420"/>
      </w:pPr>
    </w:lvl>
    <w:lvl w:ilvl="3" w:tentative="0">
      <w:start w:val="1"/>
      <w:numFmt w:val="decimal"/>
      <w:lvlText w:val="%4."/>
      <w:lvlJc w:val="left"/>
      <w:pPr>
        <w:tabs>
          <w:tab w:val="left" w:pos="1683"/>
        </w:tabs>
        <w:ind w:left="1683" w:hanging="420"/>
      </w:pPr>
    </w:lvl>
    <w:lvl w:ilvl="4" w:tentative="0">
      <w:start w:val="1"/>
      <w:numFmt w:val="lowerLetter"/>
      <w:lvlText w:val="%5)"/>
      <w:lvlJc w:val="left"/>
      <w:pPr>
        <w:tabs>
          <w:tab w:val="left" w:pos="2103"/>
        </w:tabs>
        <w:ind w:left="2103" w:hanging="420"/>
      </w:pPr>
    </w:lvl>
    <w:lvl w:ilvl="5" w:tentative="0">
      <w:start w:val="1"/>
      <w:numFmt w:val="lowerRoman"/>
      <w:lvlText w:val="%6."/>
      <w:lvlJc w:val="right"/>
      <w:pPr>
        <w:tabs>
          <w:tab w:val="left" w:pos="2523"/>
        </w:tabs>
        <w:ind w:left="2523" w:hanging="420"/>
      </w:pPr>
    </w:lvl>
    <w:lvl w:ilvl="6" w:tentative="0">
      <w:start w:val="1"/>
      <w:numFmt w:val="decimal"/>
      <w:lvlText w:val="%7."/>
      <w:lvlJc w:val="left"/>
      <w:pPr>
        <w:tabs>
          <w:tab w:val="left" w:pos="2943"/>
        </w:tabs>
        <w:ind w:left="2943" w:hanging="420"/>
      </w:p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34">
    <w:nsid w:val="0C90292F"/>
    <w:multiLevelType w:val="multilevel"/>
    <w:tmpl w:val="0C90292F"/>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5">
    <w:nsid w:val="0E3D744B"/>
    <w:multiLevelType w:val="multilevel"/>
    <w:tmpl w:val="0E3D744B"/>
    <w:lvl w:ilvl="0" w:tentative="0">
      <w:start w:val="1"/>
      <w:numFmt w:val="decimal"/>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36">
    <w:nsid w:val="10D2018D"/>
    <w:multiLevelType w:val="multilevel"/>
    <w:tmpl w:val="10D2018D"/>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37">
    <w:nsid w:val="16C540B0"/>
    <w:multiLevelType w:val="multilevel"/>
    <w:tmpl w:val="16C540B0"/>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38">
    <w:nsid w:val="18DF5B00"/>
    <w:multiLevelType w:val="multilevel"/>
    <w:tmpl w:val="18DF5B00"/>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9">
    <w:nsid w:val="198B277E"/>
    <w:multiLevelType w:val="multilevel"/>
    <w:tmpl w:val="198B277E"/>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40">
    <w:nsid w:val="1F6C29D6"/>
    <w:multiLevelType w:val="multilevel"/>
    <w:tmpl w:val="1F6C29D6"/>
    <w:lvl w:ilvl="0" w:tentative="0">
      <w:start w:val="1"/>
      <w:numFmt w:val="decimal"/>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1">
    <w:nsid w:val="20871A82"/>
    <w:multiLevelType w:val="multilevel"/>
    <w:tmpl w:val="20871A82"/>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2">
    <w:nsid w:val="212D6B30"/>
    <w:multiLevelType w:val="multilevel"/>
    <w:tmpl w:val="212D6B30"/>
    <w:lvl w:ilvl="0" w:tentative="0">
      <w:start w:val="1"/>
      <w:numFmt w:val="decimal"/>
      <w:suff w:val="nothing"/>
      <w:lvlText w:val="（%1）"/>
      <w:lvlJc w:val="left"/>
      <w:pPr>
        <w:ind w:left="-7" w:firstLine="567"/>
      </w:pPr>
      <w:rPr>
        <w:rFonts w:hint="eastAsia"/>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3">
    <w:nsid w:val="235A5FEF"/>
    <w:multiLevelType w:val="multilevel"/>
    <w:tmpl w:val="235A5FEF"/>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44">
    <w:nsid w:val="268D38DF"/>
    <w:multiLevelType w:val="multilevel"/>
    <w:tmpl w:val="268D38DF"/>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5">
    <w:nsid w:val="26D74B80"/>
    <w:multiLevelType w:val="multilevel"/>
    <w:tmpl w:val="26D74B80"/>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46">
    <w:nsid w:val="285B6C7B"/>
    <w:multiLevelType w:val="multilevel"/>
    <w:tmpl w:val="285B6C7B"/>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7">
    <w:nsid w:val="286031C0"/>
    <w:multiLevelType w:val="multilevel"/>
    <w:tmpl w:val="286031C0"/>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48">
    <w:nsid w:val="2C3934D6"/>
    <w:multiLevelType w:val="multilevel"/>
    <w:tmpl w:val="2C3934D6"/>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9">
    <w:nsid w:val="2E412900"/>
    <w:multiLevelType w:val="multilevel"/>
    <w:tmpl w:val="2E412900"/>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50">
    <w:nsid w:val="2F7B482F"/>
    <w:multiLevelType w:val="multilevel"/>
    <w:tmpl w:val="2F7B482F"/>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51">
    <w:nsid w:val="30045142"/>
    <w:multiLevelType w:val="multilevel"/>
    <w:tmpl w:val="30045142"/>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52">
    <w:nsid w:val="31D57019"/>
    <w:multiLevelType w:val="multilevel"/>
    <w:tmpl w:val="31D57019"/>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53">
    <w:nsid w:val="378E703E"/>
    <w:multiLevelType w:val="multilevel"/>
    <w:tmpl w:val="378E703E"/>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4">
    <w:nsid w:val="37EB6D6C"/>
    <w:multiLevelType w:val="multilevel"/>
    <w:tmpl w:val="37EB6D6C"/>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5">
    <w:nsid w:val="38820947"/>
    <w:multiLevelType w:val="multilevel"/>
    <w:tmpl w:val="38820947"/>
    <w:lvl w:ilvl="0" w:tentative="0">
      <w:start w:val="1"/>
      <w:numFmt w:val="lowerLetter"/>
      <w:lvlText w:val="%1."/>
      <w:lvlJc w:val="left"/>
      <w:pPr>
        <w:ind w:left="0" w:firstLine="567"/>
      </w:pPr>
      <w:rPr>
        <w:rFonts w:hint="eastAsia"/>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56">
    <w:nsid w:val="38F42E72"/>
    <w:multiLevelType w:val="multilevel"/>
    <w:tmpl w:val="38F42E72"/>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57">
    <w:nsid w:val="39B931CF"/>
    <w:multiLevelType w:val="multilevel"/>
    <w:tmpl w:val="39B931CF"/>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8">
    <w:nsid w:val="3A1D1C92"/>
    <w:multiLevelType w:val="multilevel"/>
    <w:tmpl w:val="3A1D1C92"/>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0"/>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59">
    <w:nsid w:val="3DC159D5"/>
    <w:multiLevelType w:val="multilevel"/>
    <w:tmpl w:val="3DC159D5"/>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60">
    <w:nsid w:val="3E7D7E08"/>
    <w:multiLevelType w:val="multilevel"/>
    <w:tmpl w:val="3E7D7E08"/>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61">
    <w:nsid w:val="3F2D710D"/>
    <w:multiLevelType w:val="multilevel"/>
    <w:tmpl w:val="3F2D710D"/>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default" w:ascii="Times New Roman" w:hAnsi="Times New Roman" w:eastAsia="宋体" w:cs="Times New Roman"/>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2">
    <w:nsid w:val="418A01C0"/>
    <w:multiLevelType w:val="multilevel"/>
    <w:tmpl w:val="418A01C0"/>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63">
    <w:nsid w:val="418C52CC"/>
    <w:multiLevelType w:val="multilevel"/>
    <w:tmpl w:val="418C52CC"/>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4">
    <w:nsid w:val="43461E14"/>
    <w:multiLevelType w:val="multilevel"/>
    <w:tmpl w:val="43461E14"/>
    <w:lvl w:ilvl="0" w:tentative="0">
      <w:start w:val="1"/>
      <w:numFmt w:val="lowerLetter"/>
      <w:lvlText w:val="%1."/>
      <w:lvlJc w:val="left"/>
      <w:pPr>
        <w:ind w:left="0" w:firstLine="567"/>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5">
    <w:nsid w:val="452B53EB"/>
    <w:multiLevelType w:val="multilevel"/>
    <w:tmpl w:val="452B53EB"/>
    <w:lvl w:ilvl="0" w:tentative="0">
      <w:start w:val="1"/>
      <w:numFmt w:val="decimal"/>
      <w:lvlText w:val="%1."/>
      <w:lvlJc w:val="left"/>
      <w:pPr>
        <w:ind w:left="1000" w:hanging="440"/>
      </w:pPr>
      <w:rPr>
        <w:rFonts w:hint="eastAsia"/>
        <w:b w:val="0"/>
        <w:bCs w:val="0"/>
      </w:rPr>
    </w:lvl>
    <w:lvl w:ilvl="1" w:tentative="0">
      <w:start w:val="1"/>
      <w:numFmt w:val="lowerLetter"/>
      <w:lvlText w:val="%2)"/>
      <w:lvlJc w:val="left"/>
      <w:pPr>
        <w:ind w:left="1440" w:hanging="440"/>
      </w:pPr>
    </w:lvl>
    <w:lvl w:ilvl="2" w:tentative="0">
      <w:start w:val="1"/>
      <w:numFmt w:val="decimal"/>
      <w:lvlText w:val="%3."/>
      <w:lvlJc w:val="lef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66">
    <w:nsid w:val="45CC55BD"/>
    <w:multiLevelType w:val="multilevel"/>
    <w:tmpl w:val="45CC55BD"/>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67">
    <w:nsid w:val="48791C5A"/>
    <w:multiLevelType w:val="multilevel"/>
    <w:tmpl w:val="48791C5A"/>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68">
    <w:nsid w:val="489C4B69"/>
    <w:multiLevelType w:val="multilevel"/>
    <w:tmpl w:val="489C4B69"/>
    <w:lvl w:ilvl="0" w:tentative="0">
      <w:start w:val="1"/>
      <w:numFmt w:val="decimal"/>
      <w:lvlText w:val="（%1）"/>
      <w:lvlJc w:val="left"/>
      <w:pPr>
        <w:tabs>
          <w:tab w:val="left" w:pos="1419"/>
        </w:tabs>
        <w:ind w:left="0" w:firstLine="568"/>
      </w:pPr>
      <w:rPr>
        <w:rFonts w:hint="eastAsia"/>
        <w:lang w:val="en-US"/>
      </w:rPr>
    </w:lvl>
    <w:lvl w:ilvl="1" w:tentative="0">
      <w:start w:val="1"/>
      <w:numFmt w:val="lowerLetter"/>
      <w:lvlText w:val="%2)"/>
      <w:lvlJc w:val="left"/>
      <w:pPr>
        <w:tabs>
          <w:tab w:val="left" w:pos="843"/>
        </w:tabs>
        <w:ind w:left="843" w:hanging="420"/>
      </w:pPr>
    </w:lvl>
    <w:lvl w:ilvl="2" w:tentative="0">
      <w:start w:val="1"/>
      <w:numFmt w:val="lowerRoman"/>
      <w:lvlText w:val="%3."/>
      <w:lvlJc w:val="right"/>
      <w:pPr>
        <w:tabs>
          <w:tab w:val="left" w:pos="1263"/>
        </w:tabs>
        <w:ind w:left="1263" w:hanging="420"/>
      </w:pPr>
    </w:lvl>
    <w:lvl w:ilvl="3" w:tentative="0">
      <w:start w:val="1"/>
      <w:numFmt w:val="decimal"/>
      <w:lvlText w:val="%4."/>
      <w:lvlJc w:val="left"/>
      <w:pPr>
        <w:tabs>
          <w:tab w:val="left" w:pos="1683"/>
        </w:tabs>
        <w:ind w:left="1683" w:hanging="420"/>
      </w:pPr>
    </w:lvl>
    <w:lvl w:ilvl="4" w:tentative="0">
      <w:start w:val="1"/>
      <w:numFmt w:val="lowerLetter"/>
      <w:lvlText w:val="%5)"/>
      <w:lvlJc w:val="left"/>
      <w:pPr>
        <w:tabs>
          <w:tab w:val="left" w:pos="2103"/>
        </w:tabs>
        <w:ind w:left="2103" w:hanging="420"/>
      </w:pPr>
    </w:lvl>
    <w:lvl w:ilvl="5" w:tentative="0">
      <w:start w:val="1"/>
      <w:numFmt w:val="lowerRoman"/>
      <w:lvlText w:val="%6."/>
      <w:lvlJc w:val="right"/>
      <w:pPr>
        <w:tabs>
          <w:tab w:val="left" w:pos="2523"/>
        </w:tabs>
        <w:ind w:left="2523" w:hanging="420"/>
      </w:pPr>
    </w:lvl>
    <w:lvl w:ilvl="6" w:tentative="0">
      <w:start w:val="1"/>
      <w:numFmt w:val="decimal"/>
      <w:lvlText w:val="%7."/>
      <w:lvlJc w:val="left"/>
      <w:pPr>
        <w:tabs>
          <w:tab w:val="left" w:pos="2943"/>
        </w:tabs>
        <w:ind w:left="2943" w:hanging="420"/>
      </w:p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69">
    <w:nsid w:val="496D1C48"/>
    <w:multiLevelType w:val="multilevel"/>
    <w:tmpl w:val="496D1C48"/>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0">
    <w:nsid w:val="4B5B3701"/>
    <w:multiLevelType w:val="multilevel"/>
    <w:tmpl w:val="4B5B3701"/>
    <w:lvl w:ilvl="0" w:tentative="0">
      <w:start w:val="1"/>
      <w:numFmt w:val="lowerLetter"/>
      <w:lvlText w:val="%1."/>
      <w:lvlJc w:val="left"/>
      <w:pPr>
        <w:ind w:left="0" w:firstLine="567"/>
      </w:pPr>
      <w:rPr>
        <w:rFonts w:hint="eastAsia"/>
      </w:rPr>
    </w:lvl>
    <w:lvl w:ilvl="1" w:tentative="0">
      <w:start w:val="1"/>
      <w:numFmt w:val="lowerLetter"/>
      <w:lvlText w:val="%2)"/>
      <w:lvlJc w:val="left"/>
      <w:pPr>
        <w:ind w:left="1760" w:hanging="440"/>
      </w:pPr>
    </w:lvl>
    <w:lvl w:ilvl="2" w:tentative="0">
      <w:start w:val="1"/>
      <w:numFmt w:val="lowerRoman"/>
      <w:lvlText w:val="%3."/>
      <w:lvlJc w:val="right"/>
      <w:pPr>
        <w:ind w:left="2200" w:hanging="440"/>
      </w:pPr>
    </w:lvl>
    <w:lvl w:ilvl="3" w:tentative="0">
      <w:start w:val="1"/>
      <w:numFmt w:val="decimal"/>
      <w:lvlText w:val="%4."/>
      <w:lvlJc w:val="left"/>
      <w:pPr>
        <w:ind w:left="2640" w:hanging="440"/>
      </w:pPr>
    </w:lvl>
    <w:lvl w:ilvl="4" w:tentative="0">
      <w:start w:val="1"/>
      <w:numFmt w:val="lowerLetter"/>
      <w:lvlText w:val="%5)"/>
      <w:lvlJc w:val="left"/>
      <w:pPr>
        <w:ind w:left="3080" w:hanging="440"/>
      </w:pPr>
    </w:lvl>
    <w:lvl w:ilvl="5" w:tentative="0">
      <w:start w:val="1"/>
      <w:numFmt w:val="lowerRoman"/>
      <w:lvlText w:val="%6."/>
      <w:lvlJc w:val="right"/>
      <w:pPr>
        <w:ind w:left="3520" w:hanging="440"/>
      </w:pPr>
    </w:lvl>
    <w:lvl w:ilvl="6" w:tentative="0">
      <w:start w:val="1"/>
      <w:numFmt w:val="decimal"/>
      <w:lvlText w:val="%7."/>
      <w:lvlJc w:val="left"/>
      <w:pPr>
        <w:ind w:left="3960" w:hanging="440"/>
      </w:pPr>
    </w:lvl>
    <w:lvl w:ilvl="7" w:tentative="0">
      <w:start w:val="1"/>
      <w:numFmt w:val="lowerLetter"/>
      <w:lvlText w:val="%8)"/>
      <w:lvlJc w:val="left"/>
      <w:pPr>
        <w:ind w:left="4400" w:hanging="440"/>
      </w:pPr>
    </w:lvl>
    <w:lvl w:ilvl="8" w:tentative="0">
      <w:start w:val="1"/>
      <w:numFmt w:val="lowerRoman"/>
      <w:lvlText w:val="%9."/>
      <w:lvlJc w:val="right"/>
      <w:pPr>
        <w:ind w:left="4840" w:hanging="440"/>
      </w:pPr>
    </w:lvl>
  </w:abstractNum>
  <w:abstractNum w:abstractNumId="71">
    <w:nsid w:val="4CA35B5C"/>
    <w:multiLevelType w:val="multilevel"/>
    <w:tmpl w:val="4CA35B5C"/>
    <w:lvl w:ilvl="0" w:tentative="0">
      <w:start w:val="1"/>
      <w:numFmt w:val="chineseCountingThousand"/>
      <w:pStyle w:val="366"/>
      <w:lvlText w:val="（%1）"/>
      <w:lvlJc w:val="left"/>
      <w:pPr>
        <w:ind w:left="440" w:hanging="440"/>
      </w:pPr>
      <w:rPr>
        <w:rFonts w:hint="eastAsia"/>
        <w:b/>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2">
    <w:nsid w:val="4CA50DF9"/>
    <w:multiLevelType w:val="multilevel"/>
    <w:tmpl w:val="4CA50DF9"/>
    <w:lvl w:ilvl="0" w:tentative="0">
      <w:start w:val="1"/>
      <w:numFmt w:val="lowerLetter"/>
      <w:lvlText w:val="%1."/>
      <w:lvlJc w:val="left"/>
      <w:pPr>
        <w:ind w:left="0" w:firstLine="567"/>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3">
    <w:nsid w:val="4F1698DA"/>
    <w:multiLevelType w:val="singleLevel"/>
    <w:tmpl w:val="4F1698DA"/>
    <w:lvl w:ilvl="0" w:tentative="0">
      <w:start w:val="1"/>
      <w:numFmt w:val="decimal"/>
      <w:suff w:val="space"/>
      <w:lvlText w:val="%1."/>
      <w:lvlJc w:val="left"/>
    </w:lvl>
  </w:abstractNum>
  <w:abstractNum w:abstractNumId="74">
    <w:nsid w:val="52694F41"/>
    <w:multiLevelType w:val="multilevel"/>
    <w:tmpl w:val="52694F41"/>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75">
    <w:nsid w:val="52CF07C5"/>
    <w:multiLevelType w:val="multilevel"/>
    <w:tmpl w:val="52CF07C5"/>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76">
    <w:nsid w:val="54AD282E"/>
    <w:multiLevelType w:val="multilevel"/>
    <w:tmpl w:val="54AD282E"/>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77">
    <w:nsid w:val="55153D9F"/>
    <w:multiLevelType w:val="multilevel"/>
    <w:tmpl w:val="55153D9F"/>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8">
    <w:nsid w:val="57FEE043"/>
    <w:multiLevelType w:val="multilevel"/>
    <w:tmpl w:val="57FEE043"/>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79">
    <w:nsid w:val="591007DE"/>
    <w:multiLevelType w:val="multilevel"/>
    <w:tmpl w:val="591007DE"/>
    <w:lvl w:ilvl="0" w:tentative="0">
      <w:start w:val="1"/>
      <w:numFmt w:val="lowerLetter"/>
      <w:lvlText w:val="%1."/>
      <w:lvlJc w:val="left"/>
      <w:pPr>
        <w:ind w:left="1000" w:hanging="440"/>
      </w:pPr>
      <w:rPr>
        <w:rFonts w:hint="eastAsia"/>
      </w:rPr>
    </w:lvl>
    <w:lvl w:ilvl="1" w:tentative="0">
      <w:start w:val="1"/>
      <w:numFmt w:val="lowerLetter"/>
      <w:lvlText w:val="%2)"/>
      <w:lvlJc w:val="left"/>
      <w:pPr>
        <w:ind w:left="1440" w:hanging="440"/>
      </w:pPr>
    </w:lvl>
    <w:lvl w:ilvl="2" w:tentative="0">
      <w:start w:val="1"/>
      <w:numFmt w:val="lowerLetter"/>
      <w:lvlText w:val="%3."/>
      <w:lvlJc w:val="left"/>
      <w:pPr>
        <w:ind w:left="0" w:firstLine="567"/>
      </w:pPr>
      <w:rPr>
        <w:rFonts w:hint="eastAsia"/>
      </w:r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80">
    <w:nsid w:val="5B662714"/>
    <w:multiLevelType w:val="multilevel"/>
    <w:tmpl w:val="5B662714"/>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81">
    <w:nsid w:val="5DE973C2"/>
    <w:multiLevelType w:val="multilevel"/>
    <w:tmpl w:val="5DE973C2"/>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82">
    <w:nsid w:val="5F370208"/>
    <w:multiLevelType w:val="multilevel"/>
    <w:tmpl w:val="5F370208"/>
    <w:lvl w:ilvl="0" w:tentative="0">
      <w:start w:val="1"/>
      <w:numFmt w:val="lowerLetter"/>
      <w:lvlText w:val="%1."/>
      <w:lvlJc w:val="left"/>
      <w:pPr>
        <w:ind w:left="0" w:firstLine="567"/>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3">
    <w:nsid w:val="5FE6434A"/>
    <w:multiLevelType w:val="multilevel"/>
    <w:tmpl w:val="5FE6434A"/>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4">
    <w:nsid w:val="633F2D97"/>
    <w:multiLevelType w:val="multilevel"/>
    <w:tmpl w:val="633F2D97"/>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85">
    <w:nsid w:val="637C5EBB"/>
    <w:multiLevelType w:val="multilevel"/>
    <w:tmpl w:val="637C5EBB"/>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86">
    <w:nsid w:val="642946EC"/>
    <w:multiLevelType w:val="multilevel"/>
    <w:tmpl w:val="642946EC"/>
    <w:lvl w:ilvl="0" w:tentative="0">
      <w:start w:val="1"/>
      <w:numFmt w:val="lowerLetter"/>
      <w:lvlText w:val="%1."/>
      <w:lvlJc w:val="left"/>
      <w:pPr>
        <w:ind w:left="0" w:firstLine="567"/>
      </w:pPr>
      <w:rPr>
        <w:rFonts w:hint="eastAsia"/>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87">
    <w:nsid w:val="658C0424"/>
    <w:multiLevelType w:val="multilevel"/>
    <w:tmpl w:val="658C0424"/>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8">
    <w:nsid w:val="688157EE"/>
    <w:multiLevelType w:val="multilevel"/>
    <w:tmpl w:val="688157EE"/>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9">
    <w:nsid w:val="68A53F39"/>
    <w:multiLevelType w:val="multilevel"/>
    <w:tmpl w:val="68A53F39"/>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0">
    <w:nsid w:val="6A157D40"/>
    <w:multiLevelType w:val="multilevel"/>
    <w:tmpl w:val="6A157D40"/>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1">
    <w:nsid w:val="6C8D2DDE"/>
    <w:multiLevelType w:val="multilevel"/>
    <w:tmpl w:val="6C8D2DDE"/>
    <w:lvl w:ilvl="0" w:tentative="0">
      <w:start w:val="1"/>
      <w:numFmt w:val="lowerRoman"/>
      <w:lvlText w:val="（%1）"/>
      <w:lvlJc w:val="left"/>
      <w:pPr>
        <w:tabs>
          <w:tab w:val="left" w:pos="1704"/>
        </w:tabs>
        <w:ind w:left="1704" w:hanging="1134"/>
      </w:pPr>
      <w:rPr>
        <w:rFonts w:hint="eastAsia"/>
      </w:rPr>
    </w:lvl>
    <w:lvl w:ilvl="1" w:tentative="0">
      <w:start w:val="1"/>
      <w:numFmt w:val="lowerRoman"/>
      <w:lvlText w:val="（%2）"/>
      <w:lvlJc w:val="left"/>
      <w:pPr>
        <w:tabs>
          <w:tab w:val="left" w:pos="1503"/>
        </w:tabs>
        <w:ind w:left="1503" w:hanging="1080"/>
      </w:pPr>
      <w:rPr>
        <w:rFonts w:hint="eastAsia"/>
      </w:rPr>
    </w:lvl>
    <w:lvl w:ilvl="2" w:tentative="0">
      <w:start w:val="1"/>
      <w:numFmt w:val="lowerRoman"/>
      <w:lvlText w:val="（%3）"/>
      <w:lvlJc w:val="left"/>
      <w:pPr>
        <w:tabs>
          <w:tab w:val="left" w:pos="1923"/>
        </w:tabs>
        <w:ind w:left="1923" w:hanging="1080"/>
      </w:pPr>
      <w:rPr>
        <w:rFonts w:hint="eastAsia"/>
      </w:rPr>
    </w:lvl>
    <w:lvl w:ilvl="3" w:tentative="0">
      <w:start w:val="1"/>
      <w:numFmt w:val="lowerLetter"/>
      <w:lvlText w:val="%4."/>
      <w:lvlJc w:val="left"/>
      <w:pPr>
        <w:ind w:left="-1" w:firstLine="568"/>
      </w:pPr>
      <w:rPr>
        <w:rFonts w:hint="eastAsia"/>
      </w:rPr>
    </w:lvl>
    <w:lvl w:ilvl="4" w:tentative="0">
      <w:start w:val="1"/>
      <w:numFmt w:val="lowerLetter"/>
      <w:lvlText w:val="%5)"/>
      <w:lvlJc w:val="left"/>
      <w:pPr>
        <w:tabs>
          <w:tab w:val="left" w:pos="2103"/>
        </w:tabs>
        <w:ind w:left="2103" w:hanging="420"/>
      </w:pPr>
      <w:rPr>
        <w:rFonts w:hint="eastAsia"/>
      </w:rPr>
    </w:lvl>
    <w:lvl w:ilvl="5" w:tentative="0">
      <w:start w:val="1"/>
      <w:numFmt w:val="lowerRoman"/>
      <w:lvlText w:val="%6."/>
      <w:lvlJc w:val="right"/>
      <w:pPr>
        <w:tabs>
          <w:tab w:val="left" w:pos="2523"/>
        </w:tabs>
        <w:ind w:left="2523" w:hanging="420"/>
      </w:pPr>
      <w:rPr>
        <w:rFonts w:hint="eastAsia"/>
      </w:rPr>
    </w:lvl>
    <w:lvl w:ilvl="6" w:tentative="0">
      <w:start w:val="1"/>
      <w:numFmt w:val="decimal"/>
      <w:lvlText w:val="%7."/>
      <w:lvlJc w:val="left"/>
      <w:pPr>
        <w:tabs>
          <w:tab w:val="left" w:pos="2943"/>
        </w:tabs>
        <w:ind w:left="2943" w:hanging="420"/>
      </w:pPr>
      <w:rPr>
        <w:rFonts w:hint="eastAsia"/>
      </w:rPr>
    </w:lvl>
    <w:lvl w:ilvl="7" w:tentative="0">
      <w:start w:val="1"/>
      <w:numFmt w:val="lowerLetter"/>
      <w:lvlText w:val="%8)"/>
      <w:lvlJc w:val="left"/>
      <w:pPr>
        <w:tabs>
          <w:tab w:val="left" w:pos="3363"/>
        </w:tabs>
        <w:ind w:left="3363" w:hanging="420"/>
      </w:pPr>
      <w:rPr>
        <w:rFonts w:hint="eastAsia"/>
      </w:rPr>
    </w:lvl>
    <w:lvl w:ilvl="8" w:tentative="0">
      <w:start w:val="1"/>
      <w:numFmt w:val="lowerRoman"/>
      <w:lvlText w:val="%9."/>
      <w:lvlJc w:val="right"/>
      <w:pPr>
        <w:tabs>
          <w:tab w:val="left" w:pos="3783"/>
        </w:tabs>
        <w:ind w:left="3783" w:hanging="420"/>
      </w:pPr>
      <w:rPr>
        <w:rFonts w:hint="eastAsia"/>
      </w:rPr>
    </w:lvl>
  </w:abstractNum>
  <w:abstractNum w:abstractNumId="92">
    <w:nsid w:val="6C9C6145"/>
    <w:multiLevelType w:val="multilevel"/>
    <w:tmpl w:val="6C9C6145"/>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3">
    <w:nsid w:val="6D231577"/>
    <w:multiLevelType w:val="multilevel"/>
    <w:tmpl w:val="6D231577"/>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4">
    <w:nsid w:val="70E3F237"/>
    <w:multiLevelType w:val="singleLevel"/>
    <w:tmpl w:val="70E3F237"/>
    <w:lvl w:ilvl="0" w:tentative="0">
      <w:start w:val="4"/>
      <w:numFmt w:val="decimal"/>
      <w:suff w:val="nothing"/>
      <w:lvlText w:val="%1．"/>
      <w:lvlJc w:val="left"/>
    </w:lvl>
  </w:abstractNum>
  <w:abstractNum w:abstractNumId="95">
    <w:nsid w:val="727E1AC3"/>
    <w:multiLevelType w:val="multilevel"/>
    <w:tmpl w:val="727E1AC3"/>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6">
    <w:nsid w:val="747D3C15"/>
    <w:multiLevelType w:val="multilevel"/>
    <w:tmpl w:val="747D3C15"/>
    <w:lvl w:ilvl="0" w:tentative="0">
      <w:start w:val="1"/>
      <w:numFmt w:val="decimal"/>
      <w:lvlText w:val="（%1）"/>
      <w:lvlJc w:val="left"/>
      <w:pPr>
        <w:ind w:left="1" w:firstLine="567"/>
      </w:pPr>
      <w:rPr>
        <w:rFonts w:hint="eastAsia"/>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97">
    <w:nsid w:val="76FF53EF"/>
    <w:multiLevelType w:val="singleLevel"/>
    <w:tmpl w:val="76FF53EF"/>
    <w:lvl w:ilvl="0" w:tentative="0">
      <w:start w:val="1"/>
      <w:numFmt w:val="decimal"/>
      <w:suff w:val="space"/>
      <w:lvlText w:val="%1."/>
      <w:lvlJc w:val="left"/>
    </w:lvl>
  </w:abstractNum>
  <w:abstractNum w:abstractNumId="98">
    <w:nsid w:val="78E954D2"/>
    <w:multiLevelType w:val="multilevel"/>
    <w:tmpl w:val="78E954D2"/>
    <w:lvl w:ilvl="0" w:tentative="0">
      <w:start w:val="1"/>
      <w:numFmt w:val="lowerLetter"/>
      <w:lvlText w:val="%1."/>
      <w:lvlJc w:val="left"/>
      <w:pPr>
        <w:ind w:left="100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99">
    <w:nsid w:val="78EA7535"/>
    <w:multiLevelType w:val="multilevel"/>
    <w:tmpl w:val="78EA7535"/>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0">
    <w:nsid w:val="79D58D95"/>
    <w:multiLevelType w:val="singleLevel"/>
    <w:tmpl w:val="79D58D95"/>
    <w:lvl w:ilvl="0" w:tentative="0">
      <w:start w:val="5"/>
      <w:numFmt w:val="chineseCounting"/>
      <w:suff w:val="nothing"/>
      <w:lvlText w:val="%1、"/>
      <w:lvlJc w:val="left"/>
      <w:rPr>
        <w:rFonts w:hint="eastAsia"/>
      </w:rPr>
    </w:lvl>
  </w:abstractNum>
  <w:abstractNum w:abstractNumId="101">
    <w:nsid w:val="7B5F3FA3"/>
    <w:multiLevelType w:val="multilevel"/>
    <w:tmpl w:val="7B5F3FA3"/>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eastAsia"/>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2">
    <w:nsid w:val="7B8903EE"/>
    <w:multiLevelType w:val="multilevel"/>
    <w:tmpl w:val="7B8903EE"/>
    <w:lvl w:ilvl="0" w:tentative="0">
      <w:start w:val="1"/>
      <w:numFmt w:val="lowerLetter"/>
      <w:lvlText w:val="%1."/>
      <w:lvlJc w:val="left"/>
      <w:pPr>
        <w:ind w:left="440" w:hanging="440"/>
      </w:pPr>
      <w:rPr>
        <w:rFonts w:hint="eastAsia"/>
      </w:rPr>
    </w:lvl>
    <w:lvl w:ilvl="1" w:tentative="0">
      <w:start w:val="1"/>
      <w:numFmt w:val="lowerLetter"/>
      <w:lvlText w:val="%2."/>
      <w:lvlJc w:val="left"/>
      <w:pPr>
        <w:ind w:left="0" w:firstLine="567"/>
      </w:pPr>
      <w:rPr>
        <w:rFonts w:hint="eastAsia"/>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3">
    <w:nsid w:val="7D9512D3"/>
    <w:multiLevelType w:val="multilevel"/>
    <w:tmpl w:val="7D9512D3"/>
    <w:lvl w:ilvl="0" w:tentative="0">
      <w:start w:val="1"/>
      <w:numFmt w:val="lowerLetter"/>
      <w:lvlText w:val="%1."/>
      <w:lvlJc w:val="left"/>
      <w:pPr>
        <w:ind w:left="0" w:firstLine="567"/>
      </w:pPr>
      <w:rPr>
        <w:rFonts w:hint="eastAsia"/>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104">
    <w:nsid w:val="7DF74540"/>
    <w:multiLevelType w:val="multilevel"/>
    <w:tmpl w:val="7DF74540"/>
    <w:lvl w:ilvl="0" w:tentative="0">
      <w:start w:val="1"/>
      <w:numFmt w:val="chineseCountingThousand"/>
      <w:lvlText w:val="第%1章"/>
      <w:lvlJc w:val="left"/>
      <w:pPr>
        <w:ind w:left="425" w:hanging="255"/>
      </w:pPr>
      <w:rPr>
        <w:rFonts w:hint="eastAsia" w:ascii="黑体" w:hAnsi="黑体" w:eastAsia="黑体"/>
        <w:b/>
        <w:bCs/>
      </w:rPr>
    </w:lvl>
    <w:lvl w:ilvl="1" w:tentative="0">
      <w:start w:val="1"/>
      <w:numFmt w:val="decimal"/>
      <w:lvlRestart w:val="0"/>
      <w:lvlText w:val="第%2条."/>
      <w:lvlJc w:val="left"/>
      <w:pPr>
        <w:ind w:left="0" w:firstLine="567"/>
      </w:pPr>
      <w:rPr>
        <w:rFonts w:hint="eastAsia"/>
        <w:b/>
        <w:bCs w:val="0"/>
        <w:lang w:val="en-US"/>
      </w:rPr>
    </w:lvl>
    <w:lvl w:ilvl="2" w:tentative="0">
      <w:start w:val="1"/>
      <w:numFmt w:val="decimal"/>
      <w:lvlText w:val="%3."/>
      <w:lvlJc w:val="left"/>
      <w:pPr>
        <w:ind w:left="0" w:firstLine="567"/>
      </w:pPr>
      <w:rPr>
        <w:rFonts w:hint="default" w:ascii="Times New Roman" w:hAnsi="Times New Roman" w:eastAsia="宋体" w:cs="Times New Roman"/>
      </w:rPr>
    </w:lvl>
    <w:lvl w:ilvl="3" w:tentative="0">
      <w:start w:val="1"/>
      <w:numFmt w:val="decimal"/>
      <w:lvlText w:val="（%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5">
    <w:nsid w:val="7E874DC9"/>
    <w:multiLevelType w:val="multilevel"/>
    <w:tmpl w:val="7E874DC9"/>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lowerLetter"/>
      <w:lvlText w:val="%3."/>
      <w:lvlJc w:val="left"/>
      <w:pPr>
        <w:ind w:left="0" w:firstLine="567"/>
      </w:pPr>
      <w:rPr>
        <w:rFonts w:hint="eastAsia"/>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06">
    <w:nsid w:val="7F286BCC"/>
    <w:multiLevelType w:val="multilevel"/>
    <w:tmpl w:val="7F286BCC"/>
    <w:lvl w:ilvl="0" w:tentative="0">
      <w:start w:val="1"/>
      <w:numFmt w:val="decimal"/>
      <w:lvlText w:val="%1."/>
      <w:lvlJc w:val="left"/>
      <w:pPr>
        <w:ind w:left="1000" w:hanging="440"/>
      </w:pPr>
      <w:rPr>
        <w:rFonts w:hint="eastAsia"/>
        <w:b w:val="0"/>
        <w:bCs w:val="0"/>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107">
    <w:nsid w:val="7FE92A79"/>
    <w:multiLevelType w:val="multilevel"/>
    <w:tmpl w:val="7FE92A79"/>
    <w:lvl w:ilvl="0" w:tentative="0">
      <w:start w:val="1"/>
      <w:numFmt w:val="decimal"/>
      <w:lvlText w:val="（%1）"/>
      <w:lvlJc w:val="left"/>
      <w:pPr>
        <w:ind w:left="1" w:firstLine="567"/>
      </w:pPr>
      <w:rPr>
        <w:rFonts w:hint="default"/>
        <w:b w:val="0"/>
        <w:bCs w:val="0"/>
        <w:lang w:val="en-US"/>
      </w:rPr>
    </w:lvl>
    <w:lvl w:ilvl="1" w:tentative="0">
      <w:start w:val="1"/>
      <w:numFmt w:val="lowerLetter"/>
      <w:lvlText w:val="%2)"/>
      <w:lvlJc w:val="left"/>
      <w:pPr>
        <w:ind w:left="1441" w:hanging="440"/>
      </w:pPr>
    </w:lvl>
    <w:lvl w:ilvl="2" w:tentative="0">
      <w:start w:val="1"/>
      <w:numFmt w:val="lowerRoman"/>
      <w:lvlText w:val="%3."/>
      <w:lvlJc w:val="right"/>
      <w:pPr>
        <w:ind w:left="1881" w:hanging="440"/>
      </w:pPr>
    </w:lvl>
    <w:lvl w:ilvl="3" w:tentative="0">
      <w:start w:val="1"/>
      <w:numFmt w:val="decimal"/>
      <w:lvlText w:val="%4."/>
      <w:lvlJc w:val="left"/>
      <w:pPr>
        <w:ind w:left="2321" w:hanging="440"/>
      </w:pPr>
    </w:lvl>
    <w:lvl w:ilvl="4" w:tentative="0">
      <w:start w:val="1"/>
      <w:numFmt w:val="lowerLetter"/>
      <w:lvlText w:val="%5)"/>
      <w:lvlJc w:val="left"/>
      <w:pPr>
        <w:ind w:left="2761" w:hanging="440"/>
      </w:pPr>
    </w:lvl>
    <w:lvl w:ilvl="5" w:tentative="0">
      <w:start w:val="1"/>
      <w:numFmt w:val="lowerRoman"/>
      <w:lvlText w:val="%6."/>
      <w:lvlJc w:val="right"/>
      <w:pPr>
        <w:ind w:left="3201" w:hanging="440"/>
      </w:pPr>
    </w:lvl>
    <w:lvl w:ilvl="6" w:tentative="0">
      <w:start w:val="1"/>
      <w:numFmt w:val="decimal"/>
      <w:lvlText w:val="%7."/>
      <w:lvlJc w:val="left"/>
      <w:pPr>
        <w:ind w:left="3641" w:hanging="440"/>
      </w:pPr>
    </w:lvl>
    <w:lvl w:ilvl="7" w:tentative="0">
      <w:start w:val="1"/>
      <w:numFmt w:val="lowerLetter"/>
      <w:lvlText w:val="%8)"/>
      <w:lvlJc w:val="left"/>
      <w:pPr>
        <w:ind w:left="4081" w:hanging="440"/>
      </w:pPr>
    </w:lvl>
    <w:lvl w:ilvl="8" w:tentative="0">
      <w:start w:val="1"/>
      <w:numFmt w:val="lowerRoman"/>
      <w:lvlText w:val="%9."/>
      <w:lvlJc w:val="right"/>
      <w:pPr>
        <w:ind w:left="4521" w:hanging="440"/>
      </w:pPr>
    </w:lvl>
  </w:abstractNum>
  <w:abstractNum w:abstractNumId="108">
    <w:nsid w:val="7FEE5006"/>
    <w:multiLevelType w:val="singleLevel"/>
    <w:tmpl w:val="7FEE5006"/>
    <w:lvl w:ilvl="0" w:tentative="0">
      <w:start w:val="1"/>
      <w:numFmt w:val="decimal"/>
      <w:suff w:val="space"/>
      <w:lvlText w:val="%1."/>
      <w:lvlJc w:val="left"/>
    </w:lvl>
  </w:abstractNum>
  <w:num w:numId="1">
    <w:abstractNumId w:val="25"/>
  </w:num>
  <w:num w:numId="2">
    <w:abstractNumId w:val="71"/>
  </w:num>
  <w:num w:numId="3">
    <w:abstractNumId w:val="24"/>
  </w:num>
  <w:num w:numId="4">
    <w:abstractNumId w:val="94"/>
  </w:num>
  <w:num w:numId="5">
    <w:abstractNumId w:val="83"/>
  </w:num>
  <w:num w:numId="6">
    <w:abstractNumId w:val="39"/>
  </w:num>
  <w:num w:numId="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2"/>
    <w:lvlOverride w:ilvl="0">
      <w:startOverride w:val="1"/>
    </w:lvlOverride>
  </w:num>
  <w:num w:numId="9">
    <w:abstractNumId w:val="96"/>
  </w:num>
  <w:num w:numId="10">
    <w:abstractNumId w:val="90"/>
  </w:num>
  <w:num w:numId="1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2"/>
    <w:lvlOverride w:ilvl="0">
      <w:startOverride w:val="1"/>
    </w:lvlOverride>
  </w:num>
  <w:num w:numId="13">
    <w:abstractNumId w:val="92"/>
    <w:lvlOverride w:ilvl="0">
      <w:startOverride w:val="1"/>
    </w:lvlOverride>
  </w:num>
  <w:num w:numId="14">
    <w:abstractNumId w:val="21"/>
  </w:num>
  <w:num w:numId="15">
    <w:abstractNumId w:val="13"/>
  </w:num>
  <w:num w:numId="16">
    <w:abstractNumId w:val="66"/>
  </w:num>
  <w:num w:numId="17">
    <w:abstractNumId w:val="2"/>
  </w:num>
  <w:num w:numId="18">
    <w:abstractNumId w:val="87"/>
  </w:num>
  <w:num w:numId="19">
    <w:abstractNumId w:val="36"/>
  </w:num>
  <w:num w:numId="20">
    <w:abstractNumId w:val="85"/>
  </w:num>
  <w:num w:numId="21">
    <w:abstractNumId w:val="59"/>
  </w:num>
  <w:num w:numId="22">
    <w:abstractNumId w:val="89"/>
  </w:num>
  <w:num w:numId="23">
    <w:abstractNumId w:val="37"/>
  </w:num>
  <w:num w:numId="2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0"/>
  </w:num>
  <w:num w:numId="26">
    <w:abstractNumId w:val="108"/>
  </w:num>
  <w:num w:numId="27">
    <w:abstractNumId w:val="45"/>
  </w:num>
  <w:num w:numId="28">
    <w:abstractNumId w:val="69"/>
  </w:num>
  <w:num w:numId="29">
    <w:abstractNumId w:val="80"/>
  </w:num>
  <w:num w:numId="30">
    <w:abstractNumId w:val="81"/>
  </w:num>
  <w:num w:numId="31">
    <w:abstractNumId w:val="67"/>
  </w:num>
  <w:num w:numId="32">
    <w:abstractNumId w:val="95"/>
  </w:num>
  <w:num w:numId="33">
    <w:abstractNumId w:val="78"/>
  </w:num>
  <w:num w:numId="34">
    <w:abstractNumId w:val="93"/>
  </w:num>
  <w:num w:numId="35">
    <w:abstractNumId w:val="43"/>
  </w:num>
  <w:num w:numId="36">
    <w:abstractNumId w:val="26"/>
  </w:num>
  <w:num w:numId="37">
    <w:abstractNumId w:val="84"/>
  </w:num>
  <w:num w:numId="38">
    <w:abstractNumId w:val="29"/>
  </w:num>
  <w:num w:numId="39">
    <w:abstractNumId w:val="63"/>
  </w:num>
  <w:num w:numId="40">
    <w:abstractNumId w:val="75"/>
  </w:num>
  <w:num w:numId="41">
    <w:abstractNumId w:val="47"/>
  </w:num>
  <w:num w:numId="42">
    <w:abstractNumId w:val="76"/>
  </w:num>
  <w:num w:numId="43">
    <w:abstractNumId w:val="105"/>
  </w:num>
  <w:num w:numId="44">
    <w:abstractNumId w:val="70"/>
  </w:num>
  <w:num w:numId="45">
    <w:abstractNumId w:val="50"/>
  </w:num>
  <w:num w:numId="46">
    <w:abstractNumId w:val="32"/>
  </w:num>
  <w:num w:numId="47">
    <w:abstractNumId w:val="51"/>
  </w:num>
  <w:num w:numId="48">
    <w:abstractNumId w:val="52"/>
  </w:num>
  <w:num w:numId="49">
    <w:abstractNumId w:val="4"/>
  </w:num>
  <w:num w:numId="50">
    <w:abstractNumId w:val="38"/>
  </w:num>
  <w:num w:numId="51">
    <w:abstractNumId w:val="48"/>
  </w:num>
  <w:num w:numId="52">
    <w:abstractNumId w:val="58"/>
  </w:num>
  <w:num w:numId="53">
    <w:abstractNumId w:val="73"/>
  </w:num>
  <w:num w:numId="54">
    <w:abstractNumId w:val="46"/>
  </w:num>
  <w:num w:numId="55">
    <w:abstractNumId w:val="98"/>
  </w:num>
  <w:num w:numId="56">
    <w:abstractNumId w:val="77"/>
  </w:num>
  <w:num w:numId="57">
    <w:abstractNumId w:val="79"/>
  </w:num>
  <w:num w:numId="58">
    <w:abstractNumId w:val="82"/>
  </w:num>
  <w:num w:numId="59">
    <w:abstractNumId w:val="28"/>
  </w:num>
  <w:num w:numId="60">
    <w:abstractNumId w:val="74"/>
  </w:num>
  <w:num w:numId="61">
    <w:abstractNumId w:val="101"/>
  </w:num>
  <w:num w:numId="62">
    <w:abstractNumId w:val="62"/>
  </w:num>
  <w:num w:numId="63">
    <w:abstractNumId w:val="53"/>
  </w:num>
  <w:num w:numId="64">
    <w:abstractNumId w:val="49"/>
  </w:num>
  <w:num w:numId="65">
    <w:abstractNumId w:val="57"/>
  </w:num>
  <w:num w:numId="66">
    <w:abstractNumId w:val="7"/>
  </w:num>
  <w:num w:numId="67">
    <w:abstractNumId w:val="97"/>
  </w:num>
  <w:num w:numId="68">
    <w:abstractNumId w:val="11"/>
  </w:num>
  <w:num w:numId="69">
    <w:abstractNumId w:val="8"/>
  </w:num>
  <w:num w:numId="70">
    <w:abstractNumId w:val="44"/>
  </w:num>
  <w:num w:numId="71">
    <w:abstractNumId w:val="103"/>
  </w:num>
  <w:num w:numId="72">
    <w:abstractNumId w:val="55"/>
  </w:num>
  <w:num w:numId="73">
    <w:abstractNumId w:val="86"/>
  </w:num>
  <w:num w:numId="74">
    <w:abstractNumId w:val="22"/>
  </w:num>
  <w:num w:numId="75">
    <w:abstractNumId w:val="56"/>
  </w:num>
  <w:num w:numId="76">
    <w:abstractNumId w:val="65"/>
  </w:num>
  <w:num w:numId="77">
    <w:abstractNumId w:val="35"/>
  </w:num>
  <w:num w:numId="78">
    <w:abstractNumId w:val="40"/>
  </w:num>
  <w:num w:numId="79">
    <w:abstractNumId w:val="42"/>
  </w:num>
  <w:num w:numId="80">
    <w:abstractNumId w:val="31"/>
  </w:num>
  <w:num w:numId="81">
    <w:abstractNumId w:val="30"/>
  </w:num>
  <w:num w:numId="82">
    <w:abstractNumId w:val="1"/>
  </w:num>
  <w:num w:numId="83">
    <w:abstractNumId w:val="34"/>
  </w:num>
  <w:num w:numId="84">
    <w:abstractNumId w:val="107"/>
  </w:num>
  <w:num w:numId="85">
    <w:abstractNumId w:val="91"/>
  </w:num>
  <w:num w:numId="86">
    <w:abstractNumId w:val="3"/>
  </w:num>
  <w:num w:numId="87">
    <w:abstractNumId w:val="41"/>
  </w:num>
  <w:num w:numId="88">
    <w:abstractNumId w:val="16"/>
  </w:num>
  <w:num w:numId="89">
    <w:abstractNumId w:val="6"/>
  </w:num>
  <w:num w:numId="90">
    <w:abstractNumId w:val="23"/>
  </w:num>
  <w:num w:numId="91">
    <w:abstractNumId w:val="18"/>
  </w:num>
  <w:num w:numId="92">
    <w:abstractNumId w:val="72"/>
  </w:num>
  <w:num w:numId="93">
    <w:abstractNumId w:val="64"/>
  </w:num>
  <w:num w:numId="94">
    <w:abstractNumId w:val="14"/>
  </w:num>
  <w:num w:numId="95">
    <w:abstractNumId w:val="20"/>
  </w:num>
  <w:num w:numId="96">
    <w:abstractNumId w:val="9"/>
  </w:num>
  <w:num w:numId="97">
    <w:abstractNumId w:val="102"/>
  </w:num>
  <w:num w:numId="98">
    <w:abstractNumId w:val="5"/>
  </w:num>
  <w:num w:numId="99">
    <w:abstractNumId w:val="12"/>
  </w:num>
  <w:num w:numId="100">
    <w:abstractNumId w:val="104"/>
  </w:num>
  <w:num w:numId="101">
    <w:abstractNumId w:val="15"/>
  </w:num>
  <w:num w:numId="102">
    <w:abstractNumId w:val="33"/>
  </w:num>
  <w:num w:numId="103">
    <w:abstractNumId w:val="68"/>
  </w:num>
  <w:num w:numId="104">
    <w:abstractNumId w:val="99"/>
  </w:num>
  <w:num w:numId="105">
    <w:abstractNumId w:val="54"/>
  </w:num>
  <w:num w:numId="106">
    <w:abstractNumId w:val="88"/>
  </w:num>
  <w:num w:numId="107">
    <w:abstractNumId w:val="106"/>
  </w:num>
  <w:num w:numId="108">
    <w:abstractNumId w:val="27"/>
  </w:num>
  <w:num w:numId="109">
    <w:abstractNumId w:val="17"/>
  </w:num>
  <w:num w:numId="110">
    <w:abstractNumId w:val="19"/>
  </w:num>
  <w:num w:numId="111">
    <w:abstractNumId w:val="61"/>
  </w:num>
  <w:num w:numId="112">
    <w:abstractNumId w:val="10"/>
  </w:num>
  <w:num w:numId="113">
    <w:abstractNumId w:val="0"/>
  </w:num>
  <w:num w:numId="114">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drawingGridHorizontalSpacing w:val="110"/>
  <w:drawingGridVerticalSpacing w:val="156"/>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MzFlZDhjOTcyOThjODkwMzg3YmE2ZDA1ZTU5NjgifQ=="/>
  </w:docVars>
  <w:rsids>
    <w:rsidRoot w:val="00172A27"/>
    <w:rsid w:val="0000149E"/>
    <w:rsid w:val="00002608"/>
    <w:rsid w:val="00007087"/>
    <w:rsid w:val="0000711C"/>
    <w:rsid w:val="000073FC"/>
    <w:rsid w:val="000107EC"/>
    <w:rsid w:val="00011674"/>
    <w:rsid w:val="00011D03"/>
    <w:rsid w:val="00013237"/>
    <w:rsid w:val="00013338"/>
    <w:rsid w:val="00014395"/>
    <w:rsid w:val="0001541A"/>
    <w:rsid w:val="00015A68"/>
    <w:rsid w:val="00016D47"/>
    <w:rsid w:val="00020138"/>
    <w:rsid w:val="0002016D"/>
    <w:rsid w:val="0002034D"/>
    <w:rsid w:val="00021F5A"/>
    <w:rsid w:val="00022E16"/>
    <w:rsid w:val="0002582F"/>
    <w:rsid w:val="00025D75"/>
    <w:rsid w:val="00025F78"/>
    <w:rsid w:val="000305C3"/>
    <w:rsid w:val="000311EC"/>
    <w:rsid w:val="00033377"/>
    <w:rsid w:val="0003432A"/>
    <w:rsid w:val="000352DA"/>
    <w:rsid w:val="000366DE"/>
    <w:rsid w:val="000372BD"/>
    <w:rsid w:val="00040ED5"/>
    <w:rsid w:val="00041B18"/>
    <w:rsid w:val="0004254F"/>
    <w:rsid w:val="00042D72"/>
    <w:rsid w:val="00043C39"/>
    <w:rsid w:val="00044021"/>
    <w:rsid w:val="00044234"/>
    <w:rsid w:val="0005014E"/>
    <w:rsid w:val="00050247"/>
    <w:rsid w:val="00051B54"/>
    <w:rsid w:val="000523DE"/>
    <w:rsid w:val="00052CE4"/>
    <w:rsid w:val="000545A2"/>
    <w:rsid w:val="00055228"/>
    <w:rsid w:val="00055BA8"/>
    <w:rsid w:val="00060392"/>
    <w:rsid w:val="00063737"/>
    <w:rsid w:val="000665BF"/>
    <w:rsid w:val="000666B7"/>
    <w:rsid w:val="00070810"/>
    <w:rsid w:val="000732B8"/>
    <w:rsid w:val="00076080"/>
    <w:rsid w:val="00077247"/>
    <w:rsid w:val="000776B5"/>
    <w:rsid w:val="000826B3"/>
    <w:rsid w:val="000851FD"/>
    <w:rsid w:val="00085843"/>
    <w:rsid w:val="00090D1E"/>
    <w:rsid w:val="00091E49"/>
    <w:rsid w:val="0009210E"/>
    <w:rsid w:val="00093068"/>
    <w:rsid w:val="00094085"/>
    <w:rsid w:val="00094ADC"/>
    <w:rsid w:val="00094F86"/>
    <w:rsid w:val="00095AD2"/>
    <w:rsid w:val="00095BF6"/>
    <w:rsid w:val="00096756"/>
    <w:rsid w:val="000A1E65"/>
    <w:rsid w:val="000A2B78"/>
    <w:rsid w:val="000A5A0D"/>
    <w:rsid w:val="000A6143"/>
    <w:rsid w:val="000A61C9"/>
    <w:rsid w:val="000A63CE"/>
    <w:rsid w:val="000B0541"/>
    <w:rsid w:val="000B083F"/>
    <w:rsid w:val="000B0946"/>
    <w:rsid w:val="000B2278"/>
    <w:rsid w:val="000B468D"/>
    <w:rsid w:val="000B499D"/>
    <w:rsid w:val="000C0190"/>
    <w:rsid w:val="000C0C83"/>
    <w:rsid w:val="000C0DEA"/>
    <w:rsid w:val="000C11FF"/>
    <w:rsid w:val="000C2363"/>
    <w:rsid w:val="000C3E7E"/>
    <w:rsid w:val="000C4290"/>
    <w:rsid w:val="000C5F8B"/>
    <w:rsid w:val="000C6DDC"/>
    <w:rsid w:val="000D0946"/>
    <w:rsid w:val="000D0C3F"/>
    <w:rsid w:val="000D1A3B"/>
    <w:rsid w:val="000D36CD"/>
    <w:rsid w:val="000D5C88"/>
    <w:rsid w:val="000D6034"/>
    <w:rsid w:val="000E0454"/>
    <w:rsid w:val="000E10E5"/>
    <w:rsid w:val="000E388D"/>
    <w:rsid w:val="000E3909"/>
    <w:rsid w:val="000E39BB"/>
    <w:rsid w:val="000E615B"/>
    <w:rsid w:val="000E622C"/>
    <w:rsid w:val="000E6983"/>
    <w:rsid w:val="000E7AF9"/>
    <w:rsid w:val="000F0B15"/>
    <w:rsid w:val="000F0CEB"/>
    <w:rsid w:val="000F48D0"/>
    <w:rsid w:val="000F4AB1"/>
    <w:rsid w:val="000F57B1"/>
    <w:rsid w:val="000F59BA"/>
    <w:rsid w:val="000F6259"/>
    <w:rsid w:val="000F68A0"/>
    <w:rsid w:val="000F75C4"/>
    <w:rsid w:val="001005C9"/>
    <w:rsid w:val="00101CE8"/>
    <w:rsid w:val="00102892"/>
    <w:rsid w:val="00102BE9"/>
    <w:rsid w:val="00106F2C"/>
    <w:rsid w:val="00107CBA"/>
    <w:rsid w:val="00110019"/>
    <w:rsid w:val="0011057A"/>
    <w:rsid w:val="00111600"/>
    <w:rsid w:val="00111AA0"/>
    <w:rsid w:val="00111FA6"/>
    <w:rsid w:val="00115E54"/>
    <w:rsid w:val="00115F85"/>
    <w:rsid w:val="00116823"/>
    <w:rsid w:val="00116B81"/>
    <w:rsid w:val="00116F24"/>
    <w:rsid w:val="00125540"/>
    <w:rsid w:val="001267B3"/>
    <w:rsid w:val="001268C0"/>
    <w:rsid w:val="00126DFE"/>
    <w:rsid w:val="00127E76"/>
    <w:rsid w:val="00127F09"/>
    <w:rsid w:val="00130E68"/>
    <w:rsid w:val="00135A8D"/>
    <w:rsid w:val="00136332"/>
    <w:rsid w:val="001379FB"/>
    <w:rsid w:val="00141602"/>
    <w:rsid w:val="00141FC7"/>
    <w:rsid w:val="00142F8D"/>
    <w:rsid w:val="001447BD"/>
    <w:rsid w:val="00146942"/>
    <w:rsid w:val="00150F99"/>
    <w:rsid w:val="0015174D"/>
    <w:rsid w:val="0015239E"/>
    <w:rsid w:val="00153F9B"/>
    <w:rsid w:val="00154437"/>
    <w:rsid w:val="00154572"/>
    <w:rsid w:val="00154C64"/>
    <w:rsid w:val="0015581C"/>
    <w:rsid w:val="00156546"/>
    <w:rsid w:val="00156DE7"/>
    <w:rsid w:val="00161ECD"/>
    <w:rsid w:val="0016213E"/>
    <w:rsid w:val="001649CE"/>
    <w:rsid w:val="00165623"/>
    <w:rsid w:val="00170465"/>
    <w:rsid w:val="00171642"/>
    <w:rsid w:val="00176353"/>
    <w:rsid w:val="001772A0"/>
    <w:rsid w:val="00177DD1"/>
    <w:rsid w:val="00180DD6"/>
    <w:rsid w:val="00181302"/>
    <w:rsid w:val="00181A6B"/>
    <w:rsid w:val="0018211F"/>
    <w:rsid w:val="0018347F"/>
    <w:rsid w:val="00184C9A"/>
    <w:rsid w:val="0018516C"/>
    <w:rsid w:val="00185737"/>
    <w:rsid w:val="00186EA7"/>
    <w:rsid w:val="001872A2"/>
    <w:rsid w:val="001935F8"/>
    <w:rsid w:val="00193B27"/>
    <w:rsid w:val="0019733B"/>
    <w:rsid w:val="00197D3A"/>
    <w:rsid w:val="001A4202"/>
    <w:rsid w:val="001A424A"/>
    <w:rsid w:val="001A42E9"/>
    <w:rsid w:val="001A4C98"/>
    <w:rsid w:val="001A5DBB"/>
    <w:rsid w:val="001A5E14"/>
    <w:rsid w:val="001A6315"/>
    <w:rsid w:val="001A7868"/>
    <w:rsid w:val="001A7DBD"/>
    <w:rsid w:val="001B0F7E"/>
    <w:rsid w:val="001B3BC1"/>
    <w:rsid w:val="001B43C4"/>
    <w:rsid w:val="001B541D"/>
    <w:rsid w:val="001B6768"/>
    <w:rsid w:val="001B7833"/>
    <w:rsid w:val="001C0F8B"/>
    <w:rsid w:val="001C1382"/>
    <w:rsid w:val="001C2EE9"/>
    <w:rsid w:val="001C3007"/>
    <w:rsid w:val="001C36D4"/>
    <w:rsid w:val="001C3E26"/>
    <w:rsid w:val="001C49F9"/>
    <w:rsid w:val="001C4AAA"/>
    <w:rsid w:val="001C58CA"/>
    <w:rsid w:val="001C5FBF"/>
    <w:rsid w:val="001C6267"/>
    <w:rsid w:val="001D1216"/>
    <w:rsid w:val="001D1779"/>
    <w:rsid w:val="001D21A6"/>
    <w:rsid w:val="001D2D2C"/>
    <w:rsid w:val="001D337A"/>
    <w:rsid w:val="001D3754"/>
    <w:rsid w:val="001D3B42"/>
    <w:rsid w:val="001D511E"/>
    <w:rsid w:val="001D613B"/>
    <w:rsid w:val="001D6166"/>
    <w:rsid w:val="001E1F64"/>
    <w:rsid w:val="001E2F13"/>
    <w:rsid w:val="001E679C"/>
    <w:rsid w:val="001E6E2F"/>
    <w:rsid w:val="001E7445"/>
    <w:rsid w:val="001F1579"/>
    <w:rsid w:val="001F17A5"/>
    <w:rsid w:val="001F2E35"/>
    <w:rsid w:val="001F3459"/>
    <w:rsid w:val="001F56FA"/>
    <w:rsid w:val="00200561"/>
    <w:rsid w:val="00201011"/>
    <w:rsid w:val="002019B6"/>
    <w:rsid w:val="00205A6C"/>
    <w:rsid w:val="00206141"/>
    <w:rsid w:val="0020771A"/>
    <w:rsid w:val="0020774F"/>
    <w:rsid w:val="002079EE"/>
    <w:rsid w:val="00207A7D"/>
    <w:rsid w:val="002113CC"/>
    <w:rsid w:val="00212777"/>
    <w:rsid w:val="00212A4B"/>
    <w:rsid w:val="00212C69"/>
    <w:rsid w:val="0021584D"/>
    <w:rsid w:val="00217195"/>
    <w:rsid w:val="002215D4"/>
    <w:rsid w:val="00223140"/>
    <w:rsid w:val="00224D81"/>
    <w:rsid w:val="00226967"/>
    <w:rsid w:val="00232256"/>
    <w:rsid w:val="00232D68"/>
    <w:rsid w:val="00233194"/>
    <w:rsid w:val="0023378B"/>
    <w:rsid w:val="00233A4B"/>
    <w:rsid w:val="002353C5"/>
    <w:rsid w:val="00236970"/>
    <w:rsid w:val="00236CC1"/>
    <w:rsid w:val="00240101"/>
    <w:rsid w:val="002442F9"/>
    <w:rsid w:val="00244A08"/>
    <w:rsid w:val="002479F2"/>
    <w:rsid w:val="002513EF"/>
    <w:rsid w:val="00252088"/>
    <w:rsid w:val="00254FE9"/>
    <w:rsid w:val="00255F00"/>
    <w:rsid w:val="00255F32"/>
    <w:rsid w:val="002602AE"/>
    <w:rsid w:val="002603FC"/>
    <w:rsid w:val="002626B0"/>
    <w:rsid w:val="002640A7"/>
    <w:rsid w:val="002641E8"/>
    <w:rsid w:val="00265F4D"/>
    <w:rsid w:val="002725F9"/>
    <w:rsid w:val="002727D6"/>
    <w:rsid w:val="00273A24"/>
    <w:rsid w:val="00274B45"/>
    <w:rsid w:val="00275237"/>
    <w:rsid w:val="00275333"/>
    <w:rsid w:val="00277E4E"/>
    <w:rsid w:val="00282EC5"/>
    <w:rsid w:val="0028319D"/>
    <w:rsid w:val="00283CB9"/>
    <w:rsid w:val="00284975"/>
    <w:rsid w:val="00285C08"/>
    <w:rsid w:val="00286215"/>
    <w:rsid w:val="002862C2"/>
    <w:rsid w:val="002867A1"/>
    <w:rsid w:val="00287EE0"/>
    <w:rsid w:val="002930B6"/>
    <w:rsid w:val="00293358"/>
    <w:rsid w:val="002933A5"/>
    <w:rsid w:val="002937E2"/>
    <w:rsid w:val="002961DA"/>
    <w:rsid w:val="00297B92"/>
    <w:rsid w:val="002A11FA"/>
    <w:rsid w:val="002A4014"/>
    <w:rsid w:val="002A57CA"/>
    <w:rsid w:val="002A5A04"/>
    <w:rsid w:val="002A657A"/>
    <w:rsid w:val="002A69F4"/>
    <w:rsid w:val="002B0950"/>
    <w:rsid w:val="002B2C45"/>
    <w:rsid w:val="002B460B"/>
    <w:rsid w:val="002B4981"/>
    <w:rsid w:val="002B4E68"/>
    <w:rsid w:val="002B7008"/>
    <w:rsid w:val="002B7315"/>
    <w:rsid w:val="002B74E5"/>
    <w:rsid w:val="002C2378"/>
    <w:rsid w:val="002C2CB0"/>
    <w:rsid w:val="002C2F07"/>
    <w:rsid w:val="002C328E"/>
    <w:rsid w:val="002C34DA"/>
    <w:rsid w:val="002C3F9B"/>
    <w:rsid w:val="002C426B"/>
    <w:rsid w:val="002C5888"/>
    <w:rsid w:val="002C5C9F"/>
    <w:rsid w:val="002C63CF"/>
    <w:rsid w:val="002C6494"/>
    <w:rsid w:val="002C68E0"/>
    <w:rsid w:val="002D07D3"/>
    <w:rsid w:val="002D1125"/>
    <w:rsid w:val="002D19B9"/>
    <w:rsid w:val="002D57B8"/>
    <w:rsid w:val="002E0582"/>
    <w:rsid w:val="002E0A62"/>
    <w:rsid w:val="002E39CE"/>
    <w:rsid w:val="002E3D7E"/>
    <w:rsid w:val="002E488B"/>
    <w:rsid w:val="002E502B"/>
    <w:rsid w:val="002E678F"/>
    <w:rsid w:val="002E7C86"/>
    <w:rsid w:val="002F0DDA"/>
    <w:rsid w:val="002F53D0"/>
    <w:rsid w:val="002F7D75"/>
    <w:rsid w:val="00301088"/>
    <w:rsid w:val="003014CC"/>
    <w:rsid w:val="003032FE"/>
    <w:rsid w:val="00307D53"/>
    <w:rsid w:val="003108D6"/>
    <w:rsid w:val="00312EF4"/>
    <w:rsid w:val="0031396D"/>
    <w:rsid w:val="00314920"/>
    <w:rsid w:val="0031524E"/>
    <w:rsid w:val="00322872"/>
    <w:rsid w:val="00322B05"/>
    <w:rsid w:val="00322DD4"/>
    <w:rsid w:val="003233E1"/>
    <w:rsid w:val="00323AD4"/>
    <w:rsid w:val="00325B5C"/>
    <w:rsid w:val="00325DF9"/>
    <w:rsid w:val="003267BE"/>
    <w:rsid w:val="00326CC4"/>
    <w:rsid w:val="00330FF4"/>
    <w:rsid w:val="003321B5"/>
    <w:rsid w:val="00335BE1"/>
    <w:rsid w:val="003362D8"/>
    <w:rsid w:val="0033661C"/>
    <w:rsid w:val="00341C00"/>
    <w:rsid w:val="0034207B"/>
    <w:rsid w:val="0034241A"/>
    <w:rsid w:val="0034298E"/>
    <w:rsid w:val="00343CAA"/>
    <w:rsid w:val="0034690E"/>
    <w:rsid w:val="00346995"/>
    <w:rsid w:val="00346E36"/>
    <w:rsid w:val="00350991"/>
    <w:rsid w:val="00351877"/>
    <w:rsid w:val="00351901"/>
    <w:rsid w:val="00351B61"/>
    <w:rsid w:val="003520C6"/>
    <w:rsid w:val="00356873"/>
    <w:rsid w:val="00356E88"/>
    <w:rsid w:val="00357069"/>
    <w:rsid w:val="0035782B"/>
    <w:rsid w:val="003606B2"/>
    <w:rsid w:val="003607E3"/>
    <w:rsid w:val="00360918"/>
    <w:rsid w:val="003610B2"/>
    <w:rsid w:val="00364269"/>
    <w:rsid w:val="003642A9"/>
    <w:rsid w:val="00364833"/>
    <w:rsid w:val="00364DA4"/>
    <w:rsid w:val="00365BF0"/>
    <w:rsid w:val="00367A86"/>
    <w:rsid w:val="00373131"/>
    <w:rsid w:val="003738B3"/>
    <w:rsid w:val="003756F2"/>
    <w:rsid w:val="00375BD5"/>
    <w:rsid w:val="00376C35"/>
    <w:rsid w:val="00377133"/>
    <w:rsid w:val="00381779"/>
    <w:rsid w:val="0038192E"/>
    <w:rsid w:val="0038313D"/>
    <w:rsid w:val="00387361"/>
    <w:rsid w:val="00387D90"/>
    <w:rsid w:val="00390284"/>
    <w:rsid w:val="00391426"/>
    <w:rsid w:val="00392E57"/>
    <w:rsid w:val="00393626"/>
    <w:rsid w:val="00395EE5"/>
    <w:rsid w:val="00396F45"/>
    <w:rsid w:val="003A10AE"/>
    <w:rsid w:val="003A1A58"/>
    <w:rsid w:val="003A27DD"/>
    <w:rsid w:val="003A45B3"/>
    <w:rsid w:val="003A4781"/>
    <w:rsid w:val="003A50CC"/>
    <w:rsid w:val="003A50E9"/>
    <w:rsid w:val="003A51F8"/>
    <w:rsid w:val="003A6B8E"/>
    <w:rsid w:val="003A7312"/>
    <w:rsid w:val="003A78BB"/>
    <w:rsid w:val="003B0251"/>
    <w:rsid w:val="003B3128"/>
    <w:rsid w:val="003B34E9"/>
    <w:rsid w:val="003B391E"/>
    <w:rsid w:val="003B4F07"/>
    <w:rsid w:val="003B6066"/>
    <w:rsid w:val="003B7ACE"/>
    <w:rsid w:val="003B7C9D"/>
    <w:rsid w:val="003C42F8"/>
    <w:rsid w:val="003C6DA7"/>
    <w:rsid w:val="003D45C4"/>
    <w:rsid w:val="003D4EFB"/>
    <w:rsid w:val="003D5273"/>
    <w:rsid w:val="003D6542"/>
    <w:rsid w:val="003D7004"/>
    <w:rsid w:val="003E13C4"/>
    <w:rsid w:val="003E20DA"/>
    <w:rsid w:val="003E2478"/>
    <w:rsid w:val="003E3FBC"/>
    <w:rsid w:val="003E567B"/>
    <w:rsid w:val="003E638A"/>
    <w:rsid w:val="003E6570"/>
    <w:rsid w:val="003E6833"/>
    <w:rsid w:val="003E7AAE"/>
    <w:rsid w:val="003F0F18"/>
    <w:rsid w:val="003F1022"/>
    <w:rsid w:val="003F1E37"/>
    <w:rsid w:val="003F2DBF"/>
    <w:rsid w:val="003F57A8"/>
    <w:rsid w:val="00401223"/>
    <w:rsid w:val="00402C08"/>
    <w:rsid w:val="0040517D"/>
    <w:rsid w:val="00405BFD"/>
    <w:rsid w:val="00406B7C"/>
    <w:rsid w:val="004076B9"/>
    <w:rsid w:val="004078AC"/>
    <w:rsid w:val="004102F0"/>
    <w:rsid w:val="00412E68"/>
    <w:rsid w:val="004145A8"/>
    <w:rsid w:val="004146A4"/>
    <w:rsid w:val="0041481A"/>
    <w:rsid w:val="00415F7A"/>
    <w:rsid w:val="00417219"/>
    <w:rsid w:val="00422765"/>
    <w:rsid w:val="00423869"/>
    <w:rsid w:val="00424E73"/>
    <w:rsid w:val="00425332"/>
    <w:rsid w:val="00425603"/>
    <w:rsid w:val="00426826"/>
    <w:rsid w:val="00427F3D"/>
    <w:rsid w:val="004300BA"/>
    <w:rsid w:val="00430649"/>
    <w:rsid w:val="004310BC"/>
    <w:rsid w:val="0043186B"/>
    <w:rsid w:val="00431D91"/>
    <w:rsid w:val="00432572"/>
    <w:rsid w:val="0043289D"/>
    <w:rsid w:val="00432A68"/>
    <w:rsid w:val="004335CE"/>
    <w:rsid w:val="00435382"/>
    <w:rsid w:val="00435B88"/>
    <w:rsid w:val="004374D4"/>
    <w:rsid w:val="004378E7"/>
    <w:rsid w:val="0044019A"/>
    <w:rsid w:val="00440FDB"/>
    <w:rsid w:val="00442D91"/>
    <w:rsid w:val="00443B86"/>
    <w:rsid w:val="00445707"/>
    <w:rsid w:val="00445936"/>
    <w:rsid w:val="00450D01"/>
    <w:rsid w:val="0045304E"/>
    <w:rsid w:val="0045618E"/>
    <w:rsid w:val="00456495"/>
    <w:rsid w:val="0045709E"/>
    <w:rsid w:val="004602E0"/>
    <w:rsid w:val="004609AC"/>
    <w:rsid w:val="00460BCF"/>
    <w:rsid w:val="00463705"/>
    <w:rsid w:val="004638B2"/>
    <w:rsid w:val="004652E0"/>
    <w:rsid w:val="00465C78"/>
    <w:rsid w:val="004674D7"/>
    <w:rsid w:val="004679E7"/>
    <w:rsid w:val="0047141B"/>
    <w:rsid w:val="00471A63"/>
    <w:rsid w:val="00472348"/>
    <w:rsid w:val="00472FFF"/>
    <w:rsid w:val="00473B24"/>
    <w:rsid w:val="00474074"/>
    <w:rsid w:val="00476F3F"/>
    <w:rsid w:val="004775AD"/>
    <w:rsid w:val="00480013"/>
    <w:rsid w:val="0048007E"/>
    <w:rsid w:val="00480082"/>
    <w:rsid w:val="00483A95"/>
    <w:rsid w:val="00484A2B"/>
    <w:rsid w:val="00484CE8"/>
    <w:rsid w:val="004856E7"/>
    <w:rsid w:val="00490145"/>
    <w:rsid w:val="00492A00"/>
    <w:rsid w:val="00492B07"/>
    <w:rsid w:val="00494112"/>
    <w:rsid w:val="00495909"/>
    <w:rsid w:val="00495C2B"/>
    <w:rsid w:val="004A00B9"/>
    <w:rsid w:val="004A155F"/>
    <w:rsid w:val="004A1F7B"/>
    <w:rsid w:val="004A2283"/>
    <w:rsid w:val="004A318B"/>
    <w:rsid w:val="004A3357"/>
    <w:rsid w:val="004A5D5A"/>
    <w:rsid w:val="004A5F35"/>
    <w:rsid w:val="004B4590"/>
    <w:rsid w:val="004B65A4"/>
    <w:rsid w:val="004B663B"/>
    <w:rsid w:val="004C0673"/>
    <w:rsid w:val="004C19B2"/>
    <w:rsid w:val="004C1B70"/>
    <w:rsid w:val="004C2111"/>
    <w:rsid w:val="004C2F13"/>
    <w:rsid w:val="004C3FC7"/>
    <w:rsid w:val="004C424E"/>
    <w:rsid w:val="004C432F"/>
    <w:rsid w:val="004C5C0E"/>
    <w:rsid w:val="004C5D28"/>
    <w:rsid w:val="004C6504"/>
    <w:rsid w:val="004C7516"/>
    <w:rsid w:val="004C7A8C"/>
    <w:rsid w:val="004D009C"/>
    <w:rsid w:val="004D05BD"/>
    <w:rsid w:val="004D0CAB"/>
    <w:rsid w:val="004D1ADD"/>
    <w:rsid w:val="004D2683"/>
    <w:rsid w:val="004D43FD"/>
    <w:rsid w:val="004D5284"/>
    <w:rsid w:val="004D59BD"/>
    <w:rsid w:val="004D6003"/>
    <w:rsid w:val="004D650C"/>
    <w:rsid w:val="004D7536"/>
    <w:rsid w:val="004E0420"/>
    <w:rsid w:val="004E094B"/>
    <w:rsid w:val="004E2257"/>
    <w:rsid w:val="004E3442"/>
    <w:rsid w:val="004E56BA"/>
    <w:rsid w:val="004E5E1C"/>
    <w:rsid w:val="004E686D"/>
    <w:rsid w:val="004E69C5"/>
    <w:rsid w:val="004E6A31"/>
    <w:rsid w:val="004F0330"/>
    <w:rsid w:val="004F1A03"/>
    <w:rsid w:val="004F3049"/>
    <w:rsid w:val="004F420A"/>
    <w:rsid w:val="00501608"/>
    <w:rsid w:val="00502D37"/>
    <w:rsid w:val="00503B44"/>
    <w:rsid w:val="00503F4E"/>
    <w:rsid w:val="00507C30"/>
    <w:rsid w:val="00507F8A"/>
    <w:rsid w:val="0051082F"/>
    <w:rsid w:val="005121D1"/>
    <w:rsid w:val="00512E68"/>
    <w:rsid w:val="00512E90"/>
    <w:rsid w:val="005130BE"/>
    <w:rsid w:val="0051360E"/>
    <w:rsid w:val="00514D75"/>
    <w:rsid w:val="00516787"/>
    <w:rsid w:val="00521184"/>
    <w:rsid w:val="00521341"/>
    <w:rsid w:val="00522B8D"/>
    <w:rsid w:val="00526139"/>
    <w:rsid w:val="005300D0"/>
    <w:rsid w:val="00530330"/>
    <w:rsid w:val="005311BB"/>
    <w:rsid w:val="00533DF3"/>
    <w:rsid w:val="0053460E"/>
    <w:rsid w:val="005410F8"/>
    <w:rsid w:val="00541BAF"/>
    <w:rsid w:val="00542DCC"/>
    <w:rsid w:val="005431C7"/>
    <w:rsid w:val="0054430D"/>
    <w:rsid w:val="00544763"/>
    <w:rsid w:val="0054659D"/>
    <w:rsid w:val="00546A8C"/>
    <w:rsid w:val="005472FA"/>
    <w:rsid w:val="0055070C"/>
    <w:rsid w:val="005508C8"/>
    <w:rsid w:val="0055465E"/>
    <w:rsid w:val="00555311"/>
    <w:rsid w:val="005553C7"/>
    <w:rsid w:val="005611F0"/>
    <w:rsid w:val="005621BC"/>
    <w:rsid w:val="00563397"/>
    <w:rsid w:val="00564C1D"/>
    <w:rsid w:val="0056562A"/>
    <w:rsid w:val="0056599C"/>
    <w:rsid w:val="00566922"/>
    <w:rsid w:val="005702B9"/>
    <w:rsid w:val="00571EB5"/>
    <w:rsid w:val="0057311F"/>
    <w:rsid w:val="00573F6C"/>
    <w:rsid w:val="00574A86"/>
    <w:rsid w:val="0057538F"/>
    <w:rsid w:val="0058076A"/>
    <w:rsid w:val="00580FC0"/>
    <w:rsid w:val="00583348"/>
    <w:rsid w:val="005855FC"/>
    <w:rsid w:val="00587012"/>
    <w:rsid w:val="00587A9B"/>
    <w:rsid w:val="0059458F"/>
    <w:rsid w:val="005959B7"/>
    <w:rsid w:val="00597B4E"/>
    <w:rsid w:val="005A0447"/>
    <w:rsid w:val="005A07A3"/>
    <w:rsid w:val="005A09EF"/>
    <w:rsid w:val="005A43A6"/>
    <w:rsid w:val="005A560C"/>
    <w:rsid w:val="005A5983"/>
    <w:rsid w:val="005A7292"/>
    <w:rsid w:val="005B0702"/>
    <w:rsid w:val="005B16C9"/>
    <w:rsid w:val="005B27C0"/>
    <w:rsid w:val="005B355D"/>
    <w:rsid w:val="005B45DD"/>
    <w:rsid w:val="005B536C"/>
    <w:rsid w:val="005B5AA6"/>
    <w:rsid w:val="005B66D1"/>
    <w:rsid w:val="005B6F81"/>
    <w:rsid w:val="005C144B"/>
    <w:rsid w:val="005C25FB"/>
    <w:rsid w:val="005C2938"/>
    <w:rsid w:val="005C2D4C"/>
    <w:rsid w:val="005C35AC"/>
    <w:rsid w:val="005C39CD"/>
    <w:rsid w:val="005C4529"/>
    <w:rsid w:val="005C461C"/>
    <w:rsid w:val="005C5FBF"/>
    <w:rsid w:val="005D0938"/>
    <w:rsid w:val="005D0AE8"/>
    <w:rsid w:val="005D10F1"/>
    <w:rsid w:val="005D357E"/>
    <w:rsid w:val="005D3745"/>
    <w:rsid w:val="005D61CB"/>
    <w:rsid w:val="005D6C13"/>
    <w:rsid w:val="005D7027"/>
    <w:rsid w:val="005D703E"/>
    <w:rsid w:val="005D774A"/>
    <w:rsid w:val="005E03D9"/>
    <w:rsid w:val="005E1E57"/>
    <w:rsid w:val="005E4434"/>
    <w:rsid w:val="005E455A"/>
    <w:rsid w:val="005E71FD"/>
    <w:rsid w:val="005F0A56"/>
    <w:rsid w:val="005F0D7E"/>
    <w:rsid w:val="005F1909"/>
    <w:rsid w:val="005F2349"/>
    <w:rsid w:val="005F49F4"/>
    <w:rsid w:val="005F58F5"/>
    <w:rsid w:val="005F6F39"/>
    <w:rsid w:val="005F7A13"/>
    <w:rsid w:val="006000D5"/>
    <w:rsid w:val="00600808"/>
    <w:rsid w:val="00603178"/>
    <w:rsid w:val="006032E2"/>
    <w:rsid w:val="00603799"/>
    <w:rsid w:val="006045ED"/>
    <w:rsid w:val="006102DC"/>
    <w:rsid w:val="006116DC"/>
    <w:rsid w:val="00611A83"/>
    <w:rsid w:val="00611FCF"/>
    <w:rsid w:val="00612345"/>
    <w:rsid w:val="006132D4"/>
    <w:rsid w:val="006140D4"/>
    <w:rsid w:val="00614265"/>
    <w:rsid w:val="0061642B"/>
    <w:rsid w:val="006179A9"/>
    <w:rsid w:val="006209A1"/>
    <w:rsid w:val="00620AC9"/>
    <w:rsid w:val="0062134D"/>
    <w:rsid w:val="0062151F"/>
    <w:rsid w:val="00622143"/>
    <w:rsid w:val="00622400"/>
    <w:rsid w:val="00624281"/>
    <w:rsid w:val="006252BB"/>
    <w:rsid w:val="00625395"/>
    <w:rsid w:val="006262F7"/>
    <w:rsid w:val="0063190D"/>
    <w:rsid w:val="00634578"/>
    <w:rsid w:val="00635D31"/>
    <w:rsid w:val="0063754A"/>
    <w:rsid w:val="00637C78"/>
    <w:rsid w:val="00640EDA"/>
    <w:rsid w:val="0064203E"/>
    <w:rsid w:val="0064243D"/>
    <w:rsid w:val="00645EDF"/>
    <w:rsid w:val="00647983"/>
    <w:rsid w:val="006504E0"/>
    <w:rsid w:val="006506A8"/>
    <w:rsid w:val="006512BE"/>
    <w:rsid w:val="00652114"/>
    <w:rsid w:val="006537B2"/>
    <w:rsid w:val="006538B0"/>
    <w:rsid w:val="00654684"/>
    <w:rsid w:val="00656498"/>
    <w:rsid w:val="00657ABE"/>
    <w:rsid w:val="00657FA8"/>
    <w:rsid w:val="00660DAD"/>
    <w:rsid w:val="00665177"/>
    <w:rsid w:val="00666178"/>
    <w:rsid w:val="006668B2"/>
    <w:rsid w:val="00670018"/>
    <w:rsid w:val="00671143"/>
    <w:rsid w:val="006718B7"/>
    <w:rsid w:val="006724A4"/>
    <w:rsid w:val="00672547"/>
    <w:rsid w:val="0067300C"/>
    <w:rsid w:val="00681D6D"/>
    <w:rsid w:val="00682BC6"/>
    <w:rsid w:val="00686346"/>
    <w:rsid w:val="00686C98"/>
    <w:rsid w:val="00691128"/>
    <w:rsid w:val="006917A0"/>
    <w:rsid w:val="0069247C"/>
    <w:rsid w:val="00692BB4"/>
    <w:rsid w:val="00693D11"/>
    <w:rsid w:val="006956C9"/>
    <w:rsid w:val="0069582D"/>
    <w:rsid w:val="006A1B67"/>
    <w:rsid w:val="006A2BB9"/>
    <w:rsid w:val="006A5B18"/>
    <w:rsid w:val="006B3059"/>
    <w:rsid w:val="006B3904"/>
    <w:rsid w:val="006B48C7"/>
    <w:rsid w:val="006B653A"/>
    <w:rsid w:val="006B786F"/>
    <w:rsid w:val="006B7EC6"/>
    <w:rsid w:val="006C01D5"/>
    <w:rsid w:val="006C0A7B"/>
    <w:rsid w:val="006C0D10"/>
    <w:rsid w:val="006C128C"/>
    <w:rsid w:val="006C138B"/>
    <w:rsid w:val="006C2424"/>
    <w:rsid w:val="006C41DC"/>
    <w:rsid w:val="006C6B92"/>
    <w:rsid w:val="006C6F63"/>
    <w:rsid w:val="006D047F"/>
    <w:rsid w:val="006D1A0F"/>
    <w:rsid w:val="006D2A47"/>
    <w:rsid w:val="006D60F8"/>
    <w:rsid w:val="006D6911"/>
    <w:rsid w:val="006D6CEA"/>
    <w:rsid w:val="006D6F8B"/>
    <w:rsid w:val="006D7E29"/>
    <w:rsid w:val="006E069C"/>
    <w:rsid w:val="006E0962"/>
    <w:rsid w:val="006E2588"/>
    <w:rsid w:val="006E2F81"/>
    <w:rsid w:val="006E37E0"/>
    <w:rsid w:val="006E4780"/>
    <w:rsid w:val="006F1B24"/>
    <w:rsid w:val="006F38A9"/>
    <w:rsid w:val="006F3DE3"/>
    <w:rsid w:val="006F46DA"/>
    <w:rsid w:val="006F5A33"/>
    <w:rsid w:val="006F74F8"/>
    <w:rsid w:val="0070456A"/>
    <w:rsid w:val="0070548B"/>
    <w:rsid w:val="007101E0"/>
    <w:rsid w:val="007109DB"/>
    <w:rsid w:val="00711205"/>
    <w:rsid w:val="00714B52"/>
    <w:rsid w:val="00717474"/>
    <w:rsid w:val="00717806"/>
    <w:rsid w:val="007207FF"/>
    <w:rsid w:val="00720F5C"/>
    <w:rsid w:val="00721C46"/>
    <w:rsid w:val="007224E4"/>
    <w:rsid w:val="0072355C"/>
    <w:rsid w:val="00724C16"/>
    <w:rsid w:val="00725ABC"/>
    <w:rsid w:val="007269A5"/>
    <w:rsid w:val="00726D11"/>
    <w:rsid w:val="0072756D"/>
    <w:rsid w:val="007327AC"/>
    <w:rsid w:val="00732F0B"/>
    <w:rsid w:val="00733552"/>
    <w:rsid w:val="00735315"/>
    <w:rsid w:val="00740995"/>
    <w:rsid w:val="00741062"/>
    <w:rsid w:val="007411A3"/>
    <w:rsid w:val="0074132A"/>
    <w:rsid w:val="00741B69"/>
    <w:rsid w:val="00742323"/>
    <w:rsid w:val="007444C3"/>
    <w:rsid w:val="00744835"/>
    <w:rsid w:val="007461F1"/>
    <w:rsid w:val="00750B45"/>
    <w:rsid w:val="00751BA8"/>
    <w:rsid w:val="0075215F"/>
    <w:rsid w:val="00756B16"/>
    <w:rsid w:val="00760322"/>
    <w:rsid w:val="007608E9"/>
    <w:rsid w:val="0076154F"/>
    <w:rsid w:val="0076159E"/>
    <w:rsid w:val="007644EE"/>
    <w:rsid w:val="00771ADD"/>
    <w:rsid w:val="0077377B"/>
    <w:rsid w:val="00773FAF"/>
    <w:rsid w:val="007743A2"/>
    <w:rsid w:val="00776FAB"/>
    <w:rsid w:val="00782220"/>
    <w:rsid w:val="0078231B"/>
    <w:rsid w:val="00783DB9"/>
    <w:rsid w:val="0078647C"/>
    <w:rsid w:val="007866A8"/>
    <w:rsid w:val="0078710E"/>
    <w:rsid w:val="007914A3"/>
    <w:rsid w:val="00793C4A"/>
    <w:rsid w:val="0079686A"/>
    <w:rsid w:val="00797578"/>
    <w:rsid w:val="00797C9E"/>
    <w:rsid w:val="007A0327"/>
    <w:rsid w:val="007A091F"/>
    <w:rsid w:val="007A151F"/>
    <w:rsid w:val="007A2CF7"/>
    <w:rsid w:val="007A3ECB"/>
    <w:rsid w:val="007A3EF8"/>
    <w:rsid w:val="007A3FF7"/>
    <w:rsid w:val="007A4705"/>
    <w:rsid w:val="007A6549"/>
    <w:rsid w:val="007B0FEA"/>
    <w:rsid w:val="007B2F3D"/>
    <w:rsid w:val="007B3831"/>
    <w:rsid w:val="007B6F28"/>
    <w:rsid w:val="007B770B"/>
    <w:rsid w:val="007B78B0"/>
    <w:rsid w:val="007C29D8"/>
    <w:rsid w:val="007C4779"/>
    <w:rsid w:val="007C5E91"/>
    <w:rsid w:val="007C7915"/>
    <w:rsid w:val="007D006F"/>
    <w:rsid w:val="007D02E5"/>
    <w:rsid w:val="007D0472"/>
    <w:rsid w:val="007D0D4A"/>
    <w:rsid w:val="007D19DC"/>
    <w:rsid w:val="007D1B95"/>
    <w:rsid w:val="007D1CE8"/>
    <w:rsid w:val="007D240B"/>
    <w:rsid w:val="007D6F95"/>
    <w:rsid w:val="007E0C1E"/>
    <w:rsid w:val="007E3541"/>
    <w:rsid w:val="007E58C1"/>
    <w:rsid w:val="007E6537"/>
    <w:rsid w:val="007E717B"/>
    <w:rsid w:val="007F2192"/>
    <w:rsid w:val="007F3651"/>
    <w:rsid w:val="007F4218"/>
    <w:rsid w:val="007F4282"/>
    <w:rsid w:val="007F4FEF"/>
    <w:rsid w:val="007F52D7"/>
    <w:rsid w:val="007F6C6F"/>
    <w:rsid w:val="008018D8"/>
    <w:rsid w:val="00802485"/>
    <w:rsid w:val="00802F5B"/>
    <w:rsid w:val="00803A25"/>
    <w:rsid w:val="0080456D"/>
    <w:rsid w:val="00804BC8"/>
    <w:rsid w:val="00805AD6"/>
    <w:rsid w:val="00805E53"/>
    <w:rsid w:val="00805E9D"/>
    <w:rsid w:val="00806291"/>
    <w:rsid w:val="00807DC7"/>
    <w:rsid w:val="0081078F"/>
    <w:rsid w:val="008113AA"/>
    <w:rsid w:val="00811E59"/>
    <w:rsid w:val="00813FF8"/>
    <w:rsid w:val="00814DDE"/>
    <w:rsid w:val="00815BAB"/>
    <w:rsid w:val="00815C73"/>
    <w:rsid w:val="00816EBB"/>
    <w:rsid w:val="0081777C"/>
    <w:rsid w:val="00821D98"/>
    <w:rsid w:val="00823630"/>
    <w:rsid w:val="0082572E"/>
    <w:rsid w:val="0082639C"/>
    <w:rsid w:val="00827B12"/>
    <w:rsid w:val="00830036"/>
    <w:rsid w:val="0083074A"/>
    <w:rsid w:val="008308CC"/>
    <w:rsid w:val="008310CD"/>
    <w:rsid w:val="00831142"/>
    <w:rsid w:val="0083366D"/>
    <w:rsid w:val="00835CB0"/>
    <w:rsid w:val="0084001A"/>
    <w:rsid w:val="0084521B"/>
    <w:rsid w:val="00845F95"/>
    <w:rsid w:val="00847393"/>
    <w:rsid w:val="008479A4"/>
    <w:rsid w:val="00850044"/>
    <w:rsid w:val="008527CA"/>
    <w:rsid w:val="0085521D"/>
    <w:rsid w:val="00855FE4"/>
    <w:rsid w:val="00856F75"/>
    <w:rsid w:val="008604C7"/>
    <w:rsid w:val="00863040"/>
    <w:rsid w:val="0086371E"/>
    <w:rsid w:val="00863AC0"/>
    <w:rsid w:val="008700E3"/>
    <w:rsid w:val="0087029A"/>
    <w:rsid w:val="0087277D"/>
    <w:rsid w:val="008728E4"/>
    <w:rsid w:val="00874948"/>
    <w:rsid w:val="00875099"/>
    <w:rsid w:val="008757A7"/>
    <w:rsid w:val="00876E5A"/>
    <w:rsid w:val="0087795C"/>
    <w:rsid w:val="00884288"/>
    <w:rsid w:val="008865BC"/>
    <w:rsid w:val="00887879"/>
    <w:rsid w:val="008904D3"/>
    <w:rsid w:val="00890905"/>
    <w:rsid w:val="008917E4"/>
    <w:rsid w:val="00891AA5"/>
    <w:rsid w:val="00895878"/>
    <w:rsid w:val="008958B3"/>
    <w:rsid w:val="008A20D9"/>
    <w:rsid w:val="008A2F51"/>
    <w:rsid w:val="008A40A9"/>
    <w:rsid w:val="008A414D"/>
    <w:rsid w:val="008A48BB"/>
    <w:rsid w:val="008A4EC9"/>
    <w:rsid w:val="008B18B1"/>
    <w:rsid w:val="008B4EC2"/>
    <w:rsid w:val="008B59B2"/>
    <w:rsid w:val="008B653F"/>
    <w:rsid w:val="008B76D8"/>
    <w:rsid w:val="008C13C4"/>
    <w:rsid w:val="008C1D75"/>
    <w:rsid w:val="008C235E"/>
    <w:rsid w:val="008C28C1"/>
    <w:rsid w:val="008C50E6"/>
    <w:rsid w:val="008C59EF"/>
    <w:rsid w:val="008C62AA"/>
    <w:rsid w:val="008D03FF"/>
    <w:rsid w:val="008D20A5"/>
    <w:rsid w:val="008D2E4A"/>
    <w:rsid w:val="008D3702"/>
    <w:rsid w:val="008D49EB"/>
    <w:rsid w:val="008D5FBC"/>
    <w:rsid w:val="008D699C"/>
    <w:rsid w:val="008D7D1C"/>
    <w:rsid w:val="008E05A1"/>
    <w:rsid w:val="008E0C60"/>
    <w:rsid w:val="008E1B07"/>
    <w:rsid w:val="008E316D"/>
    <w:rsid w:val="008E3D2D"/>
    <w:rsid w:val="008E3D70"/>
    <w:rsid w:val="008E3E63"/>
    <w:rsid w:val="008E5358"/>
    <w:rsid w:val="008E621F"/>
    <w:rsid w:val="008E65F5"/>
    <w:rsid w:val="008E7570"/>
    <w:rsid w:val="008F0AFF"/>
    <w:rsid w:val="008F0BE4"/>
    <w:rsid w:val="008F1CFB"/>
    <w:rsid w:val="008F3685"/>
    <w:rsid w:val="008F6945"/>
    <w:rsid w:val="008F70A1"/>
    <w:rsid w:val="008F757E"/>
    <w:rsid w:val="008F7955"/>
    <w:rsid w:val="00900F2C"/>
    <w:rsid w:val="00900F43"/>
    <w:rsid w:val="00903369"/>
    <w:rsid w:val="009049D8"/>
    <w:rsid w:val="009063D6"/>
    <w:rsid w:val="00907D13"/>
    <w:rsid w:val="009113DE"/>
    <w:rsid w:val="00911492"/>
    <w:rsid w:val="00911A5C"/>
    <w:rsid w:val="00913765"/>
    <w:rsid w:val="00914AD8"/>
    <w:rsid w:val="00915A5D"/>
    <w:rsid w:val="00915A9C"/>
    <w:rsid w:val="00915FE3"/>
    <w:rsid w:val="00916CEA"/>
    <w:rsid w:val="0092005F"/>
    <w:rsid w:val="00920218"/>
    <w:rsid w:val="00920755"/>
    <w:rsid w:val="00920F18"/>
    <w:rsid w:val="00921256"/>
    <w:rsid w:val="009217BB"/>
    <w:rsid w:val="009227EF"/>
    <w:rsid w:val="00923FCD"/>
    <w:rsid w:val="00923FEF"/>
    <w:rsid w:val="00924A2F"/>
    <w:rsid w:val="009266DA"/>
    <w:rsid w:val="00931AEC"/>
    <w:rsid w:val="00931FF5"/>
    <w:rsid w:val="00932A12"/>
    <w:rsid w:val="00933550"/>
    <w:rsid w:val="00933900"/>
    <w:rsid w:val="0093581D"/>
    <w:rsid w:val="0093749C"/>
    <w:rsid w:val="00937BFA"/>
    <w:rsid w:val="00945501"/>
    <w:rsid w:val="00945A77"/>
    <w:rsid w:val="00946C3F"/>
    <w:rsid w:val="00946CD6"/>
    <w:rsid w:val="00950E55"/>
    <w:rsid w:val="00951CDC"/>
    <w:rsid w:val="00953605"/>
    <w:rsid w:val="00953E5C"/>
    <w:rsid w:val="0095568D"/>
    <w:rsid w:val="009556AA"/>
    <w:rsid w:val="00955CF1"/>
    <w:rsid w:val="00956D33"/>
    <w:rsid w:val="00957575"/>
    <w:rsid w:val="00957F80"/>
    <w:rsid w:val="00960B5D"/>
    <w:rsid w:val="00960E07"/>
    <w:rsid w:val="00962A1C"/>
    <w:rsid w:val="0096446D"/>
    <w:rsid w:val="00964CF1"/>
    <w:rsid w:val="00966777"/>
    <w:rsid w:val="00967552"/>
    <w:rsid w:val="0097211B"/>
    <w:rsid w:val="0097515E"/>
    <w:rsid w:val="00977081"/>
    <w:rsid w:val="00981B9F"/>
    <w:rsid w:val="009835BC"/>
    <w:rsid w:val="00986122"/>
    <w:rsid w:val="00986601"/>
    <w:rsid w:val="00987F73"/>
    <w:rsid w:val="00992CE1"/>
    <w:rsid w:val="00993F70"/>
    <w:rsid w:val="00994877"/>
    <w:rsid w:val="009978D0"/>
    <w:rsid w:val="009A2D77"/>
    <w:rsid w:val="009A3817"/>
    <w:rsid w:val="009B011D"/>
    <w:rsid w:val="009B1004"/>
    <w:rsid w:val="009B1257"/>
    <w:rsid w:val="009B14BA"/>
    <w:rsid w:val="009B1AAD"/>
    <w:rsid w:val="009B28C4"/>
    <w:rsid w:val="009B28F6"/>
    <w:rsid w:val="009B3FCB"/>
    <w:rsid w:val="009B64EA"/>
    <w:rsid w:val="009B68A2"/>
    <w:rsid w:val="009C0B71"/>
    <w:rsid w:val="009C11C7"/>
    <w:rsid w:val="009C171F"/>
    <w:rsid w:val="009C3435"/>
    <w:rsid w:val="009C3ACF"/>
    <w:rsid w:val="009C4B9D"/>
    <w:rsid w:val="009C4C7E"/>
    <w:rsid w:val="009C4EC7"/>
    <w:rsid w:val="009C69EA"/>
    <w:rsid w:val="009C7EAF"/>
    <w:rsid w:val="009C7F36"/>
    <w:rsid w:val="009D03EA"/>
    <w:rsid w:val="009D1447"/>
    <w:rsid w:val="009D2A31"/>
    <w:rsid w:val="009D350F"/>
    <w:rsid w:val="009D3E70"/>
    <w:rsid w:val="009D500F"/>
    <w:rsid w:val="009D521B"/>
    <w:rsid w:val="009D552C"/>
    <w:rsid w:val="009D649F"/>
    <w:rsid w:val="009D7B5B"/>
    <w:rsid w:val="009E13A0"/>
    <w:rsid w:val="009E1EFE"/>
    <w:rsid w:val="009E2D3B"/>
    <w:rsid w:val="009E32B4"/>
    <w:rsid w:val="009E3853"/>
    <w:rsid w:val="009E5B18"/>
    <w:rsid w:val="009F1CBF"/>
    <w:rsid w:val="009F3D9F"/>
    <w:rsid w:val="009F420B"/>
    <w:rsid w:val="009F7A5E"/>
    <w:rsid w:val="00A018C5"/>
    <w:rsid w:val="00A03A2D"/>
    <w:rsid w:val="00A0441C"/>
    <w:rsid w:val="00A048EC"/>
    <w:rsid w:val="00A06FFA"/>
    <w:rsid w:val="00A10C81"/>
    <w:rsid w:val="00A111F1"/>
    <w:rsid w:val="00A12125"/>
    <w:rsid w:val="00A171D6"/>
    <w:rsid w:val="00A20A4E"/>
    <w:rsid w:val="00A21385"/>
    <w:rsid w:val="00A25283"/>
    <w:rsid w:val="00A30639"/>
    <w:rsid w:val="00A32DB0"/>
    <w:rsid w:val="00A330CE"/>
    <w:rsid w:val="00A3456C"/>
    <w:rsid w:val="00A355F7"/>
    <w:rsid w:val="00A356E2"/>
    <w:rsid w:val="00A36265"/>
    <w:rsid w:val="00A37C35"/>
    <w:rsid w:val="00A37D6D"/>
    <w:rsid w:val="00A4037C"/>
    <w:rsid w:val="00A413CB"/>
    <w:rsid w:val="00A42658"/>
    <w:rsid w:val="00A42C27"/>
    <w:rsid w:val="00A441E6"/>
    <w:rsid w:val="00A4475F"/>
    <w:rsid w:val="00A463C5"/>
    <w:rsid w:val="00A46C9E"/>
    <w:rsid w:val="00A47D45"/>
    <w:rsid w:val="00A509EC"/>
    <w:rsid w:val="00A50B04"/>
    <w:rsid w:val="00A5254B"/>
    <w:rsid w:val="00A52D4F"/>
    <w:rsid w:val="00A532F9"/>
    <w:rsid w:val="00A53331"/>
    <w:rsid w:val="00A54CE4"/>
    <w:rsid w:val="00A55F50"/>
    <w:rsid w:val="00A563E9"/>
    <w:rsid w:val="00A571FF"/>
    <w:rsid w:val="00A61BB5"/>
    <w:rsid w:val="00A628A1"/>
    <w:rsid w:val="00A62DCD"/>
    <w:rsid w:val="00A63408"/>
    <w:rsid w:val="00A64E5F"/>
    <w:rsid w:val="00A66AD5"/>
    <w:rsid w:val="00A70566"/>
    <w:rsid w:val="00A70890"/>
    <w:rsid w:val="00A720A8"/>
    <w:rsid w:val="00A725D5"/>
    <w:rsid w:val="00A72FDB"/>
    <w:rsid w:val="00A74736"/>
    <w:rsid w:val="00A74AD7"/>
    <w:rsid w:val="00A74FC4"/>
    <w:rsid w:val="00A75527"/>
    <w:rsid w:val="00A7648B"/>
    <w:rsid w:val="00A769F6"/>
    <w:rsid w:val="00A76C56"/>
    <w:rsid w:val="00A80BB1"/>
    <w:rsid w:val="00A815CF"/>
    <w:rsid w:val="00A818F5"/>
    <w:rsid w:val="00A83756"/>
    <w:rsid w:val="00A840B5"/>
    <w:rsid w:val="00A8455C"/>
    <w:rsid w:val="00A84E78"/>
    <w:rsid w:val="00A853DB"/>
    <w:rsid w:val="00A85F67"/>
    <w:rsid w:val="00A869C5"/>
    <w:rsid w:val="00A86CFB"/>
    <w:rsid w:val="00A87706"/>
    <w:rsid w:val="00A87FA6"/>
    <w:rsid w:val="00A90BBC"/>
    <w:rsid w:val="00A91C37"/>
    <w:rsid w:val="00A91EA2"/>
    <w:rsid w:val="00A92C41"/>
    <w:rsid w:val="00A93D43"/>
    <w:rsid w:val="00A94331"/>
    <w:rsid w:val="00A97AAC"/>
    <w:rsid w:val="00AA0620"/>
    <w:rsid w:val="00AA1386"/>
    <w:rsid w:val="00AA2133"/>
    <w:rsid w:val="00AA3466"/>
    <w:rsid w:val="00AA3CEC"/>
    <w:rsid w:val="00AB0428"/>
    <w:rsid w:val="00AB1E69"/>
    <w:rsid w:val="00AB423A"/>
    <w:rsid w:val="00AB4F91"/>
    <w:rsid w:val="00AB739B"/>
    <w:rsid w:val="00AC20CB"/>
    <w:rsid w:val="00AC2A31"/>
    <w:rsid w:val="00AC3DF0"/>
    <w:rsid w:val="00AC4B8A"/>
    <w:rsid w:val="00AC57DE"/>
    <w:rsid w:val="00AC62A5"/>
    <w:rsid w:val="00AC6904"/>
    <w:rsid w:val="00AD280B"/>
    <w:rsid w:val="00AD645F"/>
    <w:rsid w:val="00AD775C"/>
    <w:rsid w:val="00AE1446"/>
    <w:rsid w:val="00AE4AFD"/>
    <w:rsid w:val="00AE4BFD"/>
    <w:rsid w:val="00AE7612"/>
    <w:rsid w:val="00AF0337"/>
    <w:rsid w:val="00AF07DA"/>
    <w:rsid w:val="00AF3D83"/>
    <w:rsid w:val="00AF696D"/>
    <w:rsid w:val="00AF739D"/>
    <w:rsid w:val="00B00566"/>
    <w:rsid w:val="00B00F29"/>
    <w:rsid w:val="00B046ED"/>
    <w:rsid w:val="00B04AE4"/>
    <w:rsid w:val="00B060DE"/>
    <w:rsid w:val="00B076E5"/>
    <w:rsid w:val="00B076FD"/>
    <w:rsid w:val="00B1154F"/>
    <w:rsid w:val="00B115FE"/>
    <w:rsid w:val="00B122CD"/>
    <w:rsid w:val="00B13959"/>
    <w:rsid w:val="00B15046"/>
    <w:rsid w:val="00B179B5"/>
    <w:rsid w:val="00B2015E"/>
    <w:rsid w:val="00B20244"/>
    <w:rsid w:val="00B20BA8"/>
    <w:rsid w:val="00B21454"/>
    <w:rsid w:val="00B215AA"/>
    <w:rsid w:val="00B21825"/>
    <w:rsid w:val="00B219DF"/>
    <w:rsid w:val="00B223CB"/>
    <w:rsid w:val="00B22A3F"/>
    <w:rsid w:val="00B250E2"/>
    <w:rsid w:val="00B2621E"/>
    <w:rsid w:val="00B273EB"/>
    <w:rsid w:val="00B27484"/>
    <w:rsid w:val="00B30DA8"/>
    <w:rsid w:val="00B32B50"/>
    <w:rsid w:val="00B336C5"/>
    <w:rsid w:val="00B351AB"/>
    <w:rsid w:val="00B410BF"/>
    <w:rsid w:val="00B423A7"/>
    <w:rsid w:val="00B42D6D"/>
    <w:rsid w:val="00B43413"/>
    <w:rsid w:val="00B47372"/>
    <w:rsid w:val="00B47B79"/>
    <w:rsid w:val="00B47B8E"/>
    <w:rsid w:val="00B47BCE"/>
    <w:rsid w:val="00B51F9D"/>
    <w:rsid w:val="00B53568"/>
    <w:rsid w:val="00B55E3E"/>
    <w:rsid w:val="00B568CF"/>
    <w:rsid w:val="00B576CF"/>
    <w:rsid w:val="00B63FBA"/>
    <w:rsid w:val="00B6698F"/>
    <w:rsid w:val="00B71352"/>
    <w:rsid w:val="00B71A39"/>
    <w:rsid w:val="00B72E59"/>
    <w:rsid w:val="00B731DC"/>
    <w:rsid w:val="00B74160"/>
    <w:rsid w:val="00B74F4D"/>
    <w:rsid w:val="00B75A0F"/>
    <w:rsid w:val="00B75D63"/>
    <w:rsid w:val="00B77531"/>
    <w:rsid w:val="00B77E54"/>
    <w:rsid w:val="00B804F9"/>
    <w:rsid w:val="00B80AE6"/>
    <w:rsid w:val="00B815B4"/>
    <w:rsid w:val="00B824B7"/>
    <w:rsid w:val="00B860C5"/>
    <w:rsid w:val="00B86317"/>
    <w:rsid w:val="00B90F57"/>
    <w:rsid w:val="00B91E6A"/>
    <w:rsid w:val="00B92FD7"/>
    <w:rsid w:val="00B947FA"/>
    <w:rsid w:val="00B95993"/>
    <w:rsid w:val="00B9674F"/>
    <w:rsid w:val="00B97CAF"/>
    <w:rsid w:val="00BA0C77"/>
    <w:rsid w:val="00BA102B"/>
    <w:rsid w:val="00BA1674"/>
    <w:rsid w:val="00BA18F2"/>
    <w:rsid w:val="00BA2F84"/>
    <w:rsid w:val="00BA40EA"/>
    <w:rsid w:val="00BA45B5"/>
    <w:rsid w:val="00BA4E59"/>
    <w:rsid w:val="00BA7111"/>
    <w:rsid w:val="00BA78A1"/>
    <w:rsid w:val="00BB2515"/>
    <w:rsid w:val="00BB2C9D"/>
    <w:rsid w:val="00BB468A"/>
    <w:rsid w:val="00BB5A7B"/>
    <w:rsid w:val="00BB5D8E"/>
    <w:rsid w:val="00BB6260"/>
    <w:rsid w:val="00BC1498"/>
    <w:rsid w:val="00BC15CF"/>
    <w:rsid w:val="00BC3004"/>
    <w:rsid w:val="00BC30E8"/>
    <w:rsid w:val="00BC671D"/>
    <w:rsid w:val="00BC6B61"/>
    <w:rsid w:val="00BC74ED"/>
    <w:rsid w:val="00BC7C18"/>
    <w:rsid w:val="00BC7EFE"/>
    <w:rsid w:val="00BD0F55"/>
    <w:rsid w:val="00BD2065"/>
    <w:rsid w:val="00BD248C"/>
    <w:rsid w:val="00BD690C"/>
    <w:rsid w:val="00BD772C"/>
    <w:rsid w:val="00BE394D"/>
    <w:rsid w:val="00BE491B"/>
    <w:rsid w:val="00BE4B8A"/>
    <w:rsid w:val="00BE5600"/>
    <w:rsid w:val="00BF066D"/>
    <w:rsid w:val="00BF06F9"/>
    <w:rsid w:val="00BF17E6"/>
    <w:rsid w:val="00BF2B4A"/>
    <w:rsid w:val="00BF3192"/>
    <w:rsid w:val="00BF3441"/>
    <w:rsid w:val="00BF4B11"/>
    <w:rsid w:val="00BF54CC"/>
    <w:rsid w:val="00BF7386"/>
    <w:rsid w:val="00C00097"/>
    <w:rsid w:val="00C00116"/>
    <w:rsid w:val="00C030D4"/>
    <w:rsid w:val="00C041A7"/>
    <w:rsid w:val="00C05CC0"/>
    <w:rsid w:val="00C06175"/>
    <w:rsid w:val="00C071B5"/>
    <w:rsid w:val="00C07CFB"/>
    <w:rsid w:val="00C10AE0"/>
    <w:rsid w:val="00C146A3"/>
    <w:rsid w:val="00C146EF"/>
    <w:rsid w:val="00C14A7A"/>
    <w:rsid w:val="00C161D9"/>
    <w:rsid w:val="00C22115"/>
    <w:rsid w:val="00C225FD"/>
    <w:rsid w:val="00C2401D"/>
    <w:rsid w:val="00C25C5A"/>
    <w:rsid w:val="00C27532"/>
    <w:rsid w:val="00C27A38"/>
    <w:rsid w:val="00C30D20"/>
    <w:rsid w:val="00C31700"/>
    <w:rsid w:val="00C3436F"/>
    <w:rsid w:val="00C34B43"/>
    <w:rsid w:val="00C3544A"/>
    <w:rsid w:val="00C36535"/>
    <w:rsid w:val="00C365DF"/>
    <w:rsid w:val="00C3740D"/>
    <w:rsid w:val="00C3751F"/>
    <w:rsid w:val="00C3754A"/>
    <w:rsid w:val="00C37C3E"/>
    <w:rsid w:val="00C409F8"/>
    <w:rsid w:val="00C40FE9"/>
    <w:rsid w:val="00C426C2"/>
    <w:rsid w:val="00C43242"/>
    <w:rsid w:val="00C43287"/>
    <w:rsid w:val="00C477F3"/>
    <w:rsid w:val="00C50E46"/>
    <w:rsid w:val="00C517F5"/>
    <w:rsid w:val="00C526F7"/>
    <w:rsid w:val="00C53464"/>
    <w:rsid w:val="00C5612E"/>
    <w:rsid w:val="00C56E3C"/>
    <w:rsid w:val="00C63873"/>
    <w:rsid w:val="00C6402D"/>
    <w:rsid w:val="00C66C93"/>
    <w:rsid w:val="00C7149B"/>
    <w:rsid w:val="00C72E44"/>
    <w:rsid w:val="00C73152"/>
    <w:rsid w:val="00C73D30"/>
    <w:rsid w:val="00C73EA2"/>
    <w:rsid w:val="00C75D54"/>
    <w:rsid w:val="00C75F68"/>
    <w:rsid w:val="00C770DE"/>
    <w:rsid w:val="00C82BFD"/>
    <w:rsid w:val="00C84B65"/>
    <w:rsid w:val="00C84EF4"/>
    <w:rsid w:val="00C874C9"/>
    <w:rsid w:val="00C9030D"/>
    <w:rsid w:val="00C90415"/>
    <w:rsid w:val="00C90CFF"/>
    <w:rsid w:val="00C91560"/>
    <w:rsid w:val="00C9449D"/>
    <w:rsid w:val="00C948F0"/>
    <w:rsid w:val="00C94B55"/>
    <w:rsid w:val="00C94BC6"/>
    <w:rsid w:val="00C95636"/>
    <w:rsid w:val="00C95820"/>
    <w:rsid w:val="00C96602"/>
    <w:rsid w:val="00C97273"/>
    <w:rsid w:val="00C976CA"/>
    <w:rsid w:val="00CA016D"/>
    <w:rsid w:val="00CA561D"/>
    <w:rsid w:val="00CB20C2"/>
    <w:rsid w:val="00CB3B00"/>
    <w:rsid w:val="00CB3F90"/>
    <w:rsid w:val="00CB4EC6"/>
    <w:rsid w:val="00CC2124"/>
    <w:rsid w:val="00CC228E"/>
    <w:rsid w:val="00CC40E8"/>
    <w:rsid w:val="00CC6817"/>
    <w:rsid w:val="00CC7541"/>
    <w:rsid w:val="00CC78E2"/>
    <w:rsid w:val="00CD049F"/>
    <w:rsid w:val="00CD09EC"/>
    <w:rsid w:val="00CD19AA"/>
    <w:rsid w:val="00CD3573"/>
    <w:rsid w:val="00CD4769"/>
    <w:rsid w:val="00CD5761"/>
    <w:rsid w:val="00CD6C41"/>
    <w:rsid w:val="00CE0B9D"/>
    <w:rsid w:val="00CE1A06"/>
    <w:rsid w:val="00CE4C43"/>
    <w:rsid w:val="00CE4EF9"/>
    <w:rsid w:val="00CE6DF3"/>
    <w:rsid w:val="00CF0B13"/>
    <w:rsid w:val="00CF2B9D"/>
    <w:rsid w:val="00CF4A64"/>
    <w:rsid w:val="00CF7696"/>
    <w:rsid w:val="00D00090"/>
    <w:rsid w:val="00D048F6"/>
    <w:rsid w:val="00D050AF"/>
    <w:rsid w:val="00D053D7"/>
    <w:rsid w:val="00D06BA4"/>
    <w:rsid w:val="00D0744E"/>
    <w:rsid w:val="00D07CA8"/>
    <w:rsid w:val="00D07E65"/>
    <w:rsid w:val="00D100B9"/>
    <w:rsid w:val="00D1083D"/>
    <w:rsid w:val="00D17D0F"/>
    <w:rsid w:val="00D205F1"/>
    <w:rsid w:val="00D21EC1"/>
    <w:rsid w:val="00D23CA6"/>
    <w:rsid w:val="00D23EFD"/>
    <w:rsid w:val="00D24CD1"/>
    <w:rsid w:val="00D251A8"/>
    <w:rsid w:val="00D2596A"/>
    <w:rsid w:val="00D26B7F"/>
    <w:rsid w:val="00D270F3"/>
    <w:rsid w:val="00D3132F"/>
    <w:rsid w:val="00D31C05"/>
    <w:rsid w:val="00D329DC"/>
    <w:rsid w:val="00D36423"/>
    <w:rsid w:val="00D36C3D"/>
    <w:rsid w:val="00D41DB2"/>
    <w:rsid w:val="00D4238E"/>
    <w:rsid w:val="00D42AB1"/>
    <w:rsid w:val="00D433BC"/>
    <w:rsid w:val="00D45CB2"/>
    <w:rsid w:val="00D46500"/>
    <w:rsid w:val="00D47B29"/>
    <w:rsid w:val="00D502AD"/>
    <w:rsid w:val="00D514A5"/>
    <w:rsid w:val="00D524FF"/>
    <w:rsid w:val="00D52D69"/>
    <w:rsid w:val="00D55E10"/>
    <w:rsid w:val="00D5658E"/>
    <w:rsid w:val="00D57FCC"/>
    <w:rsid w:val="00D60C6F"/>
    <w:rsid w:val="00D63B44"/>
    <w:rsid w:val="00D64AEA"/>
    <w:rsid w:val="00D6600A"/>
    <w:rsid w:val="00D661C1"/>
    <w:rsid w:val="00D7064D"/>
    <w:rsid w:val="00D72607"/>
    <w:rsid w:val="00D7455C"/>
    <w:rsid w:val="00D7578E"/>
    <w:rsid w:val="00D770A7"/>
    <w:rsid w:val="00D83547"/>
    <w:rsid w:val="00D84468"/>
    <w:rsid w:val="00D85EE7"/>
    <w:rsid w:val="00D87A89"/>
    <w:rsid w:val="00D91347"/>
    <w:rsid w:val="00D928BF"/>
    <w:rsid w:val="00D95CD9"/>
    <w:rsid w:val="00D95DEE"/>
    <w:rsid w:val="00D9672B"/>
    <w:rsid w:val="00D97B09"/>
    <w:rsid w:val="00DA1800"/>
    <w:rsid w:val="00DA3D75"/>
    <w:rsid w:val="00DA3F90"/>
    <w:rsid w:val="00DA50C0"/>
    <w:rsid w:val="00DA55DB"/>
    <w:rsid w:val="00DA5E33"/>
    <w:rsid w:val="00DA5FDC"/>
    <w:rsid w:val="00DB08E4"/>
    <w:rsid w:val="00DB0EDC"/>
    <w:rsid w:val="00DB347E"/>
    <w:rsid w:val="00DB5636"/>
    <w:rsid w:val="00DB6682"/>
    <w:rsid w:val="00DB6CDE"/>
    <w:rsid w:val="00DC0579"/>
    <w:rsid w:val="00DC187F"/>
    <w:rsid w:val="00DC2384"/>
    <w:rsid w:val="00DC2B75"/>
    <w:rsid w:val="00DC3986"/>
    <w:rsid w:val="00DC3DF9"/>
    <w:rsid w:val="00DD14D3"/>
    <w:rsid w:val="00DD5303"/>
    <w:rsid w:val="00DD5EB4"/>
    <w:rsid w:val="00DD6275"/>
    <w:rsid w:val="00DD6E02"/>
    <w:rsid w:val="00DD7A47"/>
    <w:rsid w:val="00DE00F7"/>
    <w:rsid w:val="00DE0BD6"/>
    <w:rsid w:val="00DE2464"/>
    <w:rsid w:val="00DE447B"/>
    <w:rsid w:val="00DE4775"/>
    <w:rsid w:val="00DE650B"/>
    <w:rsid w:val="00DE693A"/>
    <w:rsid w:val="00DE6B42"/>
    <w:rsid w:val="00DE6CC0"/>
    <w:rsid w:val="00DE778F"/>
    <w:rsid w:val="00DE7A22"/>
    <w:rsid w:val="00DF11E7"/>
    <w:rsid w:val="00DF1A0A"/>
    <w:rsid w:val="00DF24FE"/>
    <w:rsid w:val="00DF34BD"/>
    <w:rsid w:val="00DF368C"/>
    <w:rsid w:val="00DF3830"/>
    <w:rsid w:val="00DF5E26"/>
    <w:rsid w:val="00DF5E80"/>
    <w:rsid w:val="00DF5E8F"/>
    <w:rsid w:val="00DF6098"/>
    <w:rsid w:val="00DF6B46"/>
    <w:rsid w:val="00DF7DD8"/>
    <w:rsid w:val="00E005C0"/>
    <w:rsid w:val="00E0100A"/>
    <w:rsid w:val="00E02439"/>
    <w:rsid w:val="00E030C8"/>
    <w:rsid w:val="00E04927"/>
    <w:rsid w:val="00E05A98"/>
    <w:rsid w:val="00E05C42"/>
    <w:rsid w:val="00E065E3"/>
    <w:rsid w:val="00E06D28"/>
    <w:rsid w:val="00E07970"/>
    <w:rsid w:val="00E14FFA"/>
    <w:rsid w:val="00E177AC"/>
    <w:rsid w:val="00E20F2F"/>
    <w:rsid w:val="00E21A35"/>
    <w:rsid w:val="00E2231B"/>
    <w:rsid w:val="00E232FD"/>
    <w:rsid w:val="00E24875"/>
    <w:rsid w:val="00E24AD1"/>
    <w:rsid w:val="00E24D87"/>
    <w:rsid w:val="00E25254"/>
    <w:rsid w:val="00E2694C"/>
    <w:rsid w:val="00E26DFE"/>
    <w:rsid w:val="00E27D1D"/>
    <w:rsid w:val="00E3217E"/>
    <w:rsid w:val="00E327AB"/>
    <w:rsid w:val="00E33648"/>
    <w:rsid w:val="00E352BC"/>
    <w:rsid w:val="00E354BD"/>
    <w:rsid w:val="00E35CD6"/>
    <w:rsid w:val="00E36A8C"/>
    <w:rsid w:val="00E40149"/>
    <w:rsid w:val="00E412D5"/>
    <w:rsid w:val="00E42CCB"/>
    <w:rsid w:val="00E45729"/>
    <w:rsid w:val="00E52263"/>
    <w:rsid w:val="00E54D21"/>
    <w:rsid w:val="00E55321"/>
    <w:rsid w:val="00E559BD"/>
    <w:rsid w:val="00E55A1E"/>
    <w:rsid w:val="00E55D6C"/>
    <w:rsid w:val="00E562D6"/>
    <w:rsid w:val="00E56FE5"/>
    <w:rsid w:val="00E571CD"/>
    <w:rsid w:val="00E60549"/>
    <w:rsid w:val="00E60DCF"/>
    <w:rsid w:val="00E611D2"/>
    <w:rsid w:val="00E62F21"/>
    <w:rsid w:val="00E641D1"/>
    <w:rsid w:val="00E644CC"/>
    <w:rsid w:val="00E6675F"/>
    <w:rsid w:val="00E66806"/>
    <w:rsid w:val="00E66D72"/>
    <w:rsid w:val="00E673EF"/>
    <w:rsid w:val="00E71BA1"/>
    <w:rsid w:val="00E732EF"/>
    <w:rsid w:val="00E73582"/>
    <w:rsid w:val="00E7431F"/>
    <w:rsid w:val="00E74FEB"/>
    <w:rsid w:val="00E75878"/>
    <w:rsid w:val="00E762B1"/>
    <w:rsid w:val="00E77084"/>
    <w:rsid w:val="00E819D8"/>
    <w:rsid w:val="00E831DF"/>
    <w:rsid w:val="00E83BCB"/>
    <w:rsid w:val="00E91E47"/>
    <w:rsid w:val="00E924CE"/>
    <w:rsid w:val="00E946A9"/>
    <w:rsid w:val="00E96397"/>
    <w:rsid w:val="00E97361"/>
    <w:rsid w:val="00EA1D68"/>
    <w:rsid w:val="00EA2200"/>
    <w:rsid w:val="00EA41DE"/>
    <w:rsid w:val="00EA46C1"/>
    <w:rsid w:val="00EA58EB"/>
    <w:rsid w:val="00EB0259"/>
    <w:rsid w:val="00EB0434"/>
    <w:rsid w:val="00EB12BA"/>
    <w:rsid w:val="00EB313B"/>
    <w:rsid w:val="00EB3F64"/>
    <w:rsid w:val="00EB5445"/>
    <w:rsid w:val="00EB55A2"/>
    <w:rsid w:val="00EB67F1"/>
    <w:rsid w:val="00EB6B75"/>
    <w:rsid w:val="00EC0CD9"/>
    <w:rsid w:val="00EC1E3B"/>
    <w:rsid w:val="00EC2384"/>
    <w:rsid w:val="00EC56D1"/>
    <w:rsid w:val="00ED095E"/>
    <w:rsid w:val="00ED0AEA"/>
    <w:rsid w:val="00ED0CFA"/>
    <w:rsid w:val="00ED1603"/>
    <w:rsid w:val="00ED32A3"/>
    <w:rsid w:val="00ED38DE"/>
    <w:rsid w:val="00ED463E"/>
    <w:rsid w:val="00ED4C2B"/>
    <w:rsid w:val="00EE1D31"/>
    <w:rsid w:val="00EE1E93"/>
    <w:rsid w:val="00EE45BC"/>
    <w:rsid w:val="00EE47A0"/>
    <w:rsid w:val="00EE5E49"/>
    <w:rsid w:val="00EE6A73"/>
    <w:rsid w:val="00EE7E11"/>
    <w:rsid w:val="00EF09C4"/>
    <w:rsid w:val="00EF14AE"/>
    <w:rsid w:val="00EF2C1C"/>
    <w:rsid w:val="00EF30D7"/>
    <w:rsid w:val="00EF3456"/>
    <w:rsid w:val="00EF4D7A"/>
    <w:rsid w:val="00EF6C94"/>
    <w:rsid w:val="00EF7FB1"/>
    <w:rsid w:val="00F0041A"/>
    <w:rsid w:val="00F00A9D"/>
    <w:rsid w:val="00F039C1"/>
    <w:rsid w:val="00F07656"/>
    <w:rsid w:val="00F07A5A"/>
    <w:rsid w:val="00F115EA"/>
    <w:rsid w:val="00F206C2"/>
    <w:rsid w:val="00F20A7A"/>
    <w:rsid w:val="00F218E2"/>
    <w:rsid w:val="00F21A94"/>
    <w:rsid w:val="00F229C1"/>
    <w:rsid w:val="00F24913"/>
    <w:rsid w:val="00F323CE"/>
    <w:rsid w:val="00F32F38"/>
    <w:rsid w:val="00F347F7"/>
    <w:rsid w:val="00F35343"/>
    <w:rsid w:val="00F35AC0"/>
    <w:rsid w:val="00F37E1A"/>
    <w:rsid w:val="00F418EB"/>
    <w:rsid w:val="00F41EDD"/>
    <w:rsid w:val="00F429EB"/>
    <w:rsid w:val="00F434E8"/>
    <w:rsid w:val="00F45C0B"/>
    <w:rsid w:val="00F46868"/>
    <w:rsid w:val="00F50803"/>
    <w:rsid w:val="00F508B1"/>
    <w:rsid w:val="00F52202"/>
    <w:rsid w:val="00F53369"/>
    <w:rsid w:val="00F53934"/>
    <w:rsid w:val="00F55518"/>
    <w:rsid w:val="00F5614F"/>
    <w:rsid w:val="00F57C4F"/>
    <w:rsid w:val="00F603B4"/>
    <w:rsid w:val="00F62F69"/>
    <w:rsid w:val="00F63C13"/>
    <w:rsid w:val="00F64620"/>
    <w:rsid w:val="00F65028"/>
    <w:rsid w:val="00F66843"/>
    <w:rsid w:val="00F66CD5"/>
    <w:rsid w:val="00F67071"/>
    <w:rsid w:val="00F670D2"/>
    <w:rsid w:val="00F67D25"/>
    <w:rsid w:val="00F739EC"/>
    <w:rsid w:val="00F73DB7"/>
    <w:rsid w:val="00F73F06"/>
    <w:rsid w:val="00F74548"/>
    <w:rsid w:val="00F747FC"/>
    <w:rsid w:val="00F770AB"/>
    <w:rsid w:val="00F77A70"/>
    <w:rsid w:val="00F77C00"/>
    <w:rsid w:val="00F81759"/>
    <w:rsid w:val="00F8309C"/>
    <w:rsid w:val="00F84270"/>
    <w:rsid w:val="00F84DD7"/>
    <w:rsid w:val="00F85361"/>
    <w:rsid w:val="00F90299"/>
    <w:rsid w:val="00F90748"/>
    <w:rsid w:val="00F91101"/>
    <w:rsid w:val="00F915B4"/>
    <w:rsid w:val="00F91BD7"/>
    <w:rsid w:val="00F91C5B"/>
    <w:rsid w:val="00F93F28"/>
    <w:rsid w:val="00F94772"/>
    <w:rsid w:val="00F9630A"/>
    <w:rsid w:val="00FA02E0"/>
    <w:rsid w:val="00FA0750"/>
    <w:rsid w:val="00FA113A"/>
    <w:rsid w:val="00FA49AF"/>
    <w:rsid w:val="00FA4C36"/>
    <w:rsid w:val="00FA4C7C"/>
    <w:rsid w:val="00FA7671"/>
    <w:rsid w:val="00FB14DC"/>
    <w:rsid w:val="00FB2E5F"/>
    <w:rsid w:val="00FB3D82"/>
    <w:rsid w:val="00FB4000"/>
    <w:rsid w:val="00FB41F7"/>
    <w:rsid w:val="00FB5F3C"/>
    <w:rsid w:val="00FC1358"/>
    <w:rsid w:val="00FC385A"/>
    <w:rsid w:val="00FC3BCE"/>
    <w:rsid w:val="00FC3C21"/>
    <w:rsid w:val="00FC76C2"/>
    <w:rsid w:val="00FD0BA8"/>
    <w:rsid w:val="00FD1074"/>
    <w:rsid w:val="00FD4AA8"/>
    <w:rsid w:val="00FD4CFA"/>
    <w:rsid w:val="00FD7E06"/>
    <w:rsid w:val="00FE01CE"/>
    <w:rsid w:val="00FE12DD"/>
    <w:rsid w:val="00FE1763"/>
    <w:rsid w:val="00FE270B"/>
    <w:rsid w:val="00FE3290"/>
    <w:rsid w:val="00FE6F0B"/>
    <w:rsid w:val="00FF0BEE"/>
    <w:rsid w:val="00FF1400"/>
    <w:rsid w:val="00FF2A68"/>
    <w:rsid w:val="00FF4159"/>
    <w:rsid w:val="00FF4C3E"/>
    <w:rsid w:val="00FF4FFE"/>
    <w:rsid w:val="010F4E82"/>
    <w:rsid w:val="01265D88"/>
    <w:rsid w:val="012A60A1"/>
    <w:rsid w:val="012B4701"/>
    <w:rsid w:val="01311D17"/>
    <w:rsid w:val="01397F62"/>
    <w:rsid w:val="013B7FED"/>
    <w:rsid w:val="01661D0D"/>
    <w:rsid w:val="01675739"/>
    <w:rsid w:val="017301E3"/>
    <w:rsid w:val="01802811"/>
    <w:rsid w:val="01885D28"/>
    <w:rsid w:val="01934EB9"/>
    <w:rsid w:val="01956AAB"/>
    <w:rsid w:val="019A0F35"/>
    <w:rsid w:val="019B557D"/>
    <w:rsid w:val="019E0089"/>
    <w:rsid w:val="01A60BB9"/>
    <w:rsid w:val="01AC7479"/>
    <w:rsid w:val="01B12E58"/>
    <w:rsid w:val="01C963F3"/>
    <w:rsid w:val="01CE351C"/>
    <w:rsid w:val="01DA6BFB"/>
    <w:rsid w:val="01DD1E9F"/>
    <w:rsid w:val="01DE1C87"/>
    <w:rsid w:val="01EE5E5A"/>
    <w:rsid w:val="01FE62A4"/>
    <w:rsid w:val="0213528E"/>
    <w:rsid w:val="02160F0D"/>
    <w:rsid w:val="02210631"/>
    <w:rsid w:val="02223D56"/>
    <w:rsid w:val="02291994"/>
    <w:rsid w:val="0236335D"/>
    <w:rsid w:val="02477A6D"/>
    <w:rsid w:val="024C0DD3"/>
    <w:rsid w:val="0254471B"/>
    <w:rsid w:val="02673445"/>
    <w:rsid w:val="02690136"/>
    <w:rsid w:val="02964C4E"/>
    <w:rsid w:val="02A17E5E"/>
    <w:rsid w:val="02CD5A6F"/>
    <w:rsid w:val="02D07464"/>
    <w:rsid w:val="02D35143"/>
    <w:rsid w:val="02DF39F5"/>
    <w:rsid w:val="02E723FE"/>
    <w:rsid w:val="02F94AB6"/>
    <w:rsid w:val="030957F7"/>
    <w:rsid w:val="03095B27"/>
    <w:rsid w:val="03190CB5"/>
    <w:rsid w:val="03192A63"/>
    <w:rsid w:val="033D5AAB"/>
    <w:rsid w:val="03446662"/>
    <w:rsid w:val="035A33E5"/>
    <w:rsid w:val="0365214C"/>
    <w:rsid w:val="03660BC5"/>
    <w:rsid w:val="0368362D"/>
    <w:rsid w:val="036D08EA"/>
    <w:rsid w:val="03813372"/>
    <w:rsid w:val="03920A67"/>
    <w:rsid w:val="039531D3"/>
    <w:rsid w:val="03B35954"/>
    <w:rsid w:val="03C415E3"/>
    <w:rsid w:val="03C97750"/>
    <w:rsid w:val="03D42E2E"/>
    <w:rsid w:val="03DD592C"/>
    <w:rsid w:val="03E7552B"/>
    <w:rsid w:val="03EA33AB"/>
    <w:rsid w:val="03F23200"/>
    <w:rsid w:val="0405206D"/>
    <w:rsid w:val="0409766A"/>
    <w:rsid w:val="04131BA8"/>
    <w:rsid w:val="04491966"/>
    <w:rsid w:val="04545D1C"/>
    <w:rsid w:val="04565F0C"/>
    <w:rsid w:val="04583A5F"/>
    <w:rsid w:val="04642403"/>
    <w:rsid w:val="04651CD8"/>
    <w:rsid w:val="046917C8"/>
    <w:rsid w:val="0475016D"/>
    <w:rsid w:val="047A66D4"/>
    <w:rsid w:val="047C572D"/>
    <w:rsid w:val="047D5273"/>
    <w:rsid w:val="04800661"/>
    <w:rsid w:val="04836EC1"/>
    <w:rsid w:val="04844854"/>
    <w:rsid w:val="0490190F"/>
    <w:rsid w:val="049327EB"/>
    <w:rsid w:val="04AC0BD2"/>
    <w:rsid w:val="04AE367F"/>
    <w:rsid w:val="04AE46D1"/>
    <w:rsid w:val="04C05230"/>
    <w:rsid w:val="04C345E3"/>
    <w:rsid w:val="04CA265F"/>
    <w:rsid w:val="04CB6271"/>
    <w:rsid w:val="04CC74D2"/>
    <w:rsid w:val="04EA35B2"/>
    <w:rsid w:val="05096B07"/>
    <w:rsid w:val="050E35C4"/>
    <w:rsid w:val="051A0D14"/>
    <w:rsid w:val="051B12D0"/>
    <w:rsid w:val="052C3736"/>
    <w:rsid w:val="052E656D"/>
    <w:rsid w:val="054364BD"/>
    <w:rsid w:val="054647BB"/>
    <w:rsid w:val="05485881"/>
    <w:rsid w:val="054D733B"/>
    <w:rsid w:val="054F0081"/>
    <w:rsid w:val="055406CA"/>
    <w:rsid w:val="05620C1A"/>
    <w:rsid w:val="05631463"/>
    <w:rsid w:val="05760640"/>
    <w:rsid w:val="059479C2"/>
    <w:rsid w:val="059670DD"/>
    <w:rsid w:val="059A71D8"/>
    <w:rsid w:val="05B222EE"/>
    <w:rsid w:val="05C014ED"/>
    <w:rsid w:val="05C313AC"/>
    <w:rsid w:val="05CD3F8B"/>
    <w:rsid w:val="05E433F1"/>
    <w:rsid w:val="05EF4C17"/>
    <w:rsid w:val="05EF4F80"/>
    <w:rsid w:val="05F647A3"/>
    <w:rsid w:val="06020FC5"/>
    <w:rsid w:val="060317A8"/>
    <w:rsid w:val="060C11C7"/>
    <w:rsid w:val="062A7E46"/>
    <w:rsid w:val="06420522"/>
    <w:rsid w:val="06561054"/>
    <w:rsid w:val="06573B0F"/>
    <w:rsid w:val="065B0029"/>
    <w:rsid w:val="06620BC5"/>
    <w:rsid w:val="0676641E"/>
    <w:rsid w:val="06794CDE"/>
    <w:rsid w:val="068B3562"/>
    <w:rsid w:val="06900AAB"/>
    <w:rsid w:val="06A76C3B"/>
    <w:rsid w:val="06AF298D"/>
    <w:rsid w:val="06B31421"/>
    <w:rsid w:val="06CA19B2"/>
    <w:rsid w:val="06D01FD2"/>
    <w:rsid w:val="06D66EBD"/>
    <w:rsid w:val="06E17D3B"/>
    <w:rsid w:val="06E635A4"/>
    <w:rsid w:val="06EB0BBA"/>
    <w:rsid w:val="06F5388D"/>
    <w:rsid w:val="06F77710"/>
    <w:rsid w:val="07013F3A"/>
    <w:rsid w:val="070C5299"/>
    <w:rsid w:val="07181D94"/>
    <w:rsid w:val="0727307C"/>
    <w:rsid w:val="07320597"/>
    <w:rsid w:val="075912EE"/>
    <w:rsid w:val="076241E1"/>
    <w:rsid w:val="076646E5"/>
    <w:rsid w:val="077706A0"/>
    <w:rsid w:val="0777549D"/>
    <w:rsid w:val="077775E8"/>
    <w:rsid w:val="07866B35"/>
    <w:rsid w:val="078E786D"/>
    <w:rsid w:val="07B460FA"/>
    <w:rsid w:val="07C84A57"/>
    <w:rsid w:val="07D77390"/>
    <w:rsid w:val="07E37AE3"/>
    <w:rsid w:val="07FC0BA5"/>
    <w:rsid w:val="0824564F"/>
    <w:rsid w:val="08374F43"/>
    <w:rsid w:val="083C6B36"/>
    <w:rsid w:val="084F5179"/>
    <w:rsid w:val="08641C5E"/>
    <w:rsid w:val="086E1AA3"/>
    <w:rsid w:val="0870581B"/>
    <w:rsid w:val="088E0022"/>
    <w:rsid w:val="0895503B"/>
    <w:rsid w:val="089F60B2"/>
    <w:rsid w:val="08A94275"/>
    <w:rsid w:val="08B35707"/>
    <w:rsid w:val="08B82D1E"/>
    <w:rsid w:val="08BA6A96"/>
    <w:rsid w:val="08C23B9D"/>
    <w:rsid w:val="08D22EEF"/>
    <w:rsid w:val="08D555B1"/>
    <w:rsid w:val="08E6788B"/>
    <w:rsid w:val="08EF1748"/>
    <w:rsid w:val="09065A80"/>
    <w:rsid w:val="09095327"/>
    <w:rsid w:val="09175B3A"/>
    <w:rsid w:val="09181969"/>
    <w:rsid w:val="091A12E3"/>
    <w:rsid w:val="091C7628"/>
    <w:rsid w:val="091D0DD3"/>
    <w:rsid w:val="092403B3"/>
    <w:rsid w:val="0924355F"/>
    <w:rsid w:val="092D47EA"/>
    <w:rsid w:val="09385C0D"/>
    <w:rsid w:val="09392EC0"/>
    <w:rsid w:val="09572537"/>
    <w:rsid w:val="09734E97"/>
    <w:rsid w:val="09755750"/>
    <w:rsid w:val="097C1F9D"/>
    <w:rsid w:val="09806C92"/>
    <w:rsid w:val="09852005"/>
    <w:rsid w:val="098A1E34"/>
    <w:rsid w:val="099671F2"/>
    <w:rsid w:val="09A84B40"/>
    <w:rsid w:val="09B17E27"/>
    <w:rsid w:val="09B3211A"/>
    <w:rsid w:val="09B96D4E"/>
    <w:rsid w:val="09D91889"/>
    <w:rsid w:val="09E24236"/>
    <w:rsid w:val="09E57A38"/>
    <w:rsid w:val="09E649DF"/>
    <w:rsid w:val="09EC32F5"/>
    <w:rsid w:val="0A0D7099"/>
    <w:rsid w:val="0A130BDB"/>
    <w:rsid w:val="0A1855EF"/>
    <w:rsid w:val="0A187F18"/>
    <w:rsid w:val="0A3463D4"/>
    <w:rsid w:val="0A3960E0"/>
    <w:rsid w:val="0A484AC4"/>
    <w:rsid w:val="0A603AE7"/>
    <w:rsid w:val="0A6071C9"/>
    <w:rsid w:val="0A6B3F8D"/>
    <w:rsid w:val="0A6C1284"/>
    <w:rsid w:val="0A712A1D"/>
    <w:rsid w:val="0A736F3F"/>
    <w:rsid w:val="0A9D4EDC"/>
    <w:rsid w:val="0AA24BA2"/>
    <w:rsid w:val="0AA54794"/>
    <w:rsid w:val="0AA95014"/>
    <w:rsid w:val="0AAF1EF5"/>
    <w:rsid w:val="0ABD3DBD"/>
    <w:rsid w:val="0AC46FD9"/>
    <w:rsid w:val="0ACA1C0A"/>
    <w:rsid w:val="0ACC485F"/>
    <w:rsid w:val="0ADF31CA"/>
    <w:rsid w:val="0B027B08"/>
    <w:rsid w:val="0B163D2C"/>
    <w:rsid w:val="0B1C5AB6"/>
    <w:rsid w:val="0B202ED5"/>
    <w:rsid w:val="0B411C0B"/>
    <w:rsid w:val="0B462D5D"/>
    <w:rsid w:val="0B4D3922"/>
    <w:rsid w:val="0B50723E"/>
    <w:rsid w:val="0B732971"/>
    <w:rsid w:val="0B815649"/>
    <w:rsid w:val="0B867103"/>
    <w:rsid w:val="0B8B471A"/>
    <w:rsid w:val="0B8C3FEE"/>
    <w:rsid w:val="0B974E6D"/>
    <w:rsid w:val="0BB73014"/>
    <w:rsid w:val="0BB974D9"/>
    <w:rsid w:val="0BBA268A"/>
    <w:rsid w:val="0BBC2B25"/>
    <w:rsid w:val="0BC8771C"/>
    <w:rsid w:val="0BC96556"/>
    <w:rsid w:val="0BDA0DEA"/>
    <w:rsid w:val="0BE637BE"/>
    <w:rsid w:val="0BEC7515"/>
    <w:rsid w:val="0BF55B23"/>
    <w:rsid w:val="0BFB4351"/>
    <w:rsid w:val="0C0C21B7"/>
    <w:rsid w:val="0C143FBD"/>
    <w:rsid w:val="0C28011C"/>
    <w:rsid w:val="0C3959AE"/>
    <w:rsid w:val="0C3A6B03"/>
    <w:rsid w:val="0C3B6953"/>
    <w:rsid w:val="0C430B50"/>
    <w:rsid w:val="0C5A60ED"/>
    <w:rsid w:val="0C6555BA"/>
    <w:rsid w:val="0C656B36"/>
    <w:rsid w:val="0C7867FD"/>
    <w:rsid w:val="0C825B1D"/>
    <w:rsid w:val="0C83036D"/>
    <w:rsid w:val="0C8C5505"/>
    <w:rsid w:val="0C9032FD"/>
    <w:rsid w:val="0C972B20"/>
    <w:rsid w:val="0C992E66"/>
    <w:rsid w:val="0CAF4B2E"/>
    <w:rsid w:val="0CBF62FC"/>
    <w:rsid w:val="0CC2416B"/>
    <w:rsid w:val="0CE9189A"/>
    <w:rsid w:val="0CF4581E"/>
    <w:rsid w:val="0CFD1647"/>
    <w:rsid w:val="0D352B8F"/>
    <w:rsid w:val="0D366F75"/>
    <w:rsid w:val="0D3F313C"/>
    <w:rsid w:val="0D435AF9"/>
    <w:rsid w:val="0D4427A4"/>
    <w:rsid w:val="0D4640F4"/>
    <w:rsid w:val="0D4B7EA8"/>
    <w:rsid w:val="0D55165E"/>
    <w:rsid w:val="0D8161F3"/>
    <w:rsid w:val="0D8E0203"/>
    <w:rsid w:val="0D98097E"/>
    <w:rsid w:val="0D9E4A36"/>
    <w:rsid w:val="0DA63A8D"/>
    <w:rsid w:val="0DAA3099"/>
    <w:rsid w:val="0DB27A77"/>
    <w:rsid w:val="0DC363ED"/>
    <w:rsid w:val="0DF0289C"/>
    <w:rsid w:val="0E086913"/>
    <w:rsid w:val="0E0A36F6"/>
    <w:rsid w:val="0E0A54B0"/>
    <w:rsid w:val="0E143DEA"/>
    <w:rsid w:val="0E1E20ED"/>
    <w:rsid w:val="0E211DC7"/>
    <w:rsid w:val="0E274CCB"/>
    <w:rsid w:val="0E2D7D0A"/>
    <w:rsid w:val="0E32600F"/>
    <w:rsid w:val="0E3959B5"/>
    <w:rsid w:val="0E3A5467"/>
    <w:rsid w:val="0E50132B"/>
    <w:rsid w:val="0E547045"/>
    <w:rsid w:val="0E6205BF"/>
    <w:rsid w:val="0E6354DA"/>
    <w:rsid w:val="0E683735"/>
    <w:rsid w:val="0E6A6868"/>
    <w:rsid w:val="0E7C65B2"/>
    <w:rsid w:val="0E7D708E"/>
    <w:rsid w:val="0E8570D7"/>
    <w:rsid w:val="0E99714E"/>
    <w:rsid w:val="0E9F0A9A"/>
    <w:rsid w:val="0EAF507E"/>
    <w:rsid w:val="0EBB70C4"/>
    <w:rsid w:val="0EC46F36"/>
    <w:rsid w:val="0EC64985"/>
    <w:rsid w:val="0EC83E9C"/>
    <w:rsid w:val="0ECA37AB"/>
    <w:rsid w:val="0ECD3E18"/>
    <w:rsid w:val="0ED2440E"/>
    <w:rsid w:val="0EE91E83"/>
    <w:rsid w:val="0F0B6306"/>
    <w:rsid w:val="0F1A64E0"/>
    <w:rsid w:val="0F266AD2"/>
    <w:rsid w:val="0F2D3646"/>
    <w:rsid w:val="0F2E1E3A"/>
    <w:rsid w:val="0F366553"/>
    <w:rsid w:val="0F3B42F1"/>
    <w:rsid w:val="0F3B7B70"/>
    <w:rsid w:val="0F40581B"/>
    <w:rsid w:val="0F54058D"/>
    <w:rsid w:val="0F706100"/>
    <w:rsid w:val="0F7902A6"/>
    <w:rsid w:val="0F9F39DA"/>
    <w:rsid w:val="0FA00781"/>
    <w:rsid w:val="0FA4224E"/>
    <w:rsid w:val="0FA77648"/>
    <w:rsid w:val="0FA933C0"/>
    <w:rsid w:val="0FAD2E15"/>
    <w:rsid w:val="0FBB76BA"/>
    <w:rsid w:val="0FD139E3"/>
    <w:rsid w:val="0FDB78DE"/>
    <w:rsid w:val="0FE93A5B"/>
    <w:rsid w:val="0FFE354E"/>
    <w:rsid w:val="100374AA"/>
    <w:rsid w:val="10044A9B"/>
    <w:rsid w:val="1006130B"/>
    <w:rsid w:val="101271B8"/>
    <w:rsid w:val="102A2753"/>
    <w:rsid w:val="103309C5"/>
    <w:rsid w:val="10331199"/>
    <w:rsid w:val="103409DF"/>
    <w:rsid w:val="10400EF5"/>
    <w:rsid w:val="10401F77"/>
    <w:rsid w:val="105772C0"/>
    <w:rsid w:val="10710508"/>
    <w:rsid w:val="10747C7C"/>
    <w:rsid w:val="1097590F"/>
    <w:rsid w:val="10A16EDB"/>
    <w:rsid w:val="10AF0EAA"/>
    <w:rsid w:val="10D66437"/>
    <w:rsid w:val="10EA1EE2"/>
    <w:rsid w:val="11033C8D"/>
    <w:rsid w:val="111451B1"/>
    <w:rsid w:val="112076B2"/>
    <w:rsid w:val="113028E2"/>
    <w:rsid w:val="1131366D"/>
    <w:rsid w:val="11402A9A"/>
    <w:rsid w:val="11532E43"/>
    <w:rsid w:val="115357BA"/>
    <w:rsid w:val="115371C2"/>
    <w:rsid w:val="115E44E9"/>
    <w:rsid w:val="117F6ACF"/>
    <w:rsid w:val="118731A7"/>
    <w:rsid w:val="11891052"/>
    <w:rsid w:val="119170BE"/>
    <w:rsid w:val="119A3908"/>
    <w:rsid w:val="11A976A8"/>
    <w:rsid w:val="11AD1CDE"/>
    <w:rsid w:val="11AD7380"/>
    <w:rsid w:val="11B442E0"/>
    <w:rsid w:val="11B76268"/>
    <w:rsid w:val="11BB0CCA"/>
    <w:rsid w:val="11C049F1"/>
    <w:rsid w:val="11C10E95"/>
    <w:rsid w:val="11C95F9C"/>
    <w:rsid w:val="11CB1D14"/>
    <w:rsid w:val="11E132E5"/>
    <w:rsid w:val="11E201D0"/>
    <w:rsid w:val="11E57430"/>
    <w:rsid w:val="11FE3E97"/>
    <w:rsid w:val="11FE749E"/>
    <w:rsid w:val="12096398"/>
    <w:rsid w:val="120D3382"/>
    <w:rsid w:val="121A21E3"/>
    <w:rsid w:val="12292459"/>
    <w:rsid w:val="122B322F"/>
    <w:rsid w:val="122E4051"/>
    <w:rsid w:val="12333415"/>
    <w:rsid w:val="12341EC8"/>
    <w:rsid w:val="12433FBF"/>
    <w:rsid w:val="124675EC"/>
    <w:rsid w:val="125137DB"/>
    <w:rsid w:val="12633CFA"/>
    <w:rsid w:val="127E0B34"/>
    <w:rsid w:val="129475EE"/>
    <w:rsid w:val="129841F9"/>
    <w:rsid w:val="129E10A1"/>
    <w:rsid w:val="12A04F4F"/>
    <w:rsid w:val="12A363D2"/>
    <w:rsid w:val="12A415C6"/>
    <w:rsid w:val="12B72298"/>
    <w:rsid w:val="12B74803"/>
    <w:rsid w:val="12BE2E9C"/>
    <w:rsid w:val="12CD62EF"/>
    <w:rsid w:val="12CE582C"/>
    <w:rsid w:val="12D24BBD"/>
    <w:rsid w:val="12E6116C"/>
    <w:rsid w:val="12E82365"/>
    <w:rsid w:val="12E83108"/>
    <w:rsid w:val="12EB5EF5"/>
    <w:rsid w:val="131D32A4"/>
    <w:rsid w:val="132572A1"/>
    <w:rsid w:val="13270F40"/>
    <w:rsid w:val="13286CF2"/>
    <w:rsid w:val="132C233E"/>
    <w:rsid w:val="132C2EE2"/>
    <w:rsid w:val="132E32E9"/>
    <w:rsid w:val="13370CE3"/>
    <w:rsid w:val="13382A5C"/>
    <w:rsid w:val="134753CA"/>
    <w:rsid w:val="135D2287"/>
    <w:rsid w:val="1367781A"/>
    <w:rsid w:val="13684705"/>
    <w:rsid w:val="13695A71"/>
    <w:rsid w:val="13857CA0"/>
    <w:rsid w:val="138A0726"/>
    <w:rsid w:val="1391074A"/>
    <w:rsid w:val="13935161"/>
    <w:rsid w:val="139D444C"/>
    <w:rsid w:val="13A97760"/>
    <w:rsid w:val="13B8757C"/>
    <w:rsid w:val="13C27106"/>
    <w:rsid w:val="13CA6CEC"/>
    <w:rsid w:val="13DA4490"/>
    <w:rsid w:val="13E946D3"/>
    <w:rsid w:val="13F228B3"/>
    <w:rsid w:val="140E0A4B"/>
    <w:rsid w:val="14117734"/>
    <w:rsid w:val="14173BB3"/>
    <w:rsid w:val="14237BE5"/>
    <w:rsid w:val="143E02BC"/>
    <w:rsid w:val="143E0468"/>
    <w:rsid w:val="144D04A7"/>
    <w:rsid w:val="14505A2A"/>
    <w:rsid w:val="145558C5"/>
    <w:rsid w:val="14607E1B"/>
    <w:rsid w:val="14753019"/>
    <w:rsid w:val="147660D2"/>
    <w:rsid w:val="14845D15"/>
    <w:rsid w:val="14877324"/>
    <w:rsid w:val="148D1503"/>
    <w:rsid w:val="148E3042"/>
    <w:rsid w:val="14A2553F"/>
    <w:rsid w:val="14A34882"/>
    <w:rsid w:val="14B61577"/>
    <w:rsid w:val="14C173FE"/>
    <w:rsid w:val="14C607D3"/>
    <w:rsid w:val="14CA51E2"/>
    <w:rsid w:val="14CF78DA"/>
    <w:rsid w:val="14D0319D"/>
    <w:rsid w:val="14D8096C"/>
    <w:rsid w:val="14DF07D6"/>
    <w:rsid w:val="14E05AD6"/>
    <w:rsid w:val="14E629C1"/>
    <w:rsid w:val="150317C5"/>
    <w:rsid w:val="150A4901"/>
    <w:rsid w:val="150F3CC6"/>
    <w:rsid w:val="151274FF"/>
    <w:rsid w:val="151F082F"/>
    <w:rsid w:val="153010D2"/>
    <w:rsid w:val="15451DDD"/>
    <w:rsid w:val="154843B8"/>
    <w:rsid w:val="15542020"/>
    <w:rsid w:val="155604B1"/>
    <w:rsid w:val="157C029E"/>
    <w:rsid w:val="158A5A57"/>
    <w:rsid w:val="15A7137E"/>
    <w:rsid w:val="15B103E0"/>
    <w:rsid w:val="15B37417"/>
    <w:rsid w:val="15B50D11"/>
    <w:rsid w:val="15D05B4B"/>
    <w:rsid w:val="15D81A45"/>
    <w:rsid w:val="15DA2525"/>
    <w:rsid w:val="1600509A"/>
    <w:rsid w:val="160752E5"/>
    <w:rsid w:val="16075CAF"/>
    <w:rsid w:val="161B39AB"/>
    <w:rsid w:val="16201191"/>
    <w:rsid w:val="162A7C95"/>
    <w:rsid w:val="162C6AF9"/>
    <w:rsid w:val="163F1152"/>
    <w:rsid w:val="164E29FC"/>
    <w:rsid w:val="1651030E"/>
    <w:rsid w:val="16556050"/>
    <w:rsid w:val="16605B18"/>
    <w:rsid w:val="16826719"/>
    <w:rsid w:val="16846935"/>
    <w:rsid w:val="16856C77"/>
    <w:rsid w:val="16922CEC"/>
    <w:rsid w:val="16A3500D"/>
    <w:rsid w:val="16A42650"/>
    <w:rsid w:val="16B2389F"/>
    <w:rsid w:val="16B30AB9"/>
    <w:rsid w:val="16BE59A3"/>
    <w:rsid w:val="16C41FC1"/>
    <w:rsid w:val="16CC39B3"/>
    <w:rsid w:val="16D83B9E"/>
    <w:rsid w:val="16EC2582"/>
    <w:rsid w:val="16ED6288"/>
    <w:rsid w:val="16F07B27"/>
    <w:rsid w:val="170A0D85"/>
    <w:rsid w:val="1713279D"/>
    <w:rsid w:val="171750B3"/>
    <w:rsid w:val="171A228F"/>
    <w:rsid w:val="17224844"/>
    <w:rsid w:val="17424826"/>
    <w:rsid w:val="17546308"/>
    <w:rsid w:val="17583675"/>
    <w:rsid w:val="175D3C48"/>
    <w:rsid w:val="175F6FC1"/>
    <w:rsid w:val="176B3D14"/>
    <w:rsid w:val="17740758"/>
    <w:rsid w:val="177C2541"/>
    <w:rsid w:val="17831116"/>
    <w:rsid w:val="17933C02"/>
    <w:rsid w:val="17981AC0"/>
    <w:rsid w:val="17984446"/>
    <w:rsid w:val="17984FF0"/>
    <w:rsid w:val="179F5F07"/>
    <w:rsid w:val="17A70B2D"/>
    <w:rsid w:val="17AA798A"/>
    <w:rsid w:val="17C71ABA"/>
    <w:rsid w:val="17CC0CBF"/>
    <w:rsid w:val="17CC1893"/>
    <w:rsid w:val="17CF2E36"/>
    <w:rsid w:val="17D17958"/>
    <w:rsid w:val="17D32E03"/>
    <w:rsid w:val="17E21B65"/>
    <w:rsid w:val="17F95457"/>
    <w:rsid w:val="180E64B6"/>
    <w:rsid w:val="180F222F"/>
    <w:rsid w:val="18137F71"/>
    <w:rsid w:val="18254C9F"/>
    <w:rsid w:val="18266FBF"/>
    <w:rsid w:val="182855F1"/>
    <w:rsid w:val="182C2DE0"/>
    <w:rsid w:val="183445BA"/>
    <w:rsid w:val="183D2675"/>
    <w:rsid w:val="185965E1"/>
    <w:rsid w:val="18770500"/>
    <w:rsid w:val="187C347B"/>
    <w:rsid w:val="1880365D"/>
    <w:rsid w:val="188448FC"/>
    <w:rsid w:val="188A627B"/>
    <w:rsid w:val="188E4B96"/>
    <w:rsid w:val="1890511D"/>
    <w:rsid w:val="18A94431"/>
    <w:rsid w:val="18AA14C9"/>
    <w:rsid w:val="18B03A11"/>
    <w:rsid w:val="18C81342"/>
    <w:rsid w:val="18CE5C46"/>
    <w:rsid w:val="18DE057F"/>
    <w:rsid w:val="18E303F6"/>
    <w:rsid w:val="18EE3F76"/>
    <w:rsid w:val="18F728B1"/>
    <w:rsid w:val="19130CF4"/>
    <w:rsid w:val="192202FA"/>
    <w:rsid w:val="19314B52"/>
    <w:rsid w:val="193D3C98"/>
    <w:rsid w:val="194A1011"/>
    <w:rsid w:val="19607E54"/>
    <w:rsid w:val="19653979"/>
    <w:rsid w:val="19793E03"/>
    <w:rsid w:val="19877CC6"/>
    <w:rsid w:val="19A946F3"/>
    <w:rsid w:val="19B72B74"/>
    <w:rsid w:val="19B968F6"/>
    <w:rsid w:val="19BD63E6"/>
    <w:rsid w:val="19C13A96"/>
    <w:rsid w:val="19CA11A6"/>
    <w:rsid w:val="19CF7337"/>
    <w:rsid w:val="19D17106"/>
    <w:rsid w:val="19DA2369"/>
    <w:rsid w:val="19DE2C60"/>
    <w:rsid w:val="19EB6674"/>
    <w:rsid w:val="1A204BC7"/>
    <w:rsid w:val="1A2261A3"/>
    <w:rsid w:val="1A475CB0"/>
    <w:rsid w:val="1A5511C6"/>
    <w:rsid w:val="1A5D709F"/>
    <w:rsid w:val="1A65384B"/>
    <w:rsid w:val="1A6A38FA"/>
    <w:rsid w:val="1A6E2FAD"/>
    <w:rsid w:val="1A7D5B75"/>
    <w:rsid w:val="1A9D4218"/>
    <w:rsid w:val="1A9D5C5D"/>
    <w:rsid w:val="1A9E318F"/>
    <w:rsid w:val="1AA300F0"/>
    <w:rsid w:val="1AAD57FF"/>
    <w:rsid w:val="1AB61BAD"/>
    <w:rsid w:val="1AC13D97"/>
    <w:rsid w:val="1AD0039B"/>
    <w:rsid w:val="1AD16A9B"/>
    <w:rsid w:val="1AD4162A"/>
    <w:rsid w:val="1ADA72BB"/>
    <w:rsid w:val="1ADD361E"/>
    <w:rsid w:val="1AE73298"/>
    <w:rsid w:val="1AFC6A9A"/>
    <w:rsid w:val="1B00341D"/>
    <w:rsid w:val="1B106561"/>
    <w:rsid w:val="1B1219A7"/>
    <w:rsid w:val="1B1855DC"/>
    <w:rsid w:val="1B1F09DB"/>
    <w:rsid w:val="1B2024CB"/>
    <w:rsid w:val="1B476371"/>
    <w:rsid w:val="1B4766B8"/>
    <w:rsid w:val="1B484D89"/>
    <w:rsid w:val="1B50328A"/>
    <w:rsid w:val="1B531659"/>
    <w:rsid w:val="1B591FFE"/>
    <w:rsid w:val="1B621D6F"/>
    <w:rsid w:val="1B626219"/>
    <w:rsid w:val="1B66485B"/>
    <w:rsid w:val="1B697EA8"/>
    <w:rsid w:val="1B8501B2"/>
    <w:rsid w:val="1B862808"/>
    <w:rsid w:val="1B9C17AD"/>
    <w:rsid w:val="1B9E3FF5"/>
    <w:rsid w:val="1BC03F6C"/>
    <w:rsid w:val="1BC5039F"/>
    <w:rsid w:val="1BC8057F"/>
    <w:rsid w:val="1BCF4BAE"/>
    <w:rsid w:val="1BD73063"/>
    <w:rsid w:val="1BE07D54"/>
    <w:rsid w:val="1BE37C5A"/>
    <w:rsid w:val="1BE7599C"/>
    <w:rsid w:val="1BFC2ACA"/>
    <w:rsid w:val="1C0D4CD7"/>
    <w:rsid w:val="1C1B3898"/>
    <w:rsid w:val="1C4200F7"/>
    <w:rsid w:val="1C511068"/>
    <w:rsid w:val="1C5F19D6"/>
    <w:rsid w:val="1C622075"/>
    <w:rsid w:val="1C632B49"/>
    <w:rsid w:val="1C7C73CC"/>
    <w:rsid w:val="1C8B457A"/>
    <w:rsid w:val="1C99656B"/>
    <w:rsid w:val="1C9D11A2"/>
    <w:rsid w:val="1CA7399C"/>
    <w:rsid w:val="1CB0495B"/>
    <w:rsid w:val="1CBD52AC"/>
    <w:rsid w:val="1CC94611"/>
    <w:rsid w:val="1CCB3574"/>
    <w:rsid w:val="1CCC73BB"/>
    <w:rsid w:val="1CD13EE0"/>
    <w:rsid w:val="1CD13F56"/>
    <w:rsid w:val="1CD16E86"/>
    <w:rsid w:val="1CE37308"/>
    <w:rsid w:val="1CEA516E"/>
    <w:rsid w:val="1CEB5018"/>
    <w:rsid w:val="1CEE63BE"/>
    <w:rsid w:val="1CFD3156"/>
    <w:rsid w:val="1CFE482E"/>
    <w:rsid w:val="1D175E0D"/>
    <w:rsid w:val="1D1831A6"/>
    <w:rsid w:val="1D24677C"/>
    <w:rsid w:val="1D320E99"/>
    <w:rsid w:val="1D402110"/>
    <w:rsid w:val="1D426FD2"/>
    <w:rsid w:val="1D451CB3"/>
    <w:rsid w:val="1D4604A0"/>
    <w:rsid w:val="1D474DEC"/>
    <w:rsid w:val="1D4D7A81"/>
    <w:rsid w:val="1D5109BE"/>
    <w:rsid w:val="1D58457F"/>
    <w:rsid w:val="1D5C6F65"/>
    <w:rsid w:val="1D646F8B"/>
    <w:rsid w:val="1D682B0D"/>
    <w:rsid w:val="1D6848BB"/>
    <w:rsid w:val="1D6B5D3C"/>
    <w:rsid w:val="1D70551D"/>
    <w:rsid w:val="1D7F74E1"/>
    <w:rsid w:val="1D8B67FB"/>
    <w:rsid w:val="1D8C2A0C"/>
    <w:rsid w:val="1DA60B33"/>
    <w:rsid w:val="1DA965C8"/>
    <w:rsid w:val="1DB46E23"/>
    <w:rsid w:val="1DBE68D0"/>
    <w:rsid w:val="1DC37D43"/>
    <w:rsid w:val="1DDB508D"/>
    <w:rsid w:val="1DDC1673"/>
    <w:rsid w:val="1DE04CD7"/>
    <w:rsid w:val="1DE1467A"/>
    <w:rsid w:val="1DEF5401"/>
    <w:rsid w:val="1DF12B02"/>
    <w:rsid w:val="1E0F4D36"/>
    <w:rsid w:val="1E1B7B7F"/>
    <w:rsid w:val="1E207D37"/>
    <w:rsid w:val="1E440365"/>
    <w:rsid w:val="1E4850BC"/>
    <w:rsid w:val="1E5B441F"/>
    <w:rsid w:val="1E5C42AC"/>
    <w:rsid w:val="1E616E66"/>
    <w:rsid w:val="1E727192"/>
    <w:rsid w:val="1EA57449"/>
    <w:rsid w:val="1EBE7849"/>
    <w:rsid w:val="1ED1023E"/>
    <w:rsid w:val="1ED404C0"/>
    <w:rsid w:val="1EFA79F9"/>
    <w:rsid w:val="1F0265C3"/>
    <w:rsid w:val="1F0307E6"/>
    <w:rsid w:val="1F0625DD"/>
    <w:rsid w:val="1F0F2A13"/>
    <w:rsid w:val="1F144709"/>
    <w:rsid w:val="1F166329"/>
    <w:rsid w:val="1F1F71FB"/>
    <w:rsid w:val="1F206891"/>
    <w:rsid w:val="1F2C3C86"/>
    <w:rsid w:val="1F44667B"/>
    <w:rsid w:val="1F450F4F"/>
    <w:rsid w:val="1F4C5B16"/>
    <w:rsid w:val="1F5C052B"/>
    <w:rsid w:val="1F5C2935"/>
    <w:rsid w:val="1F5C7063"/>
    <w:rsid w:val="1F5E41C7"/>
    <w:rsid w:val="1F680BA2"/>
    <w:rsid w:val="1F742441"/>
    <w:rsid w:val="1F7A63A0"/>
    <w:rsid w:val="1F985DE2"/>
    <w:rsid w:val="1FBA21F5"/>
    <w:rsid w:val="1FBC0EEE"/>
    <w:rsid w:val="1FBC3CC4"/>
    <w:rsid w:val="1FC56DA0"/>
    <w:rsid w:val="1FC87ED5"/>
    <w:rsid w:val="1FCC441A"/>
    <w:rsid w:val="1FD3171B"/>
    <w:rsid w:val="1FD53D5E"/>
    <w:rsid w:val="1FD91A37"/>
    <w:rsid w:val="1FF266BE"/>
    <w:rsid w:val="2000702C"/>
    <w:rsid w:val="20115575"/>
    <w:rsid w:val="201B6135"/>
    <w:rsid w:val="202A4197"/>
    <w:rsid w:val="20322F5E"/>
    <w:rsid w:val="204C04C4"/>
    <w:rsid w:val="205A3400"/>
    <w:rsid w:val="206F416E"/>
    <w:rsid w:val="20711CD8"/>
    <w:rsid w:val="207375A5"/>
    <w:rsid w:val="20756D6D"/>
    <w:rsid w:val="208732AA"/>
    <w:rsid w:val="209C317F"/>
    <w:rsid w:val="20A976C4"/>
    <w:rsid w:val="20B006C4"/>
    <w:rsid w:val="20C0056A"/>
    <w:rsid w:val="20C55B80"/>
    <w:rsid w:val="20CE1D1E"/>
    <w:rsid w:val="20CE50D4"/>
    <w:rsid w:val="20DF46C8"/>
    <w:rsid w:val="20E9769A"/>
    <w:rsid w:val="20EA144F"/>
    <w:rsid w:val="20EA188C"/>
    <w:rsid w:val="20F31E0F"/>
    <w:rsid w:val="20F44DF8"/>
    <w:rsid w:val="21020B82"/>
    <w:rsid w:val="21072EE3"/>
    <w:rsid w:val="21091FCD"/>
    <w:rsid w:val="210E39CB"/>
    <w:rsid w:val="21274A8D"/>
    <w:rsid w:val="213A031C"/>
    <w:rsid w:val="213F1DF3"/>
    <w:rsid w:val="213F5933"/>
    <w:rsid w:val="21464F13"/>
    <w:rsid w:val="21466796"/>
    <w:rsid w:val="21466CC1"/>
    <w:rsid w:val="214F27DA"/>
    <w:rsid w:val="21611D4D"/>
    <w:rsid w:val="216169C9"/>
    <w:rsid w:val="2164183D"/>
    <w:rsid w:val="21676C37"/>
    <w:rsid w:val="216F69CC"/>
    <w:rsid w:val="21725D08"/>
    <w:rsid w:val="21893052"/>
    <w:rsid w:val="218F687E"/>
    <w:rsid w:val="2194530B"/>
    <w:rsid w:val="219A0DBB"/>
    <w:rsid w:val="21BD5166"/>
    <w:rsid w:val="21C55A37"/>
    <w:rsid w:val="21C916A0"/>
    <w:rsid w:val="21CE16F5"/>
    <w:rsid w:val="21D2003E"/>
    <w:rsid w:val="21D342CD"/>
    <w:rsid w:val="21D86773"/>
    <w:rsid w:val="21DB3B31"/>
    <w:rsid w:val="21DD42D5"/>
    <w:rsid w:val="21DF3919"/>
    <w:rsid w:val="21E34298"/>
    <w:rsid w:val="21E8421C"/>
    <w:rsid w:val="21EB7868"/>
    <w:rsid w:val="21F704C0"/>
    <w:rsid w:val="22145011"/>
    <w:rsid w:val="222A3B7C"/>
    <w:rsid w:val="222D4CB1"/>
    <w:rsid w:val="223A2A3D"/>
    <w:rsid w:val="22482F0D"/>
    <w:rsid w:val="2249556E"/>
    <w:rsid w:val="224A6DCD"/>
    <w:rsid w:val="224B1156"/>
    <w:rsid w:val="225F3F0C"/>
    <w:rsid w:val="22723AE6"/>
    <w:rsid w:val="22781906"/>
    <w:rsid w:val="227930C6"/>
    <w:rsid w:val="22806203"/>
    <w:rsid w:val="22904958"/>
    <w:rsid w:val="2297354C"/>
    <w:rsid w:val="229B75CF"/>
    <w:rsid w:val="229C09CA"/>
    <w:rsid w:val="22A939AB"/>
    <w:rsid w:val="22AD25E5"/>
    <w:rsid w:val="22B96323"/>
    <w:rsid w:val="22BB35F2"/>
    <w:rsid w:val="22C15F26"/>
    <w:rsid w:val="22D402FC"/>
    <w:rsid w:val="22D42522"/>
    <w:rsid w:val="22D868D3"/>
    <w:rsid w:val="22DD5683"/>
    <w:rsid w:val="22E54493"/>
    <w:rsid w:val="22F078FE"/>
    <w:rsid w:val="22F24386"/>
    <w:rsid w:val="230B6414"/>
    <w:rsid w:val="230E74A4"/>
    <w:rsid w:val="230F108B"/>
    <w:rsid w:val="230F7587"/>
    <w:rsid w:val="232B2612"/>
    <w:rsid w:val="232B6033"/>
    <w:rsid w:val="233012E3"/>
    <w:rsid w:val="2333183B"/>
    <w:rsid w:val="233F05A2"/>
    <w:rsid w:val="23406C61"/>
    <w:rsid w:val="234E4553"/>
    <w:rsid w:val="2359040B"/>
    <w:rsid w:val="237E524F"/>
    <w:rsid w:val="23890599"/>
    <w:rsid w:val="238C6112"/>
    <w:rsid w:val="238E0DF3"/>
    <w:rsid w:val="238E2BA1"/>
    <w:rsid w:val="2393640A"/>
    <w:rsid w:val="23A105E9"/>
    <w:rsid w:val="23AF0BB6"/>
    <w:rsid w:val="23BB026B"/>
    <w:rsid w:val="23BE5DC3"/>
    <w:rsid w:val="23BF2B98"/>
    <w:rsid w:val="23C81C42"/>
    <w:rsid w:val="23E34C9B"/>
    <w:rsid w:val="23E75818"/>
    <w:rsid w:val="23E822B1"/>
    <w:rsid w:val="23ED6662"/>
    <w:rsid w:val="23FE56EB"/>
    <w:rsid w:val="240D7D94"/>
    <w:rsid w:val="241803C8"/>
    <w:rsid w:val="24217B8A"/>
    <w:rsid w:val="24246321"/>
    <w:rsid w:val="2426102C"/>
    <w:rsid w:val="242738DA"/>
    <w:rsid w:val="242B6642"/>
    <w:rsid w:val="24303C58"/>
    <w:rsid w:val="24400F20"/>
    <w:rsid w:val="245629B3"/>
    <w:rsid w:val="24572FBB"/>
    <w:rsid w:val="24600019"/>
    <w:rsid w:val="24736F3C"/>
    <w:rsid w:val="247D4EDE"/>
    <w:rsid w:val="248875F1"/>
    <w:rsid w:val="24AC7783"/>
    <w:rsid w:val="24B33531"/>
    <w:rsid w:val="24BF6863"/>
    <w:rsid w:val="24C0224D"/>
    <w:rsid w:val="24CC1BD3"/>
    <w:rsid w:val="24D00601"/>
    <w:rsid w:val="24D146B3"/>
    <w:rsid w:val="24D962FF"/>
    <w:rsid w:val="24DE5F41"/>
    <w:rsid w:val="24FD3B3B"/>
    <w:rsid w:val="24FF3757"/>
    <w:rsid w:val="24FF7CD0"/>
    <w:rsid w:val="251175E6"/>
    <w:rsid w:val="251315B0"/>
    <w:rsid w:val="251558A5"/>
    <w:rsid w:val="251B30E8"/>
    <w:rsid w:val="2536704D"/>
    <w:rsid w:val="255A0F8D"/>
    <w:rsid w:val="255D0A7D"/>
    <w:rsid w:val="255D2553"/>
    <w:rsid w:val="25657932"/>
    <w:rsid w:val="256E0F20"/>
    <w:rsid w:val="25733A16"/>
    <w:rsid w:val="25736538"/>
    <w:rsid w:val="25754019"/>
    <w:rsid w:val="257638ED"/>
    <w:rsid w:val="25764C42"/>
    <w:rsid w:val="257C53A7"/>
    <w:rsid w:val="258408B2"/>
    <w:rsid w:val="25875AFA"/>
    <w:rsid w:val="258E50DA"/>
    <w:rsid w:val="25940FD2"/>
    <w:rsid w:val="25A42208"/>
    <w:rsid w:val="25AB17E9"/>
    <w:rsid w:val="25C035AE"/>
    <w:rsid w:val="25CC0F1B"/>
    <w:rsid w:val="25CE3729"/>
    <w:rsid w:val="25DE60DE"/>
    <w:rsid w:val="25E62821"/>
    <w:rsid w:val="2612117C"/>
    <w:rsid w:val="2613738E"/>
    <w:rsid w:val="26264326"/>
    <w:rsid w:val="262F0D92"/>
    <w:rsid w:val="262F1E1F"/>
    <w:rsid w:val="262F5BC1"/>
    <w:rsid w:val="26307F40"/>
    <w:rsid w:val="263B7010"/>
    <w:rsid w:val="265C6A3C"/>
    <w:rsid w:val="26661BB3"/>
    <w:rsid w:val="26663285"/>
    <w:rsid w:val="266709E2"/>
    <w:rsid w:val="267C3185"/>
    <w:rsid w:val="26872E3E"/>
    <w:rsid w:val="268F4337"/>
    <w:rsid w:val="269E134D"/>
    <w:rsid w:val="26AD2603"/>
    <w:rsid w:val="26AE2879"/>
    <w:rsid w:val="26B648E9"/>
    <w:rsid w:val="26C03072"/>
    <w:rsid w:val="26C316DB"/>
    <w:rsid w:val="26D14D60"/>
    <w:rsid w:val="26F634C7"/>
    <w:rsid w:val="26FE1DEC"/>
    <w:rsid w:val="27130DC4"/>
    <w:rsid w:val="27152DC8"/>
    <w:rsid w:val="27280A93"/>
    <w:rsid w:val="272A4A6B"/>
    <w:rsid w:val="27383645"/>
    <w:rsid w:val="2739070F"/>
    <w:rsid w:val="273C074E"/>
    <w:rsid w:val="27402404"/>
    <w:rsid w:val="27441630"/>
    <w:rsid w:val="2753038A"/>
    <w:rsid w:val="277810DC"/>
    <w:rsid w:val="27846671"/>
    <w:rsid w:val="27870ABE"/>
    <w:rsid w:val="27877EBA"/>
    <w:rsid w:val="278B242D"/>
    <w:rsid w:val="278D7653"/>
    <w:rsid w:val="279932A7"/>
    <w:rsid w:val="279A0D31"/>
    <w:rsid w:val="279C40DE"/>
    <w:rsid w:val="27A209C9"/>
    <w:rsid w:val="27A26C29"/>
    <w:rsid w:val="27B64475"/>
    <w:rsid w:val="27D83BF2"/>
    <w:rsid w:val="27E72789"/>
    <w:rsid w:val="27F05BD9"/>
    <w:rsid w:val="27F51441"/>
    <w:rsid w:val="27FA625C"/>
    <w:rsid w:val="280432A0"/>
    <w:rsid w:val="2810627B"/>
    <w:rsid w:val="28173165"/>
    <w:rsid w:val="28201C6D"/>
    <w:rsid w:val="28247630"/>
    <w:rsid w:val="282F3D2E"/>
    <w:rsid w:val="283E4B96"/>
    <w:rsid w:val="283E6156"/>
    <w:rsid w:val="2843508B"/>
    <w:rsid w:val="28441A80"/>
    <w:rsid w:val="284901DD"/>
    <w:rsid w:val="284D37E6"/>
    <w:rsid w:val="284E28FF"/>
    <w:rsid w:val="285A12A4"/>
    <w:rsid w:val="287D4912"/>
    <w:rsid w:val="288579F9"/>
    <w:rsid w:val="288A6C12"/>
    <w:rsid w:val="289133F2"/>
    <w:rsid w:val="28996270"/>
    <w:rsid w:val="289F5B9C"/>
    <w:rsid w:val="28A6273B"/>
    <w:rsid w:val="28AC08C8"/>
    <w:rsid w:val="28B44E58"/>
    <w:rsid w:val="28BB104C"/>
    <w:rsid w:val="28C17575"/>
    <w:rsid w:val="28CC407F"/>
    <w:rsid w:val="28D63020"/>
    <w:rsid w:val="28DB0637"/>
    <w:rsid w:val="28E62B38"/>
    <w:rsid w:val="28F42072"/>
    <w:rsid w:val="28FB3ABC"/>
    <w:rsid w:val="290A4F84"/>
    <w:rsid w:val="29192F0D"/>
    <w:rsid w:val="291A315C"/>
    <w:rsid w:val="29334909"/>
    <w:rsid w:val="29511E85"/>
    <w:rsid w:val="29587D13"/>
    <w:rsid w:val="2967011C"/>
    <w:rsid w:val="29695641"/>
    <w:rsid w:val="298365D8"/>
    <w:rsid w:val="2991129D"/>
    <w:rsid w:val="299E3412"/>
    <w:rsid w:val="29AA742B"/>
    <w:rsid w:val="29AF3167"/>
    <w:rsid w:val="29C02312"/>
    <w:rsid w:val="29C27101"/>
    <w:rsid w:val="29C624AA"/>
    <w:rsid w:val="29C85A02"/>
    <w:rsid w:val="29CA7EE7"/>
    <w:rsid w:val="29D610E4"/>
    <w:rsid w:val="29DE76A0"/>
    <w:rsid w:val="2A06447A"/>
    <w:rsid w:val="2A087614"/>
    <w:rsid w:val="2A135BAE"/>
    <w:rsid w:val="2A17569E"/>
    <w:rsid w:val="2A1F4553"/>
    <w:rsid w:val="2A2B16A4"/>
    <w:rsid w:val="2A383867"/>
    <w:rsid w:val="2A3D5513"/>
    <w:rsid w:val="2A506E02"/>
    <w:rsid w:val="2A5420F7"/>
    <w:rsid w:val="2A5A405F"/>
    <w:rsid w:val="2A6428AE"/>
    <w:rsid w:val="2A65286D"/>
    <w:rsid w:val="2A761AC6"/>
    <w:rsid w:val="2A766A84"/>
    <w:rsid w:val="2A7E080F"/>
    <w:rsid w:val="2A831C6B"/>
    <w:rsid w:val="2A85183A"/>
    <w:rsid w:val="2A8940C2"/>
    <w:rsid w:val="2A8E16D9"/>
    <w:rsid w:val="2AA415B2"/>
    <w:rsid w:val="2AA809EC"/>
    <w:rsid w:val="2ABC445C"/>
    <w:rsid w:val="2ACD3FAF"/>
    <w:rsid w:val="2AD11CE4"/>
    <w:rsid w:val="2AD71F20"/>
    <w:rsid w:val="2AE52690"/>
    <w:rsid w:val="2AE605C4"/>
    <w:rsid w:val="2AE74A41"/>
    <w:rsid w:val="2AED3D43"/>
    <w:rsid w:val="2AF257C9"/>
    <w:rsid w:val="2AF43C32"/>
    <w:rsid w:val="2AFC4799"/>
    <w:rsid w:val="2AFE1514"/>
    <w:rsid w:val="2B0757D4"/>
    <w:rsid w:val="2B136AA2"/>
    <w:rsid w:val="2B14398C"/>
    <w:rsid w:val="2B2F3972"/>
    <w:rsid w:val="2B327864"/>
    <w:rsid w:val="2B355A43"/>
    <w:rsid w:val="2B392F4B"/>
    <w:rsid w:val="2B3A3289"/>
    <w:rsid w:val="2B3D3E45"/>
    <w:rsid w:val="2B752938"/>
    <w:rsid w:val="2B7F799F"/>
    <w:rsid w:val="2B817C7B"/>
    <w:rsid w:val="2B8B69E1"/>
    <w:rsid w:val="2B91322F"/>
    <w:rsid w:val="2B9350DC"/>
    <w:rsid w:val="2B97347D"/>
    <w:rsid w:val="2BAD5EAA"/>
    <w:rsid w:val="2BCA4992"/>
    <w:rsid w:val="2BCE2330"/>
    <w:rsid w:val="2BD575BF"/>
    <w:rsid w:val="2BDA1C8D"/>
    <w:rsid w:val="2BDA4BD6"/>
    <w:rsid w:val="2BDB3593"/>
    <w:rsid w:val="2BEC5BF7"/>
    <w:rsid w:val="2BEE2E08"/>
    <w:rsid w:val="2BEE5CA9"/>
    <w:rsid w:val="2C153E60"/>
    <w:rsid w:val="2C237B07"/>
    <w:rsid w:val="2C305E98"/>
    <w:rsid w:val="2C440BAE"/>
    <w:rsid w:val="2C6D7080"/>
    <w:rsid w:val="2C7865CC"/>
    <w:rsid w:val="2C7C7A3B"/>
    <w:rsid w:val="2C7F752B"/>
    <w:rsid w:val="2C820DC9"/>
    <w:rsid w:val="2C873D7B"/>
    <w:rsid w:val="2C891D4D"/>
    <w:rsid w:val="2C9D121A"/>
    <w:rsid w:val="2CA0260D"/>
    <w:rsid w:val="2CB113EA"/>
    <w:rsid w:val="2CC13446"/>
    <w:rsid w:val="2CD45AC9"/>
    <w:rsid w:val="2CDF383C"/>
    <w:rsid w:val="2CE42781"/>
    <w:rsid w:val="2CE81574"/>
    <w:rsid w:val="2CF72F53"/>
    <w:rsid w:val="2CF75313"/>
    <w:rsid w:val="2D03015C"/>
    <w:rsid w:val="2D11666A"/>
    <w:rsid w:val="2D297497"/>
    <w:rsid w:val="2D2A01AC"/>
    <w:rsid w:val="2D2B4507"/>
    <w:rsid w:val="2D2C7A7E"/>
    <w:rsid w:val="2D2D1B91"/>
    <w:rsid w:val="2D2F2CFF"/>
    <w:rsid w:val="2D351953"/>
    <w:rsid w:val="2D363AED"/>
    <w:rsid w:val="2D3D212F"/>
    <w:rsid w:val="2D3E2F42"/>
    <w:rsid w:val="2D4331C7"/>
    <w:rsid w:val="2D440015"/>
    <w:rsid w:val="2D4E1483"/>
    <w:rsid w:val="2D597D7C"/>
    <w:rsid w:val="2D5F7981"/>
    <w:rsid w:val="2D6A4569"/>
    <w:rsid w:val="2D7115E9"/>
    <w:rsid w:val="2D76092E"/>
    <w:rsid w:val="2D764865"/>
    <w:rsid w:val="2D776454"/>
    <w:rsid w:val="2D842BB7"/>
    <w:rsid w:val="2D8A0672"/>
    <w:rsid w:val="2D8A7FEE"/>
    <w:rsid w:val="2D9214E0"/>
    <w:rsid w:val="2D937732"/>
    <w:rsid w:val="2D9E11BB"/>
    <w:rsid w:val="2DA076D4"/>
    <w:rsid w:val="2DB26E99"/>
    <w:rsid w:val="2DC05EBB"/>
    <w:rsid w:val="2DD40E40"/>
    <w:rsid w:val="2DDB4C35"/>
    <w:rsid w:val="2DE0224B"/>
    <w:rsid w:val="2DE14179"/>
    <w:rsid w:val="2DE14942"/>
    <w:rsid w:val="2DE9056F"/>
    <w:rsid w:val="2DF002CB"/>
    <w:rsid w:val="2E06599E"/>
    <w:rsid w:val="2E0C6445"/>
    <w:rsid w:val="2E1323EC"/>
    <w:rsid w:val="2E1D6FFC"/>
    <w:rsid w:val="2E1E1F8C"/>
    <w:rsid w:val="2E2A34C6"/>
    <w:rsid w:val="2E3D6D05"/>
    <w:rsid w:val="2E545F0F"/>
    <w:rsid w:val="2E5A0AC9"/>
    <w:rsid w:val="2E5A0F5C"/>
    <w:rsid w:val="2E5C7941"/>
    <w:rsid w:val="2E642E7C"/>
    <w:rsid w:val="2E692241"/>
    <w:rsid w:val="2E6E0576"/>
    <w:rsid w:val="2E6E280F"/>
    <w:rsid w:val="2E714ABD"/>
    <w:rsid w:val="2E717347"/>
    <w:rsid w:val="2E7B1F74"/>
    <w:rsid w:val="2E7D5CEC"/>
    <w:rsid w:val="2E886E98"/>
    <w:rsid w:val="2E8B5E46"/>
    <w:rsid w:val="2E913546"/>
    <w:rsid w:val="2E9460C1"/>
    <w:rsid w:val="2E976DAE"/>
    <w:rsid w:val="2E9C2616"/>
    <w:rsid w:val="2EA85A8F"/>
    <w:rsid w:val="2EB2280B"/>
    <w:rsid w:val="2ECD097D"/>
    <w:rsid w:val="2ED74A73"/>
    <w:rsid w:val="2EF375E8"/>
    <w:rsid w:val="2EF53B93"/>
    <w:rsid w:val="2EFC30B5"/>
    <w:rsid w:val="2EFE6E2D"/>
    <w:rsid w:val="2F1176A4"/>
    <w:rsid w:val="2F146FFE"/>
    <w:rsid w:val="2F1923F0"/>
    <w:rsid w:val="2F274064"/>
    <w:rsid w:val="2F285C58"/>
    <w:rsid w:val="2F291B65"/>
    <w:rsid w:val="2F3D050D"/>
    <w:rsid w:val="2F3E7229"/>
    <w:rsid w:val="2F40249E"/>
    <w:rsid w:val="2F444804"/>
    <w:rsid w:val="2F467300"/>
    <w:rsid w:val="2F644AF2"/>
    <w:rsid w:val="2F6A2714"/>
    <w:rsid w:val="2F6B234F"/>
    <w:rsid w:val="2F750BAF"/>
    <w:rsid w:val="2F95225D"/>
    <w:rsid w:val="2FAF1ED5"/>
    <w:rsid w:val="2FBF7029"/>
    <w:rsid w:val="2FC2139C"/>
    <w:rsid w:val="2FCF4325"/>
    <w:rsid w:val="2FD23E16"/>
    <w:rsid w:val="2FD3118D"/>
    <w:rsid w:val="2FD951A4"/>
    <w:rsid w:val="2FE51D9B"/>
    <w:rsid w:val="2FEB20C4"/>
    <w:rsid w:val="2FF16992"/>
    <w:rsid w:val="2FF43924"/>
    <w:rsid w:val="2FFA67ED"/>
    <w:rsid w:val="300267CA"/>
    <w:rsid w:val="30044842"/>
    <w:rsid w:val="301A6C41"/>
    <w:rsid w:val="301C65CD"/>
    <w:rsid w:val="301D6DE7"/>
    <w:rsid w:val="301E36B7"/>
    <w:rsid w:val="303B02C4"/>
    <w:rsid w:val="303B5E5F"/>
    <w:rsid w:val="303C35C6"/>
    <w:rsid w:val="303C6A8C"/>
    <w:rsid w:val="304104EB"/>
    <w:rsid w:val="30566085"/>
    <w:rsid w:val="305A6B4F"/>
    <w:rsid w:val="305B205D"/>
    <w:rsid w:val="3069477A"/>
    <w:rsid w:val="306D28CF"/>
    <w:rsid w:val="307A6E68"/>
    <w:rsid w:val="30863549"/>
    <w:rsid w:val="308C66BA"/>
    <w:rsid w:val="30901D07"/>
    <w:rsid w:val="309A5723"/>
    <w:rsid w:val="30A06B32"/>
    <w:rsid w:val="30A360E4"/>
    <w:rsid w:val="30B20B79"/>
    <w:rsid w:val="30C619CB"/>
    <w:rsid w:val="30C95CA0"/>
    <w:rsid w:val="30D202C9"/>
    <w:rsid w:val="30E462ED"/>
    <w:rsid w:val="30F77E2D"/>
    <w:rsid w:val="31197F4E"/>
    <w:rsid w:val="311C39D6"/>
    <w:rsid w:val="312E2757"/>
    <w:rsid w:val="31374878"/>
    <w:rsid w:val="31574B2C"/>
    <w:rsid w:val="316853A1"/>
    <w:rsid w:val="31725322"/>
    <w:rsid w:val="319C173A"/>
    <w:rsid w:val="319C292D"/>
    <w:rsid w:val="319E66A5"/>
    <w:rsid w:val="31A3598A"/>
    <w:rsid w:val="31A8431A"/>
    <w:rsid w:val="31AB7821"/>
    <w:rsid w:val="31B550ED"/>
    <w:rsid w:val="31BB7257"/>
    <w:rsid w:val="31C14142"/>
    <w:rsid w:val="31CF2D03"/>
    <w:rsid w:val="31D57291"/>
    <w:rsid w:val="31DA4154"/>
    <w:rsid w:val="31E3055C"/>
    <w:rsid w:val="31E40CB3"/>
    <w:rsid w:val="31EA4543"/>
    <w:rsid w:val="31EE13DB"/>
    <w:rsid w:val="31F44517"/>
    <w:rsid w:val="31F85F6F"/>
    <w:rsid w:val="31FB241D"/>
    <w:rsid w:val="32253AB1"/>
    <w:rsid w:val="32302D0C"/>
    <w:rsid w:val="32326DEE"/>
    <w:rsid w:val="3242018E"/>
    <w:rsid w:val="32467617"/>
    <w:rsid w:val="32534AFB"/>
    <w:rsid w:val="325D43BB"/>
    <w:rsid w:val="32601BAD"/>
    <w:rsid w:val="32621481"/>
    <w:rsid w:val="32637E10"/>
    <w:rsid w:val="32717916"/>
    <w:rsid w:val="32772228"/>
    <w:rsid w:val="32877248"/>
    <w:rsid w:val="328E1814"/>
    <w:rsid w:val="32917FB8"/>
    <w:rsid w:val="32A96EFB"/>
    <w:rsid w:val="32C959A4"/>
    <w:rsid w:val="32D96917"/>
    <w:rsid w:val="32DE7359"/>
    <w:rsid w:val="32E53E60"/>
    <w:rsid w:val="32E6364D"/>
    <w:rsid w:val="32F02F91"/>
    <w:rsid w:val="330D2415"/>
    <w:rsid w:val="332027F8"/>
    <w:rsid w:val="332C1A8F"/>
    <w:rsid w:val="332F6BEC"/>
    <w:rsid w:val="33310CB0"/>
    <w:rsid w:val="3341378C"/>
    <w:rsid w:val="335C2374"/>
    <w:rsid w:val="335F7CD3"/>
    <w:rsid w:val="337E678E"/>
    <w:rsid w:val="33AA7D8A"/>
    <w:rsid w:val="33B76411"/>
    <w:rsid w:val="33B977C6"/>
    <w:rsid w:val="33C00B55"/>
    <w:rsid w:val="33C06FEA"/>
    <w:rsid w:val="33D2699B"/>
    <w:rsid w:val="33D62ABE"/>
    <w:rsid w:val="33F24A86"/>
    <w:rsid w:val="343849E8"/>
    <w:rsid w:val="344A2B14"/>
    <w:rsid w:val="34607C42"/>
    <w:rsid w:val="34701C19"/>
    <w:rsid w:val="347172A6"/>
    <w:rsid w:val="34763909"/>
    <w:rsid w:val="34880A40"/>
    <w:rsid w:val="348E47AF"/>
    <w:rsid w:val="348F2F0F"/>
    <w:rsid w:val="34BF705E"/>
    <w:rsid w:val="34C62D9E"/>
    <w:rsid w:val="34CC7427"/>
    <w:rsid w:val="34E93222"/>
    <w:rsid w:val="34E97849"/>
    <w:rsid w:val="34EF252D"/>
    <w:rsid w:val="34F26C74"/>
    <w:rsid w:val="34F32864"/>
    <w:rsid w:val="35020CF9"/>
    <w:rsid w:val="3502513A"/>
    <w:rsid w:val="350C4698"/>
    <w:rsid w:val="35154ED0"/>
    <w:rsid w:val="352549E8"/>
    <w:rsid w:val="35281BC4"/>
    <w:rsid w:val="35307820"/>
    <w:rsid w:val="35381407"/>
    <w:rsid w:val="353B2893"/>
    <w:rsid w:val="3541621D"/>
    <w:rsid w:val="354C773B"/>
    <w:rsid w:val="35527ED3"/>
    <w:rsid w:val="35654072"/>
    <w:rsid w:val="356C3834"/>
    <w:rsid w:val="35767A63"/>
    <w:rsid w:val="35A34E37"/>
    <w:rsid w:val="35A973C7"/>
    <w:rsid w:val="3608233F"/>
    <w:rsid w:val="36184505"/>
    <w:rsid w:val="361E34E6"/>
    <w:rsid w:val="36230468"/>
    <w:rsid w:val="3639595B"/>
    <w:rsid w:val="364728C6"/>
    <w:rsid w:val="365C2BEF"/>
    <w:rsid w:val="3667350A"/>
    <w:rsid w:val="36687924"/>
    <w:rsid w:val="36796780"/>
    <w:rsid w:val="367A3428"/>
    <w:rsid w:val="368112C9"/>
    <w:rsid w:val="36853990"/>
    <w:rsid w:val="36861D14"/>
    <w:rsid w:val="368F480F"/>
    <w:rsid w:val="36A51183"/>
    <w:rsid w:val="36D25D32"/>
    <w:rsid w:val="36D93E88"/>
    <w:rsid w:val="36E01FE0"/>
    <w:rsid w:val="36F21318"/>
    <w:rsid w:val="37001A71"/>
    <w:rsid w:val="37076A9B"/>
    <w:rsid w:val="370A20E7"/>
    <w:rsid w:val="3716433D"/>
    <w:rsid w:val="372301FF"/>
    <w:rsid w:val="372740B1"/>
    <w:rsid w:val="372A2CF0"/>
    <w:rsid w:val="372B1010"/>
    <w:rsid w:val="37407074"/>
    <w:rsid w:val="374D0D50"/>
    <w:rsid w:val="377073F0"/>
    <w:rsid w:val="377650DA"/>
    <w:rsid w:val="37920A5A"/>
    <w:rsid w:val="37976071"/>
    <w:rsid w:val="379926D5"/>
    <w:rsid w:val="379F4EA0"/>
    <w:rsid w:val="37C001F2"/>
    <w:rsid w:val="37CD1A92"/>
    <w:rsid w:val="37DF7020"/>
    <w:rsid w:val="37E1512C"/>
    <w:rsid w:val="37EC0CDD"/>
    <w:rsid w:val="37FE3340"/>
    <w:rsid w:val="37FF7772"/>
    <w:rsid w:val="38060621"/>
    <w:rsid w:val="38151BEF"/>
    <w:rsid w:val="38187DA5"/>
    <w:rsid w:val="381A6B1A"/>
    <w:rsid w:val="381E2EFB"/>
    <w:rsid w:val="38251694"/>
    <w:rsid w:val="382B0567"/>
    <w:rsid w:val="3833384F"/>
    <w:rsid w:val="383A5136"/>
    <w:rsid w:val="383C41E5"/>
    <w:rsid w:val="384855BD"/>
    <w:rsid w:val="386E64C2"/>
    <w:rsid w:val="38710906"/>
    <w:rsid w:val="387210AA"/>
    <w:rsid w:val="38767A34"/>
    <w:rsid w:val="38787B03"/>
    <w:rsid w:val="38935850"/>
    <w:rsid w:val="38BC7547"/>
    <w:rsid w:val="38CA1A00"/>
    <w:rsid w:val="38D77382"/>
    <w:rsid w:val="38ED3A6E"/>
    <w:rsid w:val="38F372D7"/>
    <w:rsid w:val="38F40435"/>
    <w:rsid w:val="38FE1119"/>
    <w:rsid w:val="390673B4"/>
    <w:rsid w:val="391D07F7"/>
    <w:rsid w:val="391E434D"/>
    <w:rsid w:val="394A2C6F"/>
    <w:rsid w:val="396B1563"/>
    <w:rsid w:val="396C7089"/>
    <w:rsid w:val="398C590D"/>
    <w:rsid w:val="398E6FFF"/>
    <w:rsid w:val="39926182"/>
    <w:rsid w:val="39A71E6F"/>
    <w:rsid w:val="39AF5FE9"/>
    <w:rsid w:val="39B06F76"/>
    <w:rsid w:val="39B5145B"/>
    <w:rsid w:val="39BD17E6"/>
    <w:rsid w:val="39C217EA"/>
    <w:rsid w:val="39C46EC5"/>
    <w:rsid w:val="39CE5855"/>
    <w:rsid w:val="39D83AD0"/>
    <w:rsid w:val="39D90727"/>
    <w:rsid w:val="39E514CA"/>
    <w:rsid w:val="39EA6FA0"/>
    <w:rsid w:val="39EB4452"/>
    <w:rsid w:val="3A07610F"/>
    <w:rsid w:val="3A1B7BB2"/>
    <w:rsid w:val="3A2F24B1"/>
    <w:rsid w:val="3A3810BE"/>
    <w:rsid w:val="3A39340F"/>
    <w:rsid w:val="3A461688"/>
    <w:rsid w:val="3A4818A4"/>
    <w:rsid w:val="3A683B78"/>
    <w:rsid w:val="3A754C7E"/>
    <w:rsid w:val="3A7D2F2A"/>
    <w:rsid w:val="3A93176D"/>
    <w:rsid w:val="3AA77F5C"/>
    <w:rsid w:val="3AA8477D"/>
    <w:rsid w:val="3AAD1707"/>
    <w:rsid w:val="3AC06644"/>
    <w:rsid w:val="3AC27831"/>
    <w:rsid w:val="3AD06868"/>
    <w:rsid w:val="3AD306B5"/>
    <w:rsid w:val="3AD82C28"/>
    <w:rsid w:val="3AD924FC"/>
    <w:rsid w:val="3ADD14A1"/>
    <w:rsid w:val="3AE22ED0"/>
    <w:rsid w:val="3AE5578D"/>
    <w:rsid w:val="3AEF2090"/>
    <w:rsid w:val="3B0A0908"/>
    <w:rsid w:val="3B0A77C1"/>
    <w:rsid w:val="3B0E50C4"/>
    <w:rsid w:val="3B145A16"/>
    <w:rsid w:val="3B1A26FC"/>
    <w:rsid w:val="3B362AF5"/>
    <w:rsid w:val="3B44206B"/>
    <w:rsid w:val="3B4B7647"/>
    <w:rsid w:val="3B5A363D"/>
    <w:rsid w:val="3B64270E"/>
    <w:rsid w:val="3B6B23EB"/>
    <w:rsid w:val="3B6C511E"/>
    <w:rsid w:val="3B8A07A5"/>
    <w:rsid w:val="3B8C3A12"/>
    <w:rsid w:val="3BA0301A"/>
    <w:rsid w:val="3BA174BE"/>
    <w:rsid w:val="3BAB0385"/>
    <w:rsid w:val="3BB41B2C"/>
    <w:rsid w:val="3BBA40DC"/>
    <w:rsid w:val="3BC92571"/>
    <w:rsid w:val="3BCE1639"/>
    <w:rsid w:val="3BD93CE4"/>
    <w:rsid w:val="3BDC6748"/>
    <w:rsid w:val="3BE41159"/>
    <w:rsid w:val="3BEB24E7"/>
    <w:rsid w:val="3BF06289"/>
    <w:rsid w:val="3BF10EB2"/>
    <w:rsid w:val="3C0B36C2"/>
    <w:rsid w:val="3C1852A6"/>
    <w:rsid w:val="3C230935"/>
    <w:rsid w:val="3C28373B"/>
    <w:rsid w:val="3C354BF6"/>
    <w:rsid w:val="3C3E2EB2"/>
    <w:rsid w:val="3C410D26"/>
    <w:rsid w:val="3C4131E5"/>
    <w:rsid w:val="3C4A6BB5"/>
    <w:rsid w:val="3C5A766D"/>
    <w:rsid w:val="3C65673D"/>
    <w:rsid w:val="3C7807E7"/>
    <w:rsid w:val="3C7A6072"/>
    <w:rsid w:val="3C7B7D0F"/>
    <w:rsid w:val="3C872364"/>
    <w:rsid w:val="3C8F50AC"/>
    <w:rsid w:val="3C990564"/>
    <w:rsid w:val="3CB57F2F"/>
    <w:rsid w:val="3CB66F99"/>
    <w:rsid w:val="3CC435AA"/>
    <w:rsid w:val="3CC524BA"/>
    <w:rsid w:val="3CD73D60"/>
    <w:rsid w:val="3CDA273A"/>
    <w:rsid w:val="3CDB255C"/>
    <w:rsid w:val="3CE37037"/>
    <w:rsid w:val="3CFD432D"/>
    <w:rsid w:val="3D021609"/>
    <w:rsid w:val="3D065920"/>
    <w:rsid w:val="3D0C4905"/>
    <w:rsid w:val="3D111306"/>
    <w:rsid w:val="3D31435C"/>
    <w:rsid w:val="3D3D3216"/>
    <w:rsid w:val="3D446002"/>
    <w:rsid w:val="3D6F25BF"/>
    <w:rsid w:val="3D8A6889"/>
    <w:rsid w:val="3D8B7AE6"/>
    <w:rsid w:val="3D8C37B9"/>
    <w:rsid w:val="3D8C47B0"/>
    <w:rsid w:val="3D8E0F50"/>
    <w:rsid w:val="3D9A13B6"/>
    <w:rsid w:val="3D9B2C88"/>
    <w:rsid w:val="3D9F028D"/>
    <w:rsid w:val="3DA1676A"/>
    <w:rsid w:val="3DA452F9"/>
    <w:rsid w:val="3DAA7E5A"/>
    <w:rsid w:val="3DAE5EC2"/>
    <w:rsid w:val="3DB334D8"/>
    <w:rsid w:val="3DBC0328"/>
    <w:rsid w:val="3DBE7D43"/>
    <w:rsid w:val="3DE4409A"/>
    <w:rsid w:val="3DED6BC5"/>
    <w:rsid w:val="3E0B2161"/>
    <w:rsid w:val="3E0F5761"/>
    <w:rsid w:val="3E10092B"/>
    <w:rsid w:val="3E1675C3"/>
    <w:rsid w:val="3E1D05EC"/>
    <w:rsid w:val="3E287A22"/>
    <w:rsid w:val="3E2D3C13"/>
    <w:rsid w:val="3E2E2399"/>
    <w:rsid w:val="3E3C34CE"/>
    <w:rsid w:val="3E5325C6"/>
    <w:rsid w:val="3E583C06"/>
    <w:rsid w:val="3E5F540E"/>
    <w:rsid w:val="3E612F34"/>
    <w:rsid w:val="3E843E30"/>
    <w:rsid w:val="3EA15734"/>
    <w:rsid w:val="3EA51CFF"/>
    <w:rsid w:val="3EAA4626"/>
    <w:rsid w:val="3EAB137B"/>
    <w:rsid w:val="3EAB2402"/>
    <w:rsid w:val="3ED219B9"/>
    <w:rsid w:val="3ED85CB7"/>
    <w:rsid w:val="3EED47C8"/>
    <w:rsid w:val="3EF618CF"/>
    <w:rsid w:val="3EF773F5"/>
    <w:rsid w:val="3F227457"/>
    <w:rsid w:val="3F2C3542"/>
    <w:rsid w:val="3F346786"/>
    <w:rsid w:val="3F373EB9"/>
    <w:rsid w:val="3F475F5B"/>
    <w:rsid w:val="3F4D34B9"/>
    <w:rsid w:val="3F4D3783"/>
    <w:rsid w:val="3F50405B"/>
    <w:rsid w:val="3F536D21"/>
    <w:rsid w:val="3F6E5909"/>
    <w:rsid w:val="3F8213B4"/>
    <w:rsid w:val="3F847379"/>
    <w:rsid w:val="3F8A676A"/>
    <w:rsid w:val="3F8C4BBF"/>
    <w:rsid w:val="3F8E185D"/>
    <w:rsid w:val="3FA245B7"/>
    <w:rsid w:val="3FAE03FB"/>
    <w:rsid w:val="3FAE3F57"/>
    <w:rsid w:val="3FAF7BD7"/>
    <w:rsid w:val="3FBF1272"/>
    <w:rsid w:val="3FC41290"/>
    <w:rsid w:val="3FDF2363"/>
    <w:rsid w:val="4004626D"/>
    <w:rsid w:val="40264B87"/>
    <w:rsid w:val="40275AB8"/>
    <w:rsid w:val="40334882"/>
    <w:rsid w:val="403C3AF9"/>
    <w:rsid w:val="405017F1"/>
    <w:rsid w:val="4057639D"/>
    <w:rsid w:val="405A5E8D"/>
    <w:rsid w:val="405F16F6"/>
    <w:rsid w:val="4061721C"/>
    <w:rsid w:val="406C796F"/>
    <w:rsid w:val="40776A3F"/>
    <w:rsid w:val="40864ED4"/>
    <w:rsid w:val="40911DF2"/>
    <w:rsid w:val="409B6EA7"/>
    <w:rsid w:val="40A76CB4"/>
    <w:rsid w:val="40B3005C"/>
    <w:rsid w:val="40D82C46"/>
    <w:rsid w:val="40DB5220"/>
    <w:rsid w:val="40E763ED"/>
    <w:rsid w:val="40ED4F53"/>
    <w:rsid w:val="41124A9D"/>
    <w:rsid w:val="41126FB9"/>
    <w:rsid w:val="411430A4"/>
    <w:rsid w:val="411842E9"/>
    <w:rsid w:val="41200E85"/>
    <w:rsid w:val="41232FB4"/>
    <w:rsid w:val="41271863"/>
    <w:rsid w:val="412B5044"/>
    <w:rsid w:val="41310812"/>
    <w:rsid w:val="41313092"/>
    <w:rsid w:val="41512784"/>
    <w:rsid w:val="415A1544"/>
    <w:rsid w:val="415B010F"/>
    <w:rsid w:val="415E375B"/>
    <w:rsid w:val="416209C5"/>
    <w:rsid w:val="41691F8F"/>
    <w:rsid w:val="4172609C"/>
    <w:rsid w:val="4177481D"/>
    <w:rsid w:val="418238EE"/>
    <w:rsid w:val="418C7FCD"/>
    <w:rsid w:val="41907D0A"/>
    <w:rsid w:val="41B1652B"/>
    <w:rsid w:val="41CE6B33"/>
    <w:rsid w:val="41CF4659"/>
    <w:rsid w:val="41E65CFC"/>
    <w:rsid w:val="41E9571B"/>
    <w:rsid w:val="41F20DCA"/>
    <w:rsid w:val="4201349B"/>
    <w:rsid w:val="42022339"/>
    <w:rsid w:val="42093C2E"/>
    <w:rsid w:val="421553ED"/>
    <w:rsid w:val="422A6FBF"/>
    <w:rsid w:val="423D5A66"/>
    <w:rsid w:val="423E502F"/>
    <w:rsid w:val="423F1A50"/>
    <w:rsid w:val="42421F6B"/>
    <w:rsid w:val="42432914"/>
    <w:rsid w:val="424E0688"/>
    <w:rsid w:val="427D40B5"/>
    <w:rsid w:val="4289141C"/>
    <w:rsid w:val="42903DE8"/>
    <w:rsid w:val="42917BED"/>
    <w:rsid w:val="429210B4"/>
    <w:rsid w:val="429612E9"/>
    <w:rsid w:val="42985594"/>
    <w:rsid w:val="42A355DD"/>
    <w:rsid w:val="42A72228"/>
    <w:rsid w:val="42D53DE6"/>
    <w:rsid w:val="42D76A7A"/>
    <w:rsid w:val="42E365EE"/>
    <w:rsid w:val="42E86873"/>
    <w:rsid w:val="42EA3C05"/>
    <w:rsid w:val="42EA7991"/>
    <w:rsid w:val="42EC5430"/>
    <w:rsid w:val="42F13E8B"/>
    <w:rsid w:val="42FE0D52"/>
    <w:rsid w:val="430D71E7"/>
    <w:rsid w:val="4316381E"/>
    <w:rsid w:val="432D1335"/>
    <w:rsid w:val="432F3601"/>
    <w:rsid w:val="434075BC"/>
    <w:rsid w:val="434A44A8"/>
    <w:rsid w:val="43526885"/>
    <w:rsid w:val="43670FED"/>
    <w:rsid w:val="436C6603"/>
    <w:rsid w:val="436D4129"/>
    <w:rsid w:val="43704DA1"/>
    <w:rsid w:val="43714C2B"/>
    <w:rsid w:val="437E288C"/>
    <w:rsid w:val="43813731"/>
    <w:rsid w:val="438576C5"/>
    <w:rsid w:val="43B4381A"/>
    <w:rsid w:val="43BC3444"/>
    <w:rsid w:val="43CA332A"/>
    <w:rsid w:val="43EB0CFC"/>
    <w:rsid w:val="43F139DB"/>
    <w:rsid w:val="43FF1225"/>
    <w:rsid w:val="440B5E1C"/>
    <w:rsid w:val="44110F59"/>
    <w:rsid w:val="44113879"/>
    <w:rsid w:val="4413082D"/>
    <w:rsid w:val="44305883"/>
    <w:rsid w:val="44420037"/>
    <w:rsid w:val="444B09F6"/>
    <w:rsid w:val="44571647"/>
    <w:rsid w:val="44614D18"/>
    <w:rsid w:val="44727C49"/>
    <w:rsid w:val="448160DE"/>
    <w:rsid w:val="4488746D"/>
    <w:rsid w:val="448C502F"/>
    <w:rsid w:val="449A0F4E"/>
    <w:rsid w:val="449D1676"/>
    <w:rsid w:val="44A45929"/>
    <w:rsid w:val="44A65B45"/>
    <w:rsid w:val="44C93996"/>
    <w:rsid w:val="44CF3CE6"/>
    <w:rsid w:val="44E26451"/>
    <w:rsid w:val="44FD328B"/>
    <w:rsid w:val="44FF53D3"/>
    <w:rsid w:val="4518650F"/>
    <w:rsid w:val="452C6294"/>
    <w:rsid w:val="45441E26"/>
    <w:rsid w:val="4545710C"/>
    <w:rsid w:val="454F4229"/>
    <w:rsid w:val="4550785F"/>
    <w:rsid w:val="45576E3F"/>
    <w:rsid w:val="45583241"/>
    <w:rsid w:val="45596AF1"/>
    <w:rsid w:val="45617CBE"/>
    <w:rsid w:val="45660E30"/>
    <w:rsid w:val="456C0F7F"/>
    <w:rsid w:val="457E387A"/>
    <w:rsid w:val="45802946"/>
    <w:rsid w:val="458228BC"/>
    <w:rsid w:val="458864F2"/>
    <w:rsid w:val="458E0FCA"/>
    <w:rsid w:val="459019CC"/>
    <w:rsid w:val="459203CE"/>
    <w:rsid w:val="459458B9"/>
    <w:rsid w:val="45A2455E"/>
    <w:rsid w:val="45AD6A5F"/>
    <w:rsid w:val="45BA0409"/>
    <w:rsid w:val="45BE2A1A"/>
    <w:rsid w:val="45C2641C"/>
    <w:rsid w:val="45D466E2"/>
    <w:rsid w:val="45E05087"/>
    <w:rsid w:val="45E554B0"/>
    <w:rsid w:val="45F60406"/>
    <w:rsid w:val="45FB3C6E"/>
    <w:rsid w:val="46206CE3"/>
    <w:rsid w:val="463351B6"/>
    <w:rsid w:val="46366A55"/>
    <w:rsid w:val="46470C62"/>
    <w:rsid w:val="46507138"/>
    <w:rsid w:val="465815FF"/>
    <w:rsid w:val="465B03FE"/>
    <w:rsid w:val="46775E68"/>
    <w:rsid w:val="468206A9"/>
    <w:rsid w:val="46827EEC"/>
    <w:rsid w:val="4686478C"/>
    <w:rsid w:val="46963997"/>
    <w:rsid w:val="469B6887"/>
    <w:rsid w:val="469C4197"/>
    <w:rsid w:val="46A34887"/>
    <w:rsid w:val="46AB7443"/>
    <w:rsid w:val="46B5322B"/>
    <w:rsid w:val="46C72EF2"/>
    <w:rsid w:val="46CC32F1"/>
    <w:rsid w:val="46CC73B9"/>
    <w:rsid w:val="46D70648"/>
    <w:rsid w:val="46DD216A"/>
    <w:rsid w:val="46F61F58"/>
    <w:rsid w:val="46FA5AF3"/>
    <w:rsid w:val="46FE3A16"/>
    <w:rsid w:val="46FF4C87"/>
    <w:rsid w:val="471274C2"/>
    <w:rsid w:val="47282127"/>
    <w:rsid w:val="473531B0"/>
    <w:rsid w:val="473F5DDD"/>
    <w:rsid w:val="47433410"/>
    <w:rsid w:val="47462CC7"/>
    <w:rsid w:val="474D5B58"/>
    <w:rsid w:val="475861C1"/>
    <w:rsid w:val="47627C2D"/>
    <w:rsid w:val="477309D6"/>
    <w:rsid w:val="478E6526"/>
    <w:rsid w:val="47917025"/>
    <w:rsid w:val="4792311A"/>
    <w:rsid w:val="479733DA"/>
    <w:rsid w:val="479954ED"/>
    <w:rsid w:val="47AC7782"/>
    <w:rsid w:val="47BF5748"/>
    <w:rsid w:val="47C167F2"/>
    <w:rsid w:val="48034322"/>
    <w:rsid w:val="48064E2A"/>
    <w:rsid w:val="480D7C89"/>
    <w:rsid w:val="48174664"/>
    <w:rsid w:val="481C5453"/>
    <w:rsid w:val="4828582E"/>
    <w:rsid w:val="48462CE4"/>
    <w:rsid w:val="487E46E3"/>
    <w:rsid w:val="488611D5"/>
    <w:rsid w:val="489108BA"/>
    <w:rsid w:val="4893419A"/>
    <w:rsid w:val="489A151D"/>
    <w:rsid w:val="489E67C0"/>
    <w:rsid w:val="48B32B2A"/>
    <w:rsid w:val="48B545A9"/>
    <w:rsid w:val="48C657AA"/>
    <w:rsid w:val="48C80E56"/>
    <w:rsid w:val="48CB1BA1"/>
    <w:rsid w:val="48CF796C"/>
    <w:rsid w:val="48D347EA"/>
    <w:rsid w:val="48E91EBC"/>
    <w:rsid w:val="48F03833"/>
    <w:rsid w:val="48F654FB"/>
    <w:rsid w:val="4900334A"/>
    <w:rsid w:val="490177EE"/>
    <w:rsid w:val="49033566"/>
    <w:rsid w:val="491B2DDB"/>
    <w:rsid w:val="491E2A22"/>
    <w:rsid w:val="491E5440"/>
    <w:rsid w:val="49261737"/>
    <w:rsid w:val="49307526"/>
    <w:rsid w:val="493B1763"/>
    <w:rsid w:val="494D29B7"/>
    <w:rsid w:val="49563840"/>
    <w:rsid w:val="496513AC"/>
    <w:rsid w:val="497D7AFD"/>
    <w:rsid w:val="4981448B"/>
    <w:rsid w:val="49A912B5"/>
    <w:rsid w:val="49B15FF9"/>
    <w:rsid w:val="49BE5E71"/>
    <w:rsid w:val="49C83E68"/>
    <w:rsid w:val="49DD507F"/>
    <w:rsid w:val="49DF11B1"/>
    <w:rsid w:val="49DF3B18"/>
    <w:rsid w:val="49E946B1"/>
    <w:rsid w:val="49EB4D26"/>
    <w:rsid w:val="49EE1919"/>
    <w:rsid w:val="4A0A4480"/>
    <w:rsid w:val="4A113E54"/>
    <w:rsid w:val="4A156950"/>
    <w:rsid w:val="4A193364"/>
    <w:rsid w:val="4A436B2B"/>
    <w:rsid w:val="4A4F4589"/>
    <w:rsid w:val="4A504E51"/>
    <w:rsid w:val="4A570A70"/>
    <w:rsid w:val="4A590F64"/>
    <w:rsid w:val="4A5A2706"/>
    <w:rsid w:val="4A6151FB"/>
    <w:rsid w:val="4A630034"/>
    <w:rsid w:val="4A655B5A"/>
    <w:rsid w:val="4A79747A"/>
    <w:rsid w:val="4A7F0F9A"/>
    <w:rsid w:val="4A7F4E6E"/>
    <w:rsid w:val="4A854201"/>
    <w:rsid w:val="4A8F2697"/>
    <w:rsid w:val="4A8F2BD7"/>
    <w:rsid w:val="4A977915"/>
    <w:rsid w:val="4A9B332A"/>
    <w:rsid w:val="4A9F72BE"/>
    <w:rsid w:val="4ABB24E1"/>
    <w:rsid w:val="4AC22569"/>
    <w:rsid w:val="4AC312FF"/>
    <w:rsid w:val="4AC62A9D"/>
    <w:rsid w:val="4AD97F58"/>
    <w:rsid w:val="4ADB2FBD"/>
    <w:rsid w:val="4B071F90"/>
    <w:rsid w:val="4B1F21AD"/>
    <w:rsid w:val="4B307F16"/>
    <w:rsid w:val="4B315A3D"/>
    <w:rsid w:val="4B374382"/>
    <w:rsid w:val="4B3C51D2"/>
    <w:rsid w:val="4B520121"/>
    <w:rsid w:val="4B577B99"/>
    <w:rsid w:val="4B72345D"/>
    <w:rsid w:val="4B7666AB"/>
    <w:rsid w:val="4B887D52"/>
    <w:rsid w:val="4B8B5062"/>
    <w:rsid w:val="4B8D3EC0"/>
    <w:rsid w:val="4B937D13"/>
    <w:rsid w:val="4B971D44"/>
    <w:rsid w:val="4B9B77BD"/>
    <w:rsid w:val="4BAE52DF"/>
    <w:rsid w:val="4BB04DA8"/>
    <w:rsid w:val="4BBF129A"/>
    <w:rsid w:val="4BC45398"/>
    <w:rsid w:val="4BE66A8D"/>
    <w:rsid w:val="4BE86A43"/>
    <w:rsid w:val="4BF90C50"/>
    <w:rsid w:val="4BFA45E7"/>
    <w:rsid w:val="4C125EBA"/>
    <w:rsid w:val="4C1B07BD"/>
    <w:rsid w:val="4C28311E"/>
    <w:rsid w:val="4C2F3AAE"/>
    <w:rsid w:val="4C306DDD"/>
    <w:rsid w:val="4C404189"/>
    <w:rsid w:val="4C433C79"/>
    <w:rsid w:val="4C43478E"/>
    <w:rsid w:val="4C48632C"/>
    <w:rsid w:val="4C51283A"/>
    <w:rsid w:val="4C63431C"/>
    <w:rsid w:val="4C7E2F03"/>
    <w:rsid w:val="4C923B63"/>
    <w:rsid w:val="4CA1166C"/>
    <w:rsid w:val="4CA23096"/>
    <w:rsid w:val="4CAA7C80"/>
    <w:rsid w:val="4CAF7561"/>
    <w:rsid w:val="4CC21705"/>
    <w:rsid w:val="4CCC1EC1"/>
    <w:rsid w:val="4CD15729"/>
    <w:rsid w:val="4CE23492"/>
    <w:rsid w:val="4CF035EF"/>
    <w:rsid w:val="4CF17B79"/>
    <w:rsid w:val="4D0741F2"/>
    <w:rsid w:val="4D0E5EF1"/>
    <w:rsid w:val="4D115B26"/>
    <w:rsid w:val="4D1248CE"/>
    <w:rsid w:val="4D1675E0"/>
    <w:rsid w:val="4D2A1D7D"/>
    <w:rsid w:val="4D2C51CD"/>
    <w:rsid w:val="4D2E0486"/>
    <w:rsid w:val="4D320194"/>
    <w:rsid w:val="4D427751"/>
    <w:rsid w:val="4D4B1038"/>
    <w:rsid w:val="4D5C2C87"/>
    <w:rsid w:val="4D5D6FBD"/>
    <w:rsid w:val="4D5F23B7"/>
    <w:rsid w:val="4D616AAD"/>
    <w:rsid w:val="4D6245D3"/>
    <w:rsid w:val="4D8207D1"/>
    <w:rsid w:val="4D9C0DF3"/>
    <w:rsid w:val="4D9F75D5"/>
    <w:rsid w:val="4DA1334D"/>
    <w:rsid w:val="4DA361F0"/>
    <w:rsid w:val="4DA42E3E"/>
    <w:rsid w:val="4DC60008"/>
    <w:rsid w:val="4DCD3EF8"/>
    <w:rsid w:val="4DD26D58"/>
    <w:rsid w:val="4DE078E1"/>
    <w:rsid w:val="4DF416CF"/>
    <w:rsid w:val="4E0062C6"/>
    <w:rsid w:val="4E165AE9"/>
    <w:rsid w:val="4E283D88"/>
    <w:rsid w:val="4E3150E2"/>
    <w:rsid w:val="4E320449"/>
    <w:rsid w:val="4E347D1E"/>
    <w:rsid w:val="4E37585D"/>
    <w:rsid w:val="4E39210A"/>
    <w:rsid w:val="4E3A534A"/>
    <w:rsid w:val="4E4F537F"/>
    <w:rsid w:val="4E544125"/>
    <w:rsid w:val="4E57447D"/>
    <w:rsid w:val="4E7C3473"/>
    <w:rsid w:val="4E7E1E4A"/>
    <w:rsid w:val="4E830CA5"/>
    <w:rsid w:val="4E8F764A"/>
    <w:rsid w:val="4EA12A6F"/>
    <w:rsid w:val="4EC512BE"/>
    <w:rsid w:val="4ED137BE"/>
    <w:rsid w:val="4EE47996"/>
    <w:rsid w:val="4EE51018"/>
    <w:rsid w:val="4EE66AD6"/>
    <w:rsid w:val="4EF31987"/>
    <w:rsid w:val="4EFA15E0"/>
    <w:rsid w:val="4EFB083B"/>
    <w:rsid w:val="4EFB4CDF"/>
    <w:rsid w:val="4EFC36BF"/>
    <w:rsid w:val="4F082F58"/>
    <w:rsid w:val="4F085D96"/>
    <w:rsid w:val="4F10078B"/>
    <w:rsid w:val="4F22226C"/>
    <w:rsid w:val="4F254523"/>
    <w:rsid w:val="4F2D639A"/>
    <w:rsid w:val="4F437EF3"/>
    <w:rsid w:val="4F537DA9"/>
    <w:rsid w:val="4F55619D"/>
    <w:rsid w:val="4F5D473A"/>
    <w:rsid w:val="4F617011"/>
    <w:rsid w:val="4F6208BA"/>
    <w:rsid w:val="4F714FA1"/>
    <w:rsid w:val="4F82555B"/>
    <w:rsid w:val="4F837195"/>
    <w:rsid w:val="4F8627FB"/>
    <w:rsid w:val="4F8E345D"/>
    <w:rsid w:val="4F915ABE"/>
    <w:rsid w:val="4F986150"/>
    <w:rsid w:val="4F996CEF"/>
    <w:rsid w:val="4F9A44F8"/>
    <w:rsid w:val="4FA64F43"/>
    <w:rsid w:val="4FA827DD"/>
    <w:rsid w:val="4FAD422B"/>
    <w:rsid w:val="4FB12301"/>
    <w:rsid w:val="4FD74E04"/>
    <w:rsid w:val="4FDA078E"/>
    <w:rsid w:val="4FDE780F"/>
    <w:rsid w:val="4FE004F9"/>
    <w:rsid w:val="4FF4241D"/>
    <w:rsid w:val="4FFE7A31"/>
    <w:rsid w:val="500B32A2"/>
    <w:rsid w:val="50342257"/>
    <w:rsid w:val="50372103"/>
    <w:rsid w:val="504F5199"/>
    <w:rsid w:val="505E3973"/>
    <w:rsid w:val="505F2086"/>
    <w:rsid w:val="50615458"/>
    <w:rsid w:val="506F1A69"/>
    <w:rsid w:val="50732A31"/>
    <w:rsid w:val="50A21AC0"/>
    <w:rsid w:val="50AA076B"/>
    <w:rsid w:val="50BB4726"/>
    <w:rsid w:val="50BC7435"/>
    <w:rsid w:val="50C8299F"/>
    <w:rsid w:val="50D64FDA"/>
    <w:rsid w:val="50EC3C76"/>
    <w:rsid w:val="50EF4359"/>
    <w:rsid w:val="50F46B6E"/>
    <w:rsid w:val="50F814D6"/>
    <w:rsid w:val="510F2A0C"/>
    <w:rsid w:val="511D2CEB"/>
    <w:rsid w:val="5129657E"/>
    <w:rsid w:val="512C2F2E"/>
    <w:rsid w:val="51387B25"/>
    <w:rsid w:val="51422684"/>
    <w:rsid w:val="51501312"/>
    <w:rsid w:val="515F1555"/>
    <w:rsid w:val="51682448"/>
    <w:rsid w:val="516A4775"/>
    <w:rsid w:val="516C3C72"/>
    <w:rsid w:val="517E5069"/>
    <w:rsid w:val="518014CC"/>
    <w:rsid w:val="51825244"/>
    <w:rsid w:val="518A0F3A"/>
    <w:rsid w:val="51905BB3"/>
    <w:rsid w:val="5196613F"/>
    <w:rsid w:val="519B130F"/>
    <w:rsid w:val="519E4485"/>
    <w:rsid w:val="51A258E6"/>
    <w:rsid w:val="51A4105B"/>
    <w:rsid w:val="51A74CAA"/>
    <w:rsid w:val="51B353FD"/>
    <w:rsid w:val="51B65558"/>
    <w:rsid w:val="51CB489B"/>
    <w:rsid w:val="51D42791"/>
    <w:rsid w:val="51D66A4D"/>
    <w:rsid w:val="51E75BE4"/>
    <w:rsid w:val="51EB2FE3"/>
    <w:rsid w:val="51ED6B61"/>
    <w:rsid w:val="51EE25B0"/>
    <w:rsid w:val="51F472A7"/>
    <w:rsid w:val="51F67DA0"/>
    <w:rsid w:val="520970DF"/>
    <w:rsid w:val="520D1904"/>
    <w:rsid w:val="52234B03"/>
    <w:rsid w:val="522E2CD6"/>
    <w:rsid w:val="522F250E"/>
    <w:rsid w:val="52320A18"/>
    <w:rsid w:val="524D0C86"/>
    <w:rsid w:val="528D20F2"/>
    <w:rsid w:val="529B4840"/>
    <w:rsid w:val="52AD4542"/>
    <w:rsid w:val="52B7233F"/>
    <w:rsid w:val="52BE405A"/>
    <w:rsid w:val="52C24423"/>
    <w:rsid w:val="52CA05EC"/>
    <w:rsid w:val="52E107B5"/>
    <w:rsid w:val="52E5645F"/>
    <w:rsid w:val="52E71802"/>
    <w:rsid w:val="52ED3ABB"/>
    <w:rsid w:val="52ED493F"/>
    <w:rsid w:val="52F65EE9"/>
    <w:rsid w:val="530A3743"/>
    <w:rsid w:val="5311062D"/>
    <w:rsid w:val="53334FE8"/>
    <w:rsid w:val="53335E8F"/>
    <w:rsid w:val="53386929"/>
    <w:rsid w:val="533A0E0E"/>
    <w:rsid w:val="53424C8B"/>
    <w:rsid w:val="53440E09"/>
    <w:rsid w:val="53547C35"/>
    <w:rsid w:val="53587DA8"/>
    <w:rsid w:val="536410A5"/>
    <w:rsid w:val="536F625B"/>
    <w:rsid w:val="537163C4"/>
    <w:rsid w:val="53742D24"/>
    <w:rsid w:val="53852DC9"/>
    <w:rsid w:val="538F3C48"/>
    <w:rsid w:val="53935897"/>
    <w:rsid w:val="53975DDF"/>
    <w:rsid w:val="53BD07B5"/>
    <w:rsid w:val="53C102A5"/>
    <w:rsid w:val="53CC2289"/>
    <w:rsid w:val="53DD0E57"/>
    <w:rsid w:val="54170C2B"/>
    <w:rsid w:val="54182B0F"/>
    <w:rsid w:val="541A5C08"/>
    <w:rsid w:val="541C1980"/>
    <w:rsid w:val="542A27DF"/>
    <w:rsid w:val="542B6C4F"/>
    <w:rsid w:val="54436F0C"/>
    <w:rsid w:val="54516F68"/>
    <w:rsid w:val="545253A1"/>
    <w:rsid w:val="545661B6"/>
    <w:rsid w:val="545676F1"/>
    <w:rsid w:val="545C7765"/>
    <w:rsid w:val="54607102"/>
    <w:rsid w:val="547C241E"/>
    <w:rsid w:val="547E6196"/>
    <w:rsid w:val="54890697"/>
    <w:rsid w:val="548D63DA"/>
    <w:rsid w:val="549844AA"/>
    <w:rsid w:val="54990098"/>
    <w:rsid w:val="54997C8E"/>
    <w:rsid w:val="54A454D1"/>
    <w:rsid w:val="54AA699E"/>
    <w:rsid w:val="54C6454F"/>
    <w:rsid w:val="54D750FC"/>
    <w:rsid w:val="54E322B6"/>
    <w:rsid w:val="54E67898"/>
    <w:rsid w:val="54ED6E78"/>
    <w:rsid w:val="54FB1595"/>
    <w:rsid w:val="550015C4"/>
    <w:rsid w:val="55012924"/>
    <w:rsid w:val="550C5657"/>
    <w:rsid w:val="55114D70"/>
    <w:rsid w:val="552A00CC"/>
    <w:rsid w:val="552F7E79"/>
    <w:rsid w:val="5536095F"/>
    <w:rsid w:val="55384F08"/>
    <w:rsid w:val="5540021F"/>
    <w:rsid w:val="55592760"/>
    <w:rsid w:val="556233C2"/>
    <w:rsid w:val="55654C60"/>
    <w:rsid w:val="55864B84"/>
    <w:rsid w:val="558E2A4A"/>
    <w:rsid w:val="5596306C"/>
    <w:rsid w:val="559D4643"/>
    <w:rsid w:val="55AC0AE1"/>
    <w:rsid w:val="55AC5952"/>
    <w:rsid w:val="55BE7338"/>
    <w:rsid w:val="55C6182B"/>
    <w:rsid w:val="55C70F5C"/>
    <w:rsid w:val="55CE2806"/>
    <w:rsid w:val="55ED1CA5"/>
    <w:rsid w:val="55FF46A4"/>
    <w:rsid w:val="560B0B50"/>
    <w:rsid w:val="56272BEF"/>
    <w:rsid w:val="562C466B"/>
    <w:rsid w:val="563034C0"/>
    <w:rsid w:val="563563DF"/>
    <w:rsid w:val="563B3BA0"/>
    <w:rsid w:val="564156CE"/>
    <w:rsid w:val="56442E9D"/>
    <w:rsid w:val="565C2507"/>
    <w:rsid w:val="56600384"/>
    <w:rsid w:val="56816D7B"/>
    <w:rsid w:val="568C6321"/>
    <w:rsid w:val="56936B3D"/>
    <w:rsid w:val="56986AC8"/>
    <w:rsid w:val="569C16FB"/>
    <w:rsid w:val="56A641D2"/>
    <w:rsid w:val="56AD768C"/>
    <w:rsid w:val="56B2349A"/>
    <w:rsid w:val="56BC7FA7"/>
    <w:rsid w:val="56CF45D9"/>
    <w:rsid w:val="56E95231"/>
    <w:rsid w:val="56F22227"/>
    <w:rsid w:val="56F26DF6"/>
    <w:rsid w:val="572648C3"/>
    <w:rsid w:val="573126FC"/>
    <w:rsid w:val="57326850"/>
    <w:rsid w:val="574063DF"/>
    <w:rsid w:val="576378C6"/>
    <w:rsid w:val="576C0528"/>
    <w:rsid w:val="57743881"/>
    <w:rsid w:val="577477EE"/>
    <w:rsid w:val="57763155"/>
    <w:rsid w:val="57772D4F"/>
    <w:rsid w:val="577F06F8"/>
    <w:rsid w:val="578435E0"/>
    <w:rsid w:val="57891DF9"/>
    <w:rsid w:val="578F386F"/>
    <w:rsid w:val="57917F8F"/>
    <w:rsid w:val="57961DA8"/>
    <w:rsid w:val="57997140"/>
    <w:rsid w:val="579D547E"/>
    <w:rsid w:val="57AA00FC"/>
    <w:rsid w:val="57AE108B"/>
    <w:rsid w:val="57BA2DF0"/>
    <w:rsid w:val="57C44FF9"/>
    <w:rsid w:val="57C57E1A"/>
    <w:rsid w:val="57C70FC9"/>
    <w:rsid w:val="57CC7B8E"/>
    <w:rsid w:val="57D25BCC"/>
    <w:rsid w:val="57E44562"/>
    <w:rsid w:val="57EC7D0C"/>
    <w:rsid w:val="57ED1AC2"/>
    <w:rsid w:val="57FB365A"/>
    <w:rsid w:val="58061765"/>
    <w:rsid w:val="580664AC"/>
    <w:rsid w:val="581A6523"/>
    <w:rsid w:val="581E0CE0"/>
    <w:rsid w:val="58241E7E"/>
    <w:rsid w:val="582E57DE"/>
    <w:rsid w:val="58375C4D"/>
    <w:rsid w:val="585032FA"/>
    <w:rsid w:val="58586CFE"/>
    <w:rsid w:val="58676F42"/>
    <w:rsid w:val="587374E7"/>
    <w:rsid w:val="58767185"/>
    <w:rsid w:val="58854AEB"/>
    <w:rsid w:val="588E2720"/>
    <w:rsid w:val="58AB0121"/>
    <w:rsid w:val="58C96D36"/>
    <w:rsid w:val="58CA156E"/>
    <w:rsid w:val="58E80082"/>
    <w:rsid w:val="58F20F01"/>
    <w:rsid w:val="59026A05"/>
    <w:rsid w:val="59030A18"/>
    <w:rsid w:val="59044790"/>
    <w:rsid w:val="5919023C"/>
    <w:rsid w:val="59307CF2"/>
    <w:rsid w:val="593C3F2A"/>
    <w:rsid w:val="593D4460"/>
    <w:rsid w:val="594378D4"/>
    <w:rsid w:val="594476B5"/>
    <w:rsid w:val="59471461"/>
    <w:rsid w:val="5953690D"/>
    <w:rsid w:val="59583222"/>
    <w:rsid w:val="595B43F5"/>
    <w:rsid w:val="596B0902"/>
    <w:rsid w:val="59752C35"/>
    <w:rsid w:val="5987789B"/>
    <w:rsid w:val="59936587"/>
    <w:rsid w:val="59946511"/>
    <w:rsid w:val="599772D5"/>
    <w:rsid w:val="5999137D"/>
    <w:rsid w:val="59A47AC5"/>
    <w:rsid w:val="59B63CDD"/>
    <w:rsid w:val="59C8294E"/>
    <w:rsid w:val="59D20BCD"/>
    <w:rsid w:val="59D909FC"/>
    <w:rsid w:val="59E162BC"/>
    <w:rsid w:val="59E66C00"/>
    <w:rsid w:val="59EE791A"/>
    <w:rsid w:val="59EF71EF"/>
    <w:rsid w:val="59F36CDF"/>
    <w:rsid w:val="59F64390"/>
    <w:rsid w:val="59F82547"/>
    <w:rsid w:val="5A0053F8"/>
    <w:rsid w:val="5A0549DF"/>
    <w:rsid w:val="5A06737A"/>
    <w:rsid w:val="5A132410"/>
    <w:rsid w:val="5A201ED0"/>
    <w:rsid w:val="5A35785F"/>
    <w:rsid w:val="5A4412E8"/>
    <w:rsid w:val="5A495851"/>
    <w:rsid w:val="5A4A2677"/>
    <w:rsid w:val="5A53777D"/>
    <w:rsid w:val="5A556CF4"/>
    <w:rsid w:val="5A621114"/>
    <w:rsid w:val="5A6279C1"/>
    <w:rsid w:val="5A6574B1"/>
    <w:rsid w:val="5A737E20"/>
    <w:rsid w:val="5A8F1209"/>
    <w:rsid w:val="5A900F23"/>
    <w:rsid w:val="5A910CA3"/>
    <w:rsid w:val="5A973D61"/>
    <w:rsid w:val="5AA03158"/>
    <w:rsid w:val="5AB973DB"/>
    <w:rsid w:val="5AC4366F"/>
    <w:rsid w:val="5AC76F55"/>
    <w:rsid w:val="5AC8204A"/>
    <w:rsid w:val="5ACC27AE"/>
    <w:rsid w:val="5B064BA6"/>
    <w:rsid w:val="5B1175DD"/>
    <w:rsid w:val="5B1F1D55"/>
    <w:rsid w:val="5B230D16"/>
    <w:rsid w:val="5B305D11"/>
    <w:rsid w:val="5B3255E5"/>
    <w:rsid w:val="5B3C2907"/>
    <w:rsid w:val="5B436F34"/>
    <w:rsid w:val="5B451FB1"/>
    <w:rsid w:val="5B461090"/>
    <w:rsid w:val="5B4D4167"/>
    <w:rsid w:val="5B4E6197"/>
    <w:rsid w:val="5B574A14"/>
    <w:rsid w:val="5B661732"/>
    <w:rsid w:val="5B7E4CCE"/>
    <w:rsid w:val="5B813AD7"/>
    <w:rsid w:val="5B8147BE"/>
    <w:rsid w:val="5B820DB9"/>
    <w:rsid w:val="5B9435F7"/>
    <w:rsid w:val="5B9B0C28"/>
    <w:rsid w:val="5BB4006A"/>
    <w:rsid w:val="5BB71FA7"/>
    <w:rsid w:val="5BBD5A67"/>
    <w:rsid w:val="5BC1388C"/>
    <w:rsid w:val="5BD26DC8"/>
    <w:rsid w:val="5BD43B38"/>
    <w:rsid w:val="5BDB19E8"/>
    <w:rsid w:val="5BEC1DB3"/>
    <w:rsid w:val="5BF27627"/>
    <w:rsid w:val="5BF85546"/>
    <w:rsid w:val="5BF94701"/>
    <w:rsid w:val="5BFB00CD"/>
    <w:rsid w:val="5BFC2988"/>
    <w:rsid w:val="5C0B3483"/>
    <w:rsid w:val="5C0C22DA"/>
    <w:rsid w:val="5C227043"/>
    <w:rsid w:val="5C3B3C09"/>
    <w:rsid w:val="5C3F2626"/>
    <w:rsid w:val="5C423BF1"/>
    <w:rsid w:val="5C435698"/>
    <w:rsid w:val="5C4A5EFE"/>
    <w:rsid w:val="5C5320E8"/>
    <w:rsid w:val="5C5B0B6B"/>
    <w:rsid w:val="5C621EFA"/>
    <w:rsid w:val="5C651CE9"/>
    <w:rsid w:val="5C7C6004"/>
    <w:rsid w:val="5C86208C"/>
    <w:rsid w:val="5C875E04"/>
    <w:rsid w:val="5C9853FD"/>
    <w:rsid w:val="5C997C1E"/>
    <w:rsid w:val="5C9B37EF"/>
    <w:rsid w:val="5C9C18B0"/>
    <w:rsid w:val="5CBC1B3E"/>
    <w:rsid w:val="5CBF559E"/>
    <w:rsid w:val="5CC107EC"/>
    <w:rsid w:val="5CDC6150"/>
    <w:rsid w:val="5CE6025C"/>
    <w:rsid w:val="5CEE19DF"/>
    <w:rsid w:val="5CEF798E"/>
    <w:rsid w:val="5CFA4828"/>
    <w:rsid w:val="5CFB7527"/>
    <w:rsid w:val="5D132869"/>
    <w:rsid w:val="5D1F5BC8"/>
    <w:rsid w:val="5D1F7DEB"/>
    <w:rsid w:val="5D3A7E33"/>
    <w:rsid w:val="5D3C099D"/>
    <w:rsid w:val="5D3D3ECA"/>
    <w:rsid w:val="5D423AD9"/>
    <w:rsid w:val="5D486529"/>
    <w:rsid w:val="5D4C6D59"/>
    <w:rsid w:val="5D4D1DA6"/>
    <w:rsid w:val="5D4D515A"/>
    <w:rsid w:val="5D4F5EF1"/>
    <w:rsid w:val="5D6A6887"/>
    <w:rsid w:val="5D854AC8"/>
    <w:rsid w:val="5D8616AC"/>
    <w:rsid w:val="5D8965C1"/>
    <w:rsid w:val="5D9407D9"/>
    <w:rsid w:val="5DA95631"/>
    <w:rsid w:val="5DB76275"/>
    <w:rsid w:val="5DB936F0"/>
    <w:rsid w:val="5DC46028"/>
    <w:rsid w:val="5DCF52D2"/>
    <w:rsid w:val="5DDC7224"/>
    <w:rsid w:val="5DEA3A19"/>
    <w:rsid w:val="5E0A2849"/>
    <w:rsid w:val="5E0A695F"/>
    <w:rsid w:val="5E0A73D8"/>
    <w:rsid w:val="5E0C7381"/>
    <w:rsid w:val="5E127950"/>
    <w:rsid w:val="5E2751A9"/>
    <w:rsid w:val="5E441493"/>
    <w:rsid w:val="5E56389F"/>
    <w:rsid w:val="5E5E057C"/>
    <w:rsid w:val="5E6A4A18"/>
    <w:rsid w:val="5E6B1115"/>
    <w:rsid w:val="5E8705C0"/>
    <w:rsid w:val="5E921787"/>
    <w:rsid w:val="5E9B53AC"/>
    <w:rsid w:val="5EA13984"/>
    <w:rsid w:val="5EA362B5"/>
    <w:rsid w:val="5EAC56AE"/>
    <w:rsid w:val="5EB26465"/>
    <w:rsid w:val="5EB7471A"/>
    <w:rsid w:val="5ED05841"/>
    <w:rsid w:val="5EEC01A1"/>
    <w:rsid w:val="5EF01A3F"/>
    <w:rsid w:val="5EF1773A"/>
    <w:rsid w:val="5EF808F3"/>
    <w:rsid w:val="5F006ED4"/>
    <w:rsid w:val="5F0D3387"/>
    <w:rsid w:val="5F0E273F"/>
    <w:rsid w:val="5F15360C"/>
    <w:rsid w:val="5F2A273D"/>
    <w:rsid w:val="5F2B7E88"/>
    <w:rsid w:val="5F2E074A"/>
    <w:rsid w:val="5F2F12F7"/>
    <w:rsid w:val="5F334021"/>
    <w:rsid w:val="5F4104EC"/>
    <w:rsid w:val="5F547D23"/>
    <w:rsid w:val="5F5A335C"/>
    <w:rsid w:val="5F6E7D60"/>
    <w:rsid w:val="5F7E0212"/>
    <w:rsid w:val="5F843908"/>
    <w:rsid w:val="5F9E6097"/>
    <w:rsid w:val="5FA47A3B"/>
    <w:rsid w:val="5FAF237A"/>
    <w:rsid w:val="5FB472E2"/>
    <w:rsid w:val="5FC34346"/>
    <w:rsid w:val="5FC664A1"/>
    <w:rsid w:val="5FD44EBD"/>
    <w:rsid w:val="5FE67A72"/>
    <w:rsid w:val="5FED2422"/>
    <w:rsid w:val="5FF0364B"/>
    <w:rsid w:val="5FFA069B"/>
    <w:rsid w:val="5FFC308D"/>
    <w:rsid w:val="600357A2"/>
    <w:rsid w:val="6017124D"/>
    <w:rsid w:val="6018396B"/>
    <w:rsid w:val="601A7075"/>
    <w:rsid w:val="601E4BE6"/>
    <w:rsid w:val="60342C87"/>
    <w:rsid w:val="603542B9"/>
    <w:rsid w:val="604162CA"/>
    <w:rsid w:val="604543ED"/>
    <w:rsid w:val="604F56C2"/>
    <w:rsid w:val="6051475F"/>
    <w:rsid w:val="606445E2"/>
    <w:rsid w:val="6065714D"/>
    <w:rsid w:val="606E1852"/>
    <w:rsid w:val="60902B96"/>
    <w:rsid w:val="6091740C"/>
    <w:rsid w:val="609B32A8"/>
    <w:rsid w:val="60A70B9F"/>
    <w:rsid w:val="60AB1CDC"/>
    <w:rsid w:val="60AB55C2"/>
    <w:rsid w:val="60B0718E"/>
    <w:rsid w:val="60B6678D"/>
    <w:rsid w:val="60BF5B6D"/>
    <w:rsid w:val="60BF686D"/>
    <w:rsid w:val="60C177D8"/>
    <w:rsid w:val="60DD5099"/>
    <w:rsid w:val="60EC1735"/>
    <w:rsid w:val="60F5158E"/>
    <w:rsid w:val="611E004C"/>
    <w:rsid w:val="61265BEC"/>
    <w:rsid w:val="6126799A"/>
    <w:rsid w:val="61371BA7"/>
    <w:rsid w:val="613E65B6"/>
    <w:rsid w:val="613F6CAD"/>
    <w:rsid w:val="61412B5A"/>
    <w:rsid w:val="6144655B"/>
    <w:rsid w:val="61543311"/>
    <w:rsid w:val="61690053"/>
    <w:rsid w:val="616F244D"/>
    <w:rsid w:val="61753621"/>
    <w:rsid w:val="617A1A94"/>
    <w:rsid w:val="61823AF1"/>
    <w:rsid w:val="61842912"/>
    <w:rsid w:val="618648DC"/>
    <w:rsid w:val="618B075A"/>
    <w:rsid w:val="61926DDD"/>
    <w:rsid w:val="61B00EE2"/>
    <w:rsid w:val="61B428F1"/>
    <w:rsid w:val="61C64475"/>
    <w:rsid w:val="61DE0274"/>
    <w:rsid w:val="61DE5A58"/>
    <w:rsid w:val="61FE1E3F"/>
    <w:rsid w:val="6201706F"/>
    <w:rsid w:val="6218657D"/>
    <w:rsid w:val="62255EA3"/>
    <w:rsid w:val="62297D08"/>
    <w:rsid w:val="622B2652"/>
    <w:rsid w:val="62300905"/>
    <w:rsid w:val="62373E29"/>
    <w:rsid w:val="623F6839"/>
    <w:rsid w:val="62423097"/>
    <w:rsid w:val="624520A2"/>
    <w:rsid w:val="625A7176"/>
    <w:rsid w:val="62685B52"/>
    <w:rsid w:val="62774225"/>
    <w:rsid w:val="628C1A7E"/>
    <w:rsid w:val="628F156F"/>
    <w:rsid w:val="629E4F24"/>
    <w:rsid w:val="62AC3B4B"/>
    <w:rsid w:val="62AD7971"/>
    <w:rsid w:val="62BD432E"/>
    <w:rsid w:val="62BF5F4D"/>
    <w:rsid w:val="62C20707"/>
    <w:rsid w:val="62C54E85"/>
    <w:rsid w:val="62CD1C07"/>
    <w:rsid w:val="62CF1CB5"/>
    <w:rsid w:val="62FB6C04"/>
    <w:rsid w:val="62FD0BCE"/>
    <w:rsid w:val="63114351"/>
    <w:rsid w:val="63217ACE"/>
    <w:rsid w:val="6322166E"/>
    <w:rsid w:val="632B5D35"/>
    <w:rsid w:val="633C08FC"/>
    <w:rsid w:val="63434B78"/>
    <w:rsid w:val="63473BF7"/>
    <w:rsid w:val="6356208C"/>
    <w:rsid w:val="635F1926"/>
    <w:rsid w:val="636D1723"/>
    <w:rsid w:val="6370314E"/>
    <w:rsid w:val="637E191F"/>
    <w:rsid w:val="6386547D"/>
    <w:rsid w:val="63957059"/>
    <w:rsid w:val="63A26AC8"/>
    <w:rsid w:val="63A67BCF"/>
    <w:rsid w:val="63A948B2"/>
    <w:rsid w:val="63D6075B"/>
    <w:rsid w:val="63D90F65"/>
    <w:rsid w:val="63F6449A"/>
    <w:rsid w:val="64065BEA"/>
    <w:rsid w:val="640B12F7"/>
    <w:rsid w:val="641A6BBD"/>
    <w:rsid w:val="64243F39"/>
    <w:rsid w:val="643C2F76"/>
    <w:rsid w:val="643E38A2"/>
    <w:rsid w:val="64463F68"/>
    <w:rsid w:val="64496236"/>
    <w:rsid w:val="644D1854"/>
    <w:rsid w:val="64671727"/>
    <w:rsid w:val="646F3406"/>
    <w:rsid w:val="647924D6"/>
    <w:rsid w:val="64850E7B"/>
    <w:rsid w:val="64852BFC"/>
    <w:rsid w:val="648A6492"/>
    <w:rsid w:val="64A51C86"/>
    <w:rsid w:val="64B53C5B"/>
    <w:rsid w:val="64B71E86"/>
    <w:rsid w:val="64B81251"/>
    <w:rsid w:val="64BB664B"/>
    <w:rsid w:val="64BE613B"/>
    <w:rsid w:val="64CA0FEB"/>
    <w:rsid w:val="64CD1FF5"/>
    <w:rsid w:val="64D43BB1"/>
    <w:rsid w:val="64DB4F3F"/>
    <w:rsid w:val="64DC36BB"/>
    <w:rsid w:val="64E07693"/>
    <w:rsid w:val="64E35BA2"/>
    <w:rsid w:val="64E5191A"/>
    <w:rsid w:val="64E6305B"/>
    <w:rsid w:val="64EC051E"/>
    <w:rsid w:val="64FD11E2"/>
    <w:rsid w:val="64FD6C64"/>
    <w:rsid w:val="65046244"/>
    <w:rsid w:val="65071890"/>
    <w:rsid w:val="650E7F4F"/>
    <w:rsid w:val="651A4B64"/>
    <w:rsid w:val="651B358E"/>
    <w:rsid w:val="6532706E"/>
    <w:rsid w:val="653320C8"/>
    <w:rsid w:val="654F5B39"/>
    <w:rsid w:val="65536205"/>
    <w:rsid w:val="6578453C"/>
    <w:rsid w:val="65830CC3"/>
    <w:rsid w:val="65A842A2"/>
    <w:rsid w:val="65AA0448"/>
    <w:rsid w:val="65B12E03"/>
    <w:rsid w:val="65BC5882"/>
    <w:rsid w:val="65D666C7"/>
    <w:rsid w:val="65D82384"/>
    <w:rsid w:val="65E17E00"/>
    <w:rsid w:val="65FC6F1B"/>
    <w:rsid w:val="66042274"/>
    <w:rsid w:val="6608123F"/>
    <w:rsid w:val="660B3602"/>
    <w:rsid w:val="660B53B0"/>
    <w:rsid w:val="66202B8F"/>
    <w:rsid w:val="662A0F33"/>
    <w:rsid w:val="662B15AE"/>
    <w:rsid w:val="663761A5"/>
    <w:rsid w:val="6638312F"/>
    <w:rsid w:val="66501015"/>
    <w:rsid w:val="66546D57"/>
    <w:rsid w:val="66586FD4"/>
    <w:rsid w:val="66731FEF"/>
    <w:rsid w:val="667743E7"/>
    <w:rsid w:val="66794A10"/>
    <w:rsid w:val="667E51BF"/>
    <w:rsid w:val="668D5F7A"/>
    <w:rsid w:val="668F7D8F"/>
    <w:rsid w:val="66911CFF"/>
    <w:rsid w:val="66937143"/>
    <w:rsid w:val="6694184A"/>
    <w:rsid w:val="66976CAB"/>
    <w:rsid w:val="669D21A8"/>
    <w:rsid w:val="669F5707"/>
    <w:rsid w:val="66B27D9D"/>
    <w:rsid w:val="66B9772A"/>
    <w:rsid w:val="66BB6DD6"/>
    <w:rsid w:val="66F0650D"/>
    <w:rsid w:val="66F45E44"/>
    <w:rsid w:val="66FD73EF"/>
    <w:rsid w:val="66FF100D"/>
    <w:rsid w:val="670C5884"/>
    <w:rsid w:val="6711019E"/>
    <w:rsid w:val="671B7875"/>
    <w:rsid w:val="671C441F"/>
    <w:rsid w:val="671C54B8"/>
    <w:rsid w:val="67233893"/>
    <w:rsid w:val="672754C8"/>
    <w:rsid w:val="672D2C46"/>
    <w:rsid w:val="672E216A"/>
    <w:rsid w:val="673812B4"/>
    <w:rsid w:val="67477694"/>
    <w:rsid w:val="676525E1"/>
    <w:rsid w:val="677D1FBF"/>
    <w:rsid w:val="67957627"/>
    <w:rsid w:val="67A56D2E"/>
    <w:rsid w:val="67BA708E"/>
    <w:rsid w:val="67C52405"/>
    <w:rsid w:val="67CF59B1"/>
    <w:rsid w:val="67D363A2"/>
    <w:rsid w:val="67D40EEA"/>
    <w:rsid w:val="67DB7519"/>
    <w:rsid w:val="67EB7182"/>
    <w:rsid w:val="67F323F9"/>
    <w:rsid w:val="67F87BB6"/>
    <w:rsid w:val="67FD6F7B"/>
    <w:rsid w:val="68016A6B"/>
    <w:rsid w:val="680926E1"/>
    <w:rsid w:val="680D62DD"/>
    <w:rsid w:val="68106CAE"/>
    <w:rsid w:val="681E59DE"/>
    <w:rsid w:val="68206F76"/>
    <w:rsid w:val="68235EC8"/>
    <w:rsid w:val="68242759"/>
    <w:rsid w:val="68294AB3"/>
    <w:rsid w:val="682A5882"/>
    <w:rsid w:val="682B1D3A"/>
    <w:rsid w:val="68407061"/>
    <w:rsid w:val="6845259B"/>
    <w:rsid w:val="684C193B"/>
    <w:rsid w:val="685C0145"/>
    <w:rsid w:val="68665A66"/>
    <w:rsid w:val="687E630D"/>
    <w:rsid w:val="688A022F"/>
    <w:rsid w:val="689D582E"/>
    <w:rsid w:val="68A86086"/>
    <w:rsid w:val="68BE2BAE"/>
    <w:rsid w:val="68D9579B"/>
    <w:rsid w:val="68E12A6D"/>
    <w:rsid w:val="690753A8"/>
    <w:rsid w:val="69085BD7"/>
    <w:rsid w:val="690D7691"/>
    <w:rsid w:val="690F51B7"/>
    <w:rsid w:val="69147F54"/>
    <w:rsid w:val="691C0CBD"/>
    <w:rsid w:val="69297F94"/>
    <w:rsid w:val="693009CF"/>
    <w:rsid w:val="69356DB9"/>
    <w:rsid w:val="69375F4D"/>
    <w:rsid w:val="693A042A"/>
    <w:rsid w:val="693B5FAC"/>
    <w:rsid w:val="693F0722"/>
    <w:rsid w:val="694C01BA"/>
    <w:rsid w:val="694C640B"/>
    <w:rsid w:val="695A0B28"/>
    <w:rsid w:val="696042F6"/>
    <w:rsid w:val="696655F6"/>
    <w:rsid w:val="69674FF3"/>
    <w:rsid w:val="697D0373"/>
    <w:rsid w:val="69831701"/>
    <w:rsid w:val="69873E85"/>
    <w:rsid w:val="698F3636"/>
    <w:rsid w:val="69A8026D"/>
    <w:rsid w:val="69A973BA"/>
    <w:rsid w:val="69AC2A06"/>
    <w:rsid w:val="69B22768"/>
    <w:rsid w:val="69B25CAD"/>
    <w:rsid w:val="69B813AB"/>
    <w:rsid w:val="69C45169"/>
    <w:rsid w:val="69C95CCE"/>
    <w:rsid w:val="69CB5582"/>
    <w:rsid w:val="69D342FB"/>
    <w:rsid w:val="69D475CA"/>
    <w:rsid w:val="69F421D8"/>
    <w:rsid w:val="6A0146F7"/>
    <w:rsid w:val="6A0E23FF"/>
    <w:rsid w:val="6A124AEE"/>
    <w:rsid w:val="6A2B43EA"/>
    <w:rsid w:val="6A3159EA"/>
    <w:rsid w:val="6A336716"/>
    <w:rsid w:val="6A3D1DC1"/>
    <w:rsid w:val="6A43278C"/>
    <w:rsid w:val="6A5161D1"/>
    <w:rsid w:val="6A58493C"/>
    <w:rsid w:val="6A697395"/>
    <w:rsid w:val="6A6D03E7"/>
    <w:rsid w:val="6A7A6D6E"/>
    <w:rsid w:val="6A8A1585"/>
    <w:rsid w:val="6A8A48B0"/>
    <w:rsid w:val="6A8A4A65"/>
    <w:rsid w:val="6A9E4A45"/>
    <w:rsid w:val="6AA107A4"/>
    <w:rsid w:val="6AA638F9"/>
    <w:rsid w:val="6AAB2A25"/>
    <w:rsid w:val="6AB06375"/>
    <w:rsid w:val="6AB62F2F"/>
    <w:rsid w:val="6AC124E1"/>
    <w:rsid w:val="6AC34B1A"/>
    <w:rsid w:val="6AD761A9"/>
    <w:rsid w:val="6AFA03ED"/>
    <w:rsid w:val="6AFE0C1C"/>
    <w:rsid w:val="6B0E3B1C"/>
    <w:rsid w:val="6B1A5A70"/>
    <w:rsid w:val="6B260606"/>
    <w:rsid w:val="6B2A452A"/>
    <w:rsid w:val="6B2F4279"/>
    <w:rsid w:val="6B403D4E"/>
    <w:rsid w:val="6B431AA9"/>
    <w:rsid w:val="6B44458E"/>
    <w:rsid w:val="6B462CE5"/>
    <w:rsid w:val="6B6331EF"/>
    <w:rsid w:val="6B6433C1"/>
    <w:rsid w:val="6B68554D"/>
    <w:rsid w:val="6B7457A6"/>
    <w:rsid w:val="6B7845CD"/>
    <w:rsid w:val="6BA75B7B"/>
    <w:rsid w:val="6BAB2859"/>
    <w:rsid w:val="6BAD1792"/>
    <w:rsid w:val="6BAE6F0A"/>
    <w:rsid w:val="6BB00774"/>
    <w:rsid w:val="6BB43DF4"/>
    <w:rsid w:val="6BBA6161"/>
    <w:rsid w:val="6BC51DE3"/>
    <w:rsid w:val="6BDF4621"/>
    <w:rsid w:val="6BDF52B2"/>
    <w:rsid w:val="6BE75F78"/>
    <w:rsid w:val="6BF568E6"/>
    <w:rsid w:val="6BF62E67"/>
    <w:rsid w:val="6BFA4591"/>
    <w:rsid w:val="6C0B0EF6"/>
    <w:rsid w:val="6C1B3FF4"/>
    <w:rsid w:val="6C211F1F"/>
    <w:rsid w:val="6C250542"/>
    <w:rsid w:val="6C292A34"/>
    <w:rsid w:val="6C30612E"/>
    <w:rsid w:val="6C3D64DF"/>
    <w:rsid w:val="6C400AE5"/>
    <w:rsid w:val="6C4943EB"/>
    <w:rsid w:val="6C53185F"/>
    <w:rsid w:val="6C557385"/>
    <w:rsid w:val="6C581191"/>
    <w:rsid w:val="6C5F311C"/>
    <w:rsid w:val="6C63595F"/>
    <w:rsid w:val="6C6A2416"/>
    <w:rsid w:val="6C6D4FB4"/>
    <w:rsid w:val="6C85495E"/>
    <w:rsid w:val="6CB07E3D"/>
    <w:rsid w:val="6CB544B3"/>
    <w:rsid w:val="6CC14A1B"/>
    <w:rsid w:val="6CCE2099"/>
    <w:rsid w:val="6CD7423E"/>
    <w:rsid w:val="6CE00138"/>
    <w:rsid w:val="6CEC6744"/>
    <w:rsid w:val="6CF411D6"/>
    <w:rsid w:val="6CF9436E"/>
    <w:rsid w:val="6D0E431A"/>
    <w:rsid w:val="6D1E3C1B"/>
    <w:rsid w:val="6D2A0812"/>
    <w:rsid w:val="6D2D4039"/>
    <w:rsid w:val="6D340359"/>
    <w:rsid w:val="6D3925E1"/>
    <w:rsid w:val="6D417909"/>
    <w:rsid w:val="6D463172"/>
    <w:rsid w:val="6D4D32CD"/>
    <w:rsid w:val="6D4E6686"/>
    <w:rsid w:val="6D5314E0"/>
    <w:rsid w:val="6D611D5A"/>
    <w:rsid w:val="6D6769E8"/>
    <w:rsid w:val="6D68722D"/>
    <w:rsid w:val="6D836174"/>
    <w:rsid w:val="6D975F8F"/>
    <w:rsid w:val="6D9B526C"/>
    <w:rsid w:val="6DAE002C"/>
    <w:rsid w:val="6DC62EE5"/>
    <w:rsid w:val="6DCF2230"/>
    <w:rsid w:val="6DE22E9A"/>
    <w:rsid w:val="6DE40A08"/>
    <w:rsid w:val="6DEF5C4E"/>
    <w:rsid w:val="6DF36C40"/>
    <w:rsid w:val="6DF826BE"/>
    <w:rsid w:val="6DFA6436"/>
    <w:rsid w:val="6E00303C"/>
    <w:rsid w:val="6E077F73"/>
    <w:rsid w:val="6E0C23DF"/>
    <w:rsid w:val="6E0C43BB"/>
    <w:rsid w:val="6E0E5E44"/>
    <w:rsid w:val="6E150030"/>
    <w:rsid w:val="6E1C51CD"/>
    <w:rsid w:val="6E274D51"/>
    <w:rsid w:val="6E2C680B"/>
    <w:rsid w:val="6E375EBF"/>
    <w:rsid w:val="6E392FE3"/>
    <w:rsid w:val="6E457899"/>
    <w:rsid w:val="6E494CC8"/>
    <w:rsid w:val="6E4E22DE"/>
    <w:rsid w:val="6E5B69F3"/>
    <w:rsid w:val="6E7020B9"/>
    <w:rsid w:val="6E7C509D"/>
    <w:rsid w:val="6E867CCA"/>
    <w:rsid w:val="6E922A91"/>
    <w:rsid w:val="6EA26AAA"/>
    <w:rsid w:val="6EAB7730"/>
    <w:rsid w:val="6EAF7543"/>
    <w:rsid w:val="6ED4008B"/>
    <w:rsid w:val="6EDD1DFE"/>
    <w:rsid w:val="6EFA2466"/>
    <w:rsid w:val="6EFC7417"/>
    <w:rsid w:val="6F011A46"/>
    <w:rsid w:val="6F093777"/>
    <w:rsid w:val="6F0E7CBF"/>
    <w:rsid w:val="6F123FC1"/>
    <w:rsid w:val="6F157219"/>
    <w:rsid w:val="6F1803BE"/>
    <w:rsid w:val="6F2332AE"/>
    <w:rsid w:val="6F26681E"/>
    <w:rsid w:val="6F3516F0"/>
    <w:rsid w:val="6F36202D"/>
    <w:rsid w:val="6F3E4319"/>
    <w:rsid w:val="6F430D66"/>
    <w:rsid w:val="6F520264"/>
    <w:rsid w:val="6F525A07"/>
    <w:rsid w:val="6F5E1933"/>
    <w:rsid w:val="6F6072D0"/>
    <w:rsid w:val="6F685881"/>
    <w:rsid w:val="6F6A75EB"/>
    <w:rsid w:val="6F711063"/>
    <w:rsid w:val="6F7748A4"/>
    <w:rsid w:val="6F782DA8"/>
    <w:rsid w:val="6F7C2E7B"/>
    <w:rsid w:val="6F852744"/>
    <w:rsid w:val="6F8A5583"/>
    <w:rsid w:val="6F8D32DA"/>
    <w:rsid w:val="6F8F6202"/>
    <w:rsid w:val="6F9141E6"/>
    <w:rsid w:val="6F9B12C8"/>
    <w:rsid w:val="6FCD1926"/>
    <w:rsid w:val="6FDB5DF3"/>
    <w:rsid w:val="6FE85F9F"/>
    <w:rsid w:val="6FF11ABB"/>
    <w:rsid w:val="6FF60E7F"/>
    <w:rsid w:val="6FF61A33"/>
    <w:rsid w:val="6FFD3FBC"/>
    <w:rsid w:val="70003797"/>
    <w:rsid w:val="70127584"/>
    <w:rsid w:val="70281FCA"/>
    <w:rsid w:val="702E0619"/>
    <w:rsid w:val="704333EF"/>
    <w:rsid w:val="705160B5"/>
    <w:rsid w:val="705C6566"/>
    <w:rsid w:val="70627B20"/>
    <w:rsid w:val="706978A3"/>
    <w:rsid w:val="70707057"/>
    <w:rsid w:val="70713E9B"/>
    <w:rsid w:val="7076641D"/>
    <w:rsid w:val="70893AA1"/>
    <w:rsid w:val="708D69DB"/>
    <w:rsid w:val="708F6DAD"/>
    <w:rsid w:val="709E7BDC"/>
    <w:rsid w:val="70A02019"/>
    <w:rsid w:val="70AA18F5"/>
    <w:rsid w:val="70B116D3"/>
    <w:rsid w:val="70B52AE8"/>
    <w:rsid w:val="70B65447"/>
    <w:rsid w:val="70BD7BEF"/>
    <w:rsid w:val="70C96594"/>
    <w:rsid w:val="70CF69A0"/>
    <w:rsid w:val="70EB02B8"/>
    <w:rsid w:val="70F25D07"/>
    <w:rsid w:val="70FE2DD6"/>
    <w:rsid w:val="71032FCB"/>
    <w:rsid w:val="71066EA0"/>
    <w:rsid w:val="710D46D2"/>
    <w:rsid w:val="71295082"/>
    <w:rsid w:val="71464833"/>
    <w:rsid w:val="71465101"/>
    <w:rsid w:val="715D3215"/>
    <w:rsid w:val="716360A0"/>
    <w:rsid w:val="716C3BAF"/>
    <w:rsid w:val="716E0241"/>
    <w:rsid w:val="717958C4"/>
    <w:rsid w:val="718072C3"/>
    <w:rsid w:val="71866233"/>
    <w:rsid w:val="71881333"/>
    <w:rsid w:val="71990674"/>
    <w:rsid w:val="71A566B9"/>
    <w:rsid w:val="71A75EC2"/>
    <w:rsid w:val="71AE7E81"/>
    <w:rsid w:val="71D5395B"/>
    <w:rsid w:val="71EC253A"/>
    <w:rsid w:val="71FC02A3"/>
    <w:rsid w:val="72001192"/>
    <w:rsid w:val="721A43C2"/>
    <w:rsid w:val="721F01E0"/>
    <w:rsid w:val="72253442"/>
    <w:rsid w:val="72331F17"/>
    <w:rsid w:val="724A54B2"/>
    <w:rsid w:val="72572EF3"/>
    <w:rsid w:val="725B76BF"/>
    <w:rsid w:val="72916C3D"/>
    <w:rsid w:val="72927752"/>
    <w:rsid w:val="72994D50"/>
    <w:rsid w:val="729B5D0E"/>
    <w:rsid w:val="72A077AF"/>
    <w:rsid w:val="72BB015E"/>
    <w:rsid w:val="72BC20E7"/>
    <w:rsid w:val="72CE5139"/>
    <w:rsid w:val="72D354A8"/>
    <w:rsid w:val="72D80D10"/>
    <w:rsid w:val="72E34BBC"/>
    <w:rsid w:val="72E71E32"/>
    <w:rsid w:val="730E0309"/>
    <w:rsid w:val="73133033"/>
    <w:rsid w:val="73171838"/>
    <w:rsid w:val="73235A27"/>
    <w:rsid w:val="73310977"/>
    <w:rsid w:val="734C1F62"/>
    <w:rsid w:val="734F6817"/>
    <w:rsid w:val="736020E6"/>
    <w:rsid w:val="73607D61"/>
    <w:rsid w:val="737A54CD"/>
    <w:rsid w:val="737A6DA3"/>
    <w:rsid w:val="73A260FB"/>
    <w:rsid w:val="73AC5827"/>
    <w:rsid w:val="73B67E5B"/>
    <w:rsid w:val="73C82C4E"/>
    <w:rsid w:val="73E3796C"/>
    <w:rsid w:val="73E57241"/>
    <w:rsid w:val="73F748BF"/>
    <w:rsid w:val="7400051E"/>
    <w:rsid w:val="741D0C51"/>
    <w:rsid w:val="74223346"/>
    <w:rsid w:val="7423420D"/>
    <w:rsid w:val="742354A8"/>
    <w:rsid w:val="74244545"/>
    <w:rsid w:val="742F4960"/>
    <w:rsid w:val="743401C8"/>
    <w:rsid w:val="74393A30"/>
    <w:rsid w:val="74406994"/>
    <w:rsid w:val="74516CC8"/>
    <w:rsid w:val="74560EAC"/>
    <w:rsid w:val="745A17D0"/>
    <w:rsid w:val="74604B19"/>
    <w:rsid w:val="746E3A56"/>
    <w:rsid w:val="747516B3"/>
    <w:rsid w:val="74773B61"/>
    <w:rsid w:val="747F5E47"/>
    <w:rsid w:val="7487654A"/>
    <w:rsid w:val="74A013B9"/>
    <w:rsid w:val="74B23D8F"/>
    <w:rsid w:val="74C57072"/>
    <w:rsid w:val="74CD28A0"/>
    <w:rsid w:val="74D01F8E"/>
    <w:rsid w:val="74D04C04"/>
    <w:rsid w:val="750202C6"/>
    <w:rsid w:val="75023E22"/>
    <w:rsid w:val="750D2EF3"/>
    <w:rsid w:val="750E27C7"/>
    <w:rsid w:val="75104791"/>
    <w:rsid w:val="751F49D4"/>
    <w:rsid w:val="75232716"/>
    <w:rsid w:val="75260BD6"/>
    <w:rsid w:val="752C3307"/>
    <w:rsid w:val="7530551E"/>
    <w:rsid w:val="753541F8"/>
    <w:rsid w:val="7537545A"/>
    <w:rsid w:val="754F6B52"/>
    <w:rsid w:val="75542513"/>
    <w:rsid w:val="755521A4"/>
    <w:rsid w:val="7555646B"/>
    <w:rsid w:val="75590139"/>
    <w:rsid w:val="75594E45"/>
    <w:rsid w:val="755F6335"/>
    <w:rsid w:val="756B1EDB"/>
    <w:rsid w:val="75AA39D6"/>
    <w:rsid w:val="75AD3D60"/>
    <w:rsid w:val="75B23A9A"/>
    <w:rsid w:val="75B74481"/>
    <w:rsid w:val="75BB10E5"/>
    <w:rsid w:val="75C7055F"/>
    <w:rsid w:val="75CF513F"/>
    <w:rsid w:val="75D27C98"/>
    <w:rsid w:val="75DA08FB"/>
    <w:rsid w:val="75E80E2F"/>
    <w:rsid w:val="75F70992"/>
    <w:rsid w:val="760F5282"/>
    <w:rsid w:val="762A2467"/>
    <w:rsid w:val="763E532E"/>
    <w:rsid w:val="765E777E"/>
    <w:rsid w:val="766C1E9B"/>
    <w:rsid w:val="768E1AEB"/>
    <w:rsid w:val="768F268A"/>
    <w:rsid w:val="769C0D76"/>
    <w:rsid w:val="76A60936"/>
    <w:rsid w:val="76B45CD1"/>
    <w:rsid w:val="76D40EC1"/>
    <w:rsid w:val="76D52438"/>
    <w:rsid w:val="76DB5293"/>
    <w:rsid w:val="76DE41F1"/>
    <w:rsid w:val="76E761E8"/>
    <w:rsid w:val="76EC474C"/>
    <w:rsid w:val="76FB7C66"/>
    <w:rsid w:val="76FF3DB6"/>
    <w:rsid w:val="77043E82"/>
    <w:rsid w:val="770976EA"/>
    <w:rsid w:val="773332BE"/>
    <w:rsid w:val="77356731"/>
    <w:rsid w:val="773C56F0"/>
    <w:rsid w:val="77680E8A"/>
    <w:rsid w:val="776C7C79"/>
    <w:rsid w:val="77732F07"/>
    <w:rsid w:val="777D563E"/>
    <w:rsid w:val="77876861"/>
    <w:rsid w:val="778D031B"/>
    <w:rsid w:val="779142B0"/>
    <w:rsid w:val="779C40BA"/>
    <w:rsid w:val="77B513D9"/>
    <w:rsid w:val="77B83BA1"/>
    <w:rsid w:val="77BE304E"/>
    <w:rsid w:val="77C61831"/>
    <w:rsid w:val="77CA1BDB"/>
    <w:rsid w:val="77CC74B2"/>
    <w:rsid w:val="77FF2C95"/>
    <w:rsid w:val="78066A22"/>
    <w:rsid w:val="7821689C"/>
    <w:rsid w:val="78250553"/>
    <w:rsid w:val="782C796F"/>
    <w:rsid w:val="78420A56"/>
    <w:rsid w:val="785A1CD5"/>
    <w:rsid w:val="785C1A9B"/>
    <w:rsid w:val="78623556"/>
    <w:rsid w:val="786B2D60"/>
    <w:rsid w:val="786C0B7B"/>
    <w:rsid w:val="78804BD2"/>
    <w:rsid w:val="7883527A"/>
    <w:rsid w:val="788D4D3E"/>
    <w:rsid w:val="78C338C8"/>
    <w:rsid w:val="78F06E6C"/>
    <w:rsid w:val="78F45A6B"/>
    <w:rsid w:val="78F85A2D"/>
    <w:rsid w:val="78FF2392"/>
    <w:rsid w:val="78FF7D95"/>
    <w:rsid w:val="79365903"/>
    <w:rsid w:val="793A002E"/>
    <w:rsid w:val="79425135"/>
    <w:rsid w:val="794F0F42"/>
    <w:rsid w:val="79543924"/>
    <w:rsid w:val="796400F9"/>
    <w:rsid w:val="796D5B00"/>
    <w:rsid w:val="798474FC"/>
    <w:rsid w:val="79894B12"/>
    <w:rsid w:val="7993773F"/>
    <w:rsid w:val="799A6D1F"/>
    <w:rsid w:val="79A1326E"/>
    <w:rsid w:val="79AB034E"/>
    <w:rsid w:val="79B0209F"/>
    <w:rsid w:val="79B61C76"/>
    <w:rsid w:val="79D313F3"/>
    <w:rsid w:val="79D833A4"/>
    <w:rsid w:val="79DF4732"/>
    <w:rsid w:val="79E165C8"/>
    <w:rsid w:val="79EC5AB4"/>
    <w:rsid w:val="79EF41EF"/>
    <w:rsid w:val="79F309DD"/>
    <w:rsid w:val="79FA77BE"/>
    <w:rsid w:val="7A055AE6"/>
    <w:rsid w:val="7A0D5B55"/>
    <w:rsid w:val="7A1E34AC"/>
    <w:rsid w:val="7A2165B5"/>
    <w:rsid w:val="7A311E25"/>
    <w:rsid w:val="7A4835C9"/>
    <w:rsid w:val="7A486D1D"/>
    <w:rsid w:val="7A5E1AFB"/>
    <w:rsid w:val="7A6510DB"/>
    <w:rsid w:val="7A6D1D3E"/>
    <w:rsid w:val="7A762160"/>
    <w:rsid w:val="7A834D01"/>
    <w:rsid w:val="7A885D53"/>
    <w:rsid w:val="7A8A161B"/>
    <w:rsid w:val="7A8F43AA"/>
    <w:rsid w:val="7A900EA1"/>
    <w:rsid w:val="7A925C48"/>
    <w:rsid w:val="7A992B33"/>
    <w:rsid w:val="7A9B68AB"/>
    <w:rsid w:val="7A9E5A95"/>
    <w:rsid w:val="7AA977A4"/>
    <w:rsid w:val="7AB43E11"/>
    <w:rsid w:val="7ABE4C8F"/>
    <w:rsid w:val="7AC030A4"/>
    <w:rsid w:val="7AC07CD8"/>
    <w:rsid w:val="7ACA53E2"/>
    <w:rsid w:val="7AD57EFF"/>
    <w:rsid w:val="7ADA1A55"/>
    <w:rsid w:val="7AE53FCA"/>
    <w:rsid w:val="7AEA7832"/>
    <w:rsid w:val="7AED10D1"/>
    <w:rsid w:val="7AF427D1"/>
    <w:rsid w:val="7AFC0CA8"/>
    <w:rsid w:val="7B0408F4"/>
    <w:rsid w:val="7B046C10"/>
    <w:rsid w:val="7B0568FD"/>
    <w:rsid w:val="7B0C1E7C"/>
    <w:rsid w:val="7B22065A"/>
    <w:rsid w:val="7B2645A8"/>
    <w:rsid w:val="7B2C0ABF"/>
    <w:rsid w:val="7B38620F"/>
    <w:rsid w:val="7B4A341B"/>
    <w:rsid w:val="7B4B6523"/>
    <w:rsid w:val="7B711D02"/>
    <w:rsid w:val="7B7D3104"/>
    <w:rsid w:val="7B7D4202"/>
    <w:rsid w:val="7B7F710A"/>
    <w:rsid w:val="7B8B558D"/>
    <w:rsid w:val="7B8C08E9"/>
    <w:rsid w:val="7B902188"/>
    <w:rsid w:val="7B9C09A9"/>
    <w:rsid w:val="7B9F23CB"/>
    <w:rsid w:val="7B9F499A"/>
    <w:rsid w:val="7BA82956"/>
    <w:rsid w:val="7BB16918"/>
    <w:rsid w:val="7BCB22D1"/>
    <w:rsid w:val="7BD06A28"/>
    <w:rsid w:val="7BD82090"/>
    <w:rsid w:val="7C044924"/>
    <w:rsid w:val="7C127041"/>
    <w:rsid w:val="7C286864"/>
    <w:rsid w:val="7C602EA2"/>
    <w:rsid w:val="7C604400"/>
    <w:rsid w:val="7C6D4277"/>
    <w:rsid w:val="7C6F7AAD"/>
    <w:rsid w:val="7C77293A"/>
    <w:rsid w:val="7C9B7036"/>
    <w:rsid w:val="7C9C6705"/>
    <w:rsid w:val="7C9E6B26"/>
    <w:rsid w:val="7CA26617"/>
    <w:rsid w:val="7CAB2FF1"/>
    <w:rsid w:val="7CB04B1B"/>
    <w:rsid w:val="7CB60073"/>
    <w:rsid w:val="7CB670F0"/>
    <w:rsid w:val="7CB90771"/>
    <w:rsid w:val="7CCA627E"/>
    <w:rsid w:val="7CD83A05"/>
    <w:rsid w:val="7CE857FA"/>
    <w:rsid w:val="7CEF4FBE"/>
    <w:rsid w:val="7CFC5143"/>
    <w:rsid w:val="7D016812"/>
    <w:rsid w:val="7D084E70"/>
    <w:rsid w:val="7D1172F8"/>
    <w:rsid w:val="7D144827"/>
    <w:rsid w:val="7D1F1DE1"/>
    <w:rsid w:val="7D2D4BBF"/>
    <w:rsid w:val="7D3D7183"/>
    <w:rsid w:val="7D423956"/>
    <w:rsid w:val="7D4C6582"/>
    <w:rsid w:val="7D5038A7"/>
    <w:rsid w:val="7D790DAD"/>
    <w:rsid w:val="7D823CC2"/>
    <w:rsid w:val="7D891584"/>
    <w:rsid w:val="7D8A34CA"/>
    <w:rsid w:val="7D986C14"/>
    <w:rsid w:val="7D997F21"/>
    <w:rsid w:val="7D9A140B"/>
    <w:rsid w:val="7DA55C93"/>
    <w:rsid w:val="7DAA0006"/>
    <w:rsid w:val="7DAC35AE"/>
    <w:rsid w:val="7DAE2D99"/>
    <w:rsid w:val="7DB31A2A"/>
    <w:rsid w:val="7DDD367E"/>
    <w:rsid w:val="7DE247F1"/>
    <w:rsid w:val="7DEB467C"/>
    <w:rsid w:val="7DF02CEB"/>
    <w:rsid w:val="7E17093E"/>
    <w:rsid w:val="7E33504C"/>
    <w:rsid w:val="7E384388"/>
    <w:rsid w:val="7E490D14"/>
    <w:rsid w:val="7E532050"/>
    <w:rsid w:val="7E5356EF"/>
    <w:rsid w:val="7E5576B9"/>
    <w:rsid w:val="7E745D91"/>
    <w:rsid w:val="7E804AB8"/>
    <w:rsid w:val="7E860D71"/>
    <w:rsid w:val="7E8F426D"/>
    <w:rsid w:val="7E9B7A63"/>
    <w:rsid w:val="7E9C52E7"/>
    <w:rsid w:val="7EB3138B"/>
    <w:rsid w:val="7EC65EC0"/>
    <w:rsid w:val="7EC9775F"/>
    <w:rsid w:val="7EF26D04"/>
    <w:rsid w:val="7EF50554"/>
    <w:rsid w:val="7EF50D7A"/>
    <w:rsid w:val="7EFD1381"/>
    <w:rsid w:val="7F01339C"/>
    <w:rsid w:val="7F033F55"/>
    <w:rsid w:val="7F0D1D41"/>
    <w:rsid w:val="7F1906E6"/>
    <w:rsid w:val="7F1B26B0"/>
    <w:rsid w:val="7F2A7175"/>
    <w:rsid w:val="7F2C666B"/>
    <w:rsid w:val="7F30419D"/>
    <w:rsid w:val="7F3A2D05"/>
    <w:rsid w:val="7F423331"/>
    <w:rsid w:val="7F495F5D"/>
    <w:rsid w:val="7F4A41E3"/>
    <w:rsid w:val="7F5671CF"/>
    <w:rsid w:val="7F5C547A"/>
    <w:rsid w:val="7F7818B1"/>
    <w:rsid w:val="7F78365F"/>
    <w:rsid w:val="7F9935D5"/>
    <w:rsid w:val="7FAE2F34"/>
    <w:rsid w:val="7FB623D9"/>
    <w:rsid w:val="7FB9265C"/>
    <w:rsid w:val="7FC56178"/>
    <w:rsid w:val="7FD8346E"/>
    <w:rsid w:val="7FDA3717"/>
    <w:rsid w:val="7FDB6FCA"/>
    <w:rsid w:val="7FDD7A04"/>
    <w:rsid w:val="7FE01514"/>
    <w:rsid w:val="7FE27B5E"/>
    <w:rsid w:val="7FEB2083"/>
    <w:rsid w:val="7FEB28F9"/>
    <w:rsid w:val="7FF014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qFormat="1" w:uiPriority="99"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qFormat="1"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360"/>
    </w:pPr>
    <w:rPr>
      <w:rFonts w:ascii="Times New Roman" w:hAnsi="Times New Roman" w:eastAsia="宋体" w:cs="Times New Roman"/>
      <w:sz w:val="22"/>
      <w:szCs w:val="22"/>
      <w:lang w:val="en-US" w:eastAsia="zh-CN" w:bidi="ar-SA"/>
    </w:rPr>
  </w:style>
  <w:style w:type="paragraph" w:styleId="2">
    <w:name w:val="heading 1"/>
    <w:basedOn w:val="1"/>
    <w:next w:val="1"/>
    <w:link w:val="98"/>
    <w:qFormat/>
    <w:uiPriority w:val="9"/>
    <w:pPr>
      <w:pBdr>
        <w:top w:val="none" w:color="auto" w:sz="0" w:space="1"/>
        <w:left w:val="none" w:color="auto" w:sz="0" w:space="4"/>
        <w:bottom w:val="none" w:color="auto" w:sz="0" w:space="0"/>
        <w:right w:val="none" w:color="auto" w:sz="0" w:space="4"/>
      </w:pBdr>
      <w:spacing w:before="600" w:after="80"/>
      <w:ind w:firstLine="0"/>
      <w:outlineLvl w:val="0"/>
    </w:pPr>
    <w:rPr>
      <w:rFonts w:ascii="Arial Unicode MS" w:hAnsi="Arial Unicode MS" w:eastAsia="方正书宋简体"/>
      <w:b/>
      <w:bCs/>
      <w:color w:val="365F91"/>
      <w:sz w:val="24"/>
      <w:szCs w:val="24"/>
    </w:rPr>
  </w:style>
  <w:style w:type="paragraph" w:styleId="3">
    <w:name w:val="heading 2"/>
    <w:basedOn w:val="1"/>
    <w:next w:val="4"/>
    <w:link w:val="67"/>
    <w:qFormat/>
    <w:uiPriority w:val="9"/>
    <w:pPr>
      <w:pBdr>
        <w:top w:val="none" w:color="auto" w:sz="0" w:space="1"/>
        <w:left w:val="none" w:color="auto" w:sz="0" w:space="4"/>
        <w:bottom w:val="none" w:color="auto" w:sz="0" w:space="0"/>
        <w:right w:val="none" w:color="auto" w:sz="0" w:space="4"/>
      </w:pBdr>
      <w:spacing w:before="200" w:after="80"/>
      <w:ind w:firstLine="0"/>
      <w:outlineLvl w:val="1"/>
    </w:pPr>
    <w:rPr>
      <w:rFonts w:ascii="Arial Unicode MS" w:hAnsi="Arial Unicode MS" w:eastAsia="方正书宋简体"/>
      <w:color w:val="365F91"/>
      <w:sz w:val="24"/>
      <w:szCs w:val="24"/>
    </w:rPr>
  </w:style>
  <w:style w:type="paragraph" w:styleId="5">
    <w:name w:val="heading 3"/>
    <w:basedOn w:val="1"/>
    <w:next w:val="1"/>
    <w:link w:val="68"/>
    <w:qFormat/>
    <w:uiPriority w:val="9"/>
    <w:pPr>
      <w:pBdr>
        <w:top w:val="none" w:color="auto" w:sz="0" w:space="1"/>
        <w:left w:val="none" w:color="auto" w:sz="0" w:space="4"/>
        <w:bottom w:val="none" w:color="auto" w:sz="0" w:space="0"/>
        <w:right w:val="none" w:color="auto" w:sz="0" w:space="4"/>
      </w:pBdr>
      <w:spacing w:before="200" w:after="80"/>
      <w:ind w:firstLine="0"/>
      <w:outlineLvl w:val="2"/>
    </w:pPr>
    <w:rPr>
      <w:rFonts w:ascii="Arial Unicode MS" w:hAnsi="Arial Unicode MS" w:eastAsia="方正书宋简体"/>
      <w:color w:val="4F81BD"/>
      <w:sz w:val="24"/>
      <w:szCs w:val="24"/>
    </w:rPr>
  </w:style>
  <w:style w:type="paragraph" w:styleId="6">
    <w:name w:val="heading 4"/>
    <w:basedOn w:val="1"/>
    <w:next w:val="1"/>
    <w:link w:val="69"/>
    <w:qFormat/>
    <w:uiPriority w:val="9"/>
    <w:pPr>
      <w:pBdr>
        <w:bottom w:val="single" w:color="B8CCE4" w:sz="4" w:space="2"/>
      </w:pBdr>
      <w:spacing w:before="200" w:after="80"/>
      <w:ind w:firstLine="0"/>
      <w:outlineLvl w:val="3"/>
    </w:pPr>
    <w:rPr>
      <w:rFonts w:ascii="Arial Unicode MS" w:hAnsi="Arial Unicode MS" w:eastAsia="方正书宋简体"/>
      <w:i/>
      <w:iCs/>
      <w:color w:val="4F81BD"/>
      <w:sz w:val="24"/>
      <w:szCs w:val="24"/>
    </w:rPr>
  </w:style>
  <w:style w:type="paragraph" w:styleId="7">
    <w:name w:val="heading 5"/>
    <w:basedOn w:val="1"/>
    <w:next w:val="1"/>
    <w:link w:val="70"/>
    <w:qFormat/>
    <w:uiPriority w:val="9"/>
    <w:pPr>
      <w:spacing w:before="200" w:after="80"/>
      <w:ind w:firstLine="0"/>
      <w:outlineLvl w:val="4"/>
    </w:pPr>
    <w:rPr>
      <w:rFonts w:ascii="Arial Unicode MS" w:hAnsi="Arial Unicode MS" w:eastAsia="方正书宋简体"/>
      <w:color w:val="4F81BD"/>
      <w:sz w:val="20"/>
      <w:szCs w:val="20"/>
    </w:rPr>
  </w:style>
  <w:style w:type="paragraph" w:styleId="8">
    <w:name w:val="heading 6"/>
    <w:basedOn w:val="1"/>
    <w:next w:val="1"/>
    <w:link w:val="71"/>
    <w:qFormat/>
    <w:uiPriority w:val="9"/>
    <w:pPr>
      <w:spacing w:before="280" w:after="100"/>
      <w:ind w:firstLine="0"/>
      <w:outlineLvl w:val="5"/>
    </w:pPr>
    <w:rPr>
      <w:rFonts w:ascii="Arial Unicode MS" w:hAnsi="Arial Unicode MS" w:eastAsia="方正书宋简体"/>
      <w:i/>
      <w:iCs/>
      <w:color w:val="4F81BD"/>
      <w:sz w:val="20"/>
      <w:szCs w:val="20"/>
    </w:rPr>
  </w:style>
  <w:style w:type="paragraph" w:styleId="9">
    <w:name w:val="heading 7"/>
    <w:basedOn w:val="1"/>
    <w:next w:val="1"/>
    <w:link w:val="72"/>
    <w:qFormat/>
    <w:uiPriority w:val="9"/>
    <w:pPr>
      <w:spacing w:before="320" w:after="100"/>
      <w:ind w:firstLine="0"/>
      <w:outlineLvl w:val="6"/>
    </w:pPr>
    <w:rPr>
      <w:rFonts w:ascii="Arial Unicode MS" w:hAnsi="Arial Unicode MS" w:eastAsia="方正书宋简体"/>
      <w:b/>
      <w:bCs/>
      <w:color w:val="9BBB59"/>
      <w:sz w:val="20"/>
      <w:szCs w:val="20"/>
    </w:rPr>
  </w:style>
  <w:style w:type="paragraph" w:styleId="10">
    <w:name w:val="heading 8"/>
    <w:basedOn w:val="1"/>
    <w:next w:val="1"/>
    <w:link w:val="73"/>
    <w:qFormat/>
    <w:uiPriority w:val="9"/>
    <w:pPr>
      <w:spacing w:before="320" w:after="100"/>
      <w:ind w:firstLine="0"/>
      <w:outlineLvl w:val="7"/>
    </w:pPr>
    <w:rPr>
      <w:rFonts w:ascii="Arial Unicode MS" w:hAnsi="Arial Unicode MS" w:eastAsia="方正书宋简体"/>
      <w:b/>
      <w:bCs/>
      <w:i/>
      <w:iCs/>
      <w:color w:val="9BBB59"/>
      <w:sz w:val="20"/>
      <w:szCs w:val="20"/>
    </w:rPr>
  </w:style>
  <w:style w:type="paragraph" w:styleId="11">
    <w:name w:val="heading 9"/>
    <w:basedOn w:val="1"/>
    <w:next w:val="1"/>
    <w:link w:val="74"/>
    <w:qFormat/>
    <w:uiPriority w:val="9"/>
    <w:pPr>
      <w:spacing w:before="320" w:after="100"/>
      <w:ind w:firstLine="0"/>
      <w:outlineLvl w:val="8"/>
    </w:pPr>
    <w:rPr>
      <w:rFonts w:ascii="Arial Unicode MS" w:hAnsi="Arial Unicode MS" w:eastAsia="方正书宋简体"/>
      <w:i/>
      <w:iCs/>
      <w:color w:val="9BBB59"/>
      <w:sz w:val="20"/>
      <w:szCs w:val="20"/>
    </w:rPr>
  </w:style>
  <w:style w:type="character" w:default="1" w:styleId="54">
    <w:name w:val="Default Paragraph Font"/>
    <w:qFormat/>
    <w:uiPriority w:val="0"/>
  </w:style>
  <w:style w:type="table" w:default="1" w:styleId="52">
    <w:name w:val="Normal Table"/>
    <w:semiHidden/>
    <w:qFormat/>
    <w:uiPriority w:val="0"/>
    <w:tblPr>
      <w:tblCellMar>
        <w:top w:w="0" w:type="dxa"/>
        <w:left w:w="108" w:type="dxa"/>
        <w:bottom w:w="0" w:type="dxa"/>
        <w:right w:w="108" w:type="dxa"/>
      </w:tblCellMar>
    </w:tblPr>
  </w:style>
  <w:style w:type="paragraph" w:customStyle="1" w:styleId="4">
    <w:name w:val="首行"/>
    <w:basedOn w:val="1"/>
    <w:qFormat/>
    <w:uiPriority w:val="0"/>
    <w:pPr>
      <w:spacing w:before="156" w:after="156"/>
    </w:pPr>
  </w:style>
  <w:style w:type="paragraph" w:styleId="12">
    <w:name w:val="List Number 2"/>
    <w:basedOn w:val="1"/>
    <w:qFormat/>
    <w:uiPriority w:val="0"/>
    <w:pPr>
      <w:tabs>
        <w:tab w:val="left" w:pos="1260"/>
        <w:tab w:val="left" w:pos="1680"/>
      </w:tabs>
      <w:spacing w:afterLines="50"/>
      <w:ind w:left="3360" w:hanging="420"/>
    </w:pPr>
    <w:rPr>
      <w:rFonts w:eastAsia="仿宋_GB2312"/>
      <w:sz w:val="24"/>
      <w:szCs w:val="20"/>
    </w:rPr>
  </w:style>
  <w:style w:type="paragraph" w:styleId="13">
    <w:name w:val="List Number"/>
    <w:basedOn w:val="1"/>
    <w:qFormat/>
    <w:uiPriority w:val="0"/>
    <w:pPr>
      <w:widowControl w:val="0"/>
      <w:tabs>
        <w:tab w:val="left" w:pos="840"/>
      </w:tabs>
      <w:ind w:left="840" w:hanging="420"/>
      <w:jc w:val="both"/>
    </w:pPr>
    <w:rPr>
      <w:rFonts w:eastAsia="仿宋_GB2312"/>
      <w:kern w:val="2"/>
      <w:sz w:val="21"/>
      <w:szCs w:val="20"/>
    </w:rPr>
  </w:style>
  <w:style w:type="paragraph" w:styleId="14">
    <w:name w:val="Normal Indent"/>
    <w:basedOn w:val="1"/>
    <w:next w:val="1"/>
    <w:link w:val="75"/>
    <w:qFormat/>
    <w:uiPriority w:val="0"/>
    <w:pPr>
      <w:widowControl/>
      <w:ind w:firstLine="420"/>
      <w:jc w:val="left"/>
    </w:pPr>
    <w:rPr>
      <w:kern w:val="0"/>
      <w:sz w:val="20"/>
      <w:szCs w:val="20"/>
    </w:rPr>
  </w:style>
  <w:style w:type="paragraph" w:styleId="15">
    <w:name w:val="caption"/>
    <w:basedOn w:val="1"/>
    <w:next w:val="1"/>
    <w:qFormat/>
    <w:uiPriority w:val="99"/>
    <w:rPr>
      <w:b/>
      <w:bCs/>
      <w:sz w:val="18"/>
      <w:szCs w:val="18"/>
    </w:rPr>
  </w:style>
  <w:style w:type="paragraph" w:styleId="16">
    <w:name w:val="List Bullet"/>
    <w:basedOn w:val="1"/>
    <w:qFormat/>
    <w:uiPriority w:val="0"/>
    <w:pPr>
      <w:widowControl w:val="0"/>
      <w:tabs>
        <w:tab w:val="left" w:pos="360"/>
        <w:tab w:val="left" w:pos="432"/>
      </w:tabs>
      <w:ind w:left="432" w:hanging="432"/>
      <w:jc w:val="both"/>
    </w:pPr>
    <w:rPr>
      <w:kern w:val="2"/>
      <w:sz w:val="21"/>
      <w:szCs w:val="24"/>
    </w:rPr>
  </w:style>
  <w:style w:type="paragraph" w:styleId="17">
    <w:name w:val="Document Map"/>
    <w:basedOn w:val="1"/>
    <w:link w:val="76"/>
    <w:qFormat/>
    <w:uiPriority w:val="99"/>
    <w:pPr>
      <w:shd w:val="clear" w:color="auto" w:fill="000080"/>
    </w:pPr>
  </w:style>
  <w:style w:type="paragraph" w:styleId="18">
    <w:name w:val="toa heading"/>
    <w:basedOn w:val="1"/>
    <w:next w:val="1"/>
    <w:link w:val="77"/>
    <w:qFormat/>
    <w:uiPriority w:val="0"/>
    <w:pPr>
      <w:spacing w:before="120" w:beforeLines="0"/>
    </w:pPr>
    <w:rPr>
      <w:rFonts w:ascii="等线 Light" w:hAnsi="等线 Light" w:eastAsia="方正书宋简体" w:cs="等线 Light"/>
      <w:kern w:val="2"/>
      <w:sz w:val="24"/>
      <w:szCs w:val="24"/>
    </w:rPr>
  </w:style>
  <w:style w:type="paragraph" w:styleId="19">
    <w:name w:val="annotation text"/>
    <w:basedOn w:val="1"/>
    <w:link w:val="78"/>
    <w:qFormat/>
    <w:uiPriority w:val="99"/>
    <w:pPr>
      <w:adjustRightInd w:val="0"/>
      <w:spacing w:line="360" w:lineRule="atLeast"/>
      <w:jc w:val="left"/>
      <w:textAlignment w:val="baseline"/>
    </w:pPr>
    <w:rPr>
      <w:sz w:val="24"/>
      <w:szCs w:val="20"/>
    </w:rPr>
  </w:style>
  <w:style w:type="paragraph" w:styleId="20">
    <w:name w:val="Salutation"/>
    <w:basedOn w:val="1"/>
    <w:next w:val="1"/>
    <w:link w:val="79"/>
    <w:qFormat/>
    <w:uiPriority w:val="0"/>
    <w:pPr>
      <w:widowControl w:val="0"/>
      <w:ind w:firstLine="0"/>
      <w:jc w:val="both"/>
    </w:pPr>
    <w:rPr>
      <w:rFonts w:eastAsia="仿宋_GB2312"/>
      <w:kern w:val="2"/>
      <w:sz w:val="24"/>
      <w:szCs w:val="20"/>
    </w:rPr>
  </w:style>
  <w:style w:type="paragraph" w:styleId="21">
    <w:name w:val="Body Text 3"/>
    <w:basedOn w:val="1"/>
    <w:link w:val="80"/>
    <w:qFormat/>
    <w:uiPriority w:val="99"/>
    <w:pPr>
      <w:widowControl w:val="0"/>
      <w:adjustRightInd w:val="0"/>
      <w:spacing w:after="120"/>
      <w:ind w:firstLine="0"/>
      <w:textAlignment w:val="baseline"/>
    </w:pPr>
    <w:rPr>
      <w:sz w:val="16"/>
      <w:szCs w:val="16"/>
    </w:rPr>
  </w:style>
  <w:style w:type="paragraph" w:styleId="22">
    <w:name w:val="Closing"/>
    <w:basedOn w:val="1"/>
    <w:link w:val="81"/>
    <w:qFormat/>
    <w:uiPriority w:val="0"/>
    <w:pPr>
      <w:widowControl w:val="0"/>
      <w:ind w:left="100" w:leftChars="2100" w:firstLine="0"/>
      <w:jc w:val="both"/>
    </w:pPr>
    <w:rPr>
      <w:rFonts w:eastAsia="仿宋_GB2312"/>
      <w:kern w:val="2"/>
      <w:sz w:val="24"/>
      <w:szCs w:val="20"/>
    </w:rPr>
  </w:style>
  <w:style w:type="paragraph" w:styleId="23">
    <w:name w:val="Body Text"/>
    <w:basedOn w:val="1"/>
    <w:next w:val="24"/>
    <w:link w:val="64"/>
    <w:qFormat/>
    <w:uiPriority w:val="99"/>
    <w:pPr>
      <w:spacing w:after="120" w:afterLines="0"/>
    </w:pPr>
  </w:style>
  <w:style w:type="paragraph" w:styleId="24">
    <w:name w:val="toc 5"/>
    <w:basedOn w:val="1"/>
    <w:next w:val="1"/>
    <w:qFormat/>
    <w:uiPriority w:val="0"/>
    <w:pPr>
      <w:ind w:left="800" w:leftChars="800"/>
    </w:pPr>
  </w:style>
  <w:style w:type="paragraph" w:styleId="25">
    <w:name w:val="Body Text Indent"/>
    <w:basedOn w:val="1"/>
    <w:next w:val="26"/>
    <w:link w:val="82"/>
    <w:qFormat/>
    <w:uiPriority w:val="99"/>
    <w:pPr>
      <w:spacing w:after="120" w:afterLines="0"/>
      <w:ind w:left="420" w:leftChars="200"/>
    </w:pPr>
  </w:style>
  <w:style w:type="paragraph" w:styleId="26">
    <w:name w:val="Body Text First Indent 2"/>
    <w:basedOn w:val="25"/>
    <w:next w:val="27"/>
    <w:link w:val="83"/>
    <w:qFormat/>
    <w:uiPriority w:val="0"/>
    <w:pPr>
      <w:ind w:firstLine="420" w:firstLineChars="200"/>
    </w:pPr>
  </w:style>
  <w:style w:type="paragraph" w:styleId="27">
    <w:name w:val="endnote text"/>
    <w:basedOn w:val="1"/>
    <w:next w:val="1"/>
    <w:link w:val="84"/>
    <w:qFormat/>
    <w:uiPriority w:val="0"/>
    <w:pPr>
      <w:widowControl w:val="0"/>
      <w:snapToGrid w:val="0"/>
      <w:ind w:firstLine="0"/>
    </w:pPr>
    <w:rPr>
      <w:rFonts w:eastAsia="仿宋_GB2312"/>
      <w:kern w:val="2"/>
      <w:sz w:val="21"/>
      <w:szCs w:val="24"/>
    </w:rPr>
  </w:style>
  <w:style w:type="paragraph" w:styleId="28">
    <w:name w:val="List Number 3"/>
    <w:basedOn w:val="1"/>
    <w:qFormat/>
    <w:uiPriority w:val="0"/>
    <w:pPr>
      <w:widowControl w:val="0"/>
      <w:tabs>
        <w:tab w:val="left" w:pos="360"/>
        <w:tab w:val="left" w:pos="1200"/>
      </w:tabs>
      <w:ind w:left="360" w:hanging="360"/>
      <w:jc w:val="both"/>
    </w:pPr>
    <w:rPr>
      <w:rFonts w:eastAsia="仿宋_GB2312"/>
      <w:kern w:val="2"/>
      <w:sz w:val="21"/>
      <w:szCs w:val="20"/>
    </w:rPr>
  </w:style>
  <w:style w:type="paragraph" w:styleId="29">
    <w:name w:val="Block Text"/>
    <w:basedOn w:val="1"/>
    <w:qFormat/>
    <w:uiPriority w:val="0"/>
    <w:pPr>
      <w:spacing w:after="120"/>
      <w:ind w:left="1440" w:leftChars="700" w:right="1440" w:rightChars="700" w:firstLine="0"/>
    </w:pPr>
    <w:rPr>
      <w:sz w:val="20"/>
      <w:szCs w:val="20"/>
    </w:rPr>
  </w:style>
  <w:style w:type="paragraph" w:styleId="30">
    <w:name w:val="index 4"/>
    <w:basedOn w:val="1"/>
    <w:next w:val="1"/>
    <w:qFormat/>
    <w:uiPriority w:val="99"/>
    <w:pPr>
      <w:widowControl w:val="0"/>
      <w:ind w:left="600" w:leftChars="600" w:firstLine="0"/>
      <w:jc w:val="both"/>
    </w:pPr>
    <w:rPr>
      <w:kern w:val="2"/>
      <w:sz w:val="21"/>
      <w:szCs w:val="24"/>
    </w:rPr>
  </w:style>
  <w:style w:type="paragraph" w:styleId="31">
    <w:name w:val="toc 3"/>
    <w:basedOn w:val="1"/>
    <w:next w:val="1"/>
    <w:qFormat/>
    <w:uiPriority w:val="39"/>
    <w:pPr>
      <w:ind w:left="840" w:leftChars="400"/>
    </w:pPr>
  </w:style>
  <w:style w:type="paragraph" w:styleId="32">
    <w:name w:val="Plain Text"/>
    <w:basedOn w:val="1"/>
    <w:next w:val="1"/>
    <w:link w:val="85"/>
    <w:qFormat/>
    <w:uiPriority w:val="0"/>
    <w:pPr>
      <w:spacing w:line="360" w:lineRule="exact"/>
      <w:ind w:firstLine="454"/>
    </w:pPr>
    <w:rPr>
      <w:rFonts w:ascii="Tahoma" w:hAnsi="华文细黑" w:eastAsia="Tahoma"/>
      <w:kern w:val="2"/>
      <w:sz w:val="21"/>
      <w:szCs w:val="21"/>
    </w:rPr>
  </w:style>
  <w:style w:type="paragraph" w:styleId="33">
    <w:name w:val="Date"/>
    <w:basedOn w:val="1"/>
    <w:next w:val="1"/>
    <w:link w:val="86"/>
    <w:qFormat/>
    <w:uiPriority w:val="99"/>
    <w:rPr>
      <w:sz w:val="24"/>
      <w:szCs w:val="20"/>
    </w:rPr>
  </w:style>
  <w:style w:type="paragraph" w:styleId="34">
    <w:name w:val="Body Text Indent 2"/>
    <w:basedOn w:val="1"/>
    <w:link w:val="87"/>
    <w:qFormat/>
    <w:uiPriority w:val="0"/>
    <w:pPr>
      <w:widowControl/>
      <w:overflowPunct w:val="0"/>
      <w:autoSpaceDE w:val="0"/>
      <w:autoSpaceDN w:val="0"/>
      <w:adjustRightInd w:val="0"/>
      <w:spacing w:line="360" w:lineRule="auto"/>
      <w:ind w:firstLine="555"/>
      <w:textAlignment w:val="baseline"/>
    </w:pPr>
    <w:rPr>
      <w:rFonts w:ascii="方正书宋简体" w:hAnsi="等线"/>
      <w:spacing w:val="12"/>
      <w:sz w:val="24"/>
      <w:szCs w:val="20"/>
    </w:rPr>
  </w:style>
  <w:style w:type="paragraph" w:styleId="35">
    <w:name w:val="Balloon Text"/>
    <w:basedOn w:val="1"/>
    <w:link w:val="88"/>
    <w:qFormat/>
    <w:uiPriority w:val="99"/>
    <w:rPr>
      <w:sz w:val="18"/>
      <w:szCs w:val="18"/>
    </w:rPr>
  </w:style>
  <w:style w:type="paragraph" w:styleId="36">
    <w:name w:val="footer"/>
    <w:basedOn w:val="1"/>
    <w:link w:val="89"/>
    <w:qFormat/>
    <w:uiPriority w:val="99"/>
    <w:pPr>
      <w:tabs>
        <w:tab w:val="center" w:pos="4153"/>
        <w:tab w:val="right" w:pos="8306"/>
      </w:tabs>
      <w:snapToGrid w:val="0"/>
      <w:jc w:val="left"/>
    </w:pPr>
    <w:rPr>
      <w:sz w:val="18"/>
      <w:szCs w:val="18"/>
    </w:rPr>
  </w:style>
  <w:style w:type="paragraph" w:styleId="37">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8">
    <w:name w:val="toc 1"/>
    <w:basedOn w:val="1"/>
    <w:next w:val="1"/>
    <w:qFormat/>
    <w:uiPriority w:val="39"/>
  </w:style>
  <w:style w:type="paragraph" w:styleId="39">
    <w:name w:val="Subtitle"/>
    <w:basedOn w:val="1"/>
    <w:next w:val="1"/>
    <w:link w:val="91"/>
    <w:qFormat/>
    <w:uiPriority w:val="11"/>
    <w:pPr>
      <w:spacing w:before="200" w:after="900"/>
      <w:ind w:firstLine="0"/>
      <w:jc w:val="right"/>
    </w:pPr>
    <w:rPr>
      <w:rFonts w:ascii="Verdana"/>
      <w:i/>
      <w:iCs/>
      <w:sz w:val="24"/>
      <w:szCs w:val="24"/>
    </w:rPr>
  </w:style>
  <w:style w:type="paragraph" w:styleId="40">
    <w:name w:val="footnote text"/>
    <w:basedOn w:val="1"/>
    <w:link w:val="92"/>
    <w:qFormat/>
    <w:uiPriority w:val="99"/>
    <w:pPr>
      <w:adjustRightInd w:val="0"/>
      <w:spacing w:line="312" w:lineRule="atLeast"/>
      <w:jc w:val="left"/>
      <w:textAlignment w:val="baseline"/>
    </w:pPr>
    <w:rPr>
      <w:sz w:val="18"/>
      <w:szCs w:val="20"/>
    </w:rPr>
  </w:style>
  <w:style w:type="paragraph" w:styleId="41">
    <w:name w:val="List 5"/>
    <w:basedOn w:val="1"/>
    <w:next w:val="42"/>
    <w:semiHidden/>
    <w:qFormat/>
    <w:uiPriority w:val="99"/>
    <w:pPr>
      <w:ind w:left="2100" w:hanging="420"/>
    </w:pPr>
  </w:style>
  <w:style w:type="paragraph" w:customStyle="1" w:styleId="42">
    <w:name w:val="目录 51"/>
    <w:basedOn w:val="1"/>
    <w:next w:val="1"/>
    <w:qFormat/>
    <w:uiPriority w:val="39"/>
    <w:pPr>
      <w:ind w:left="1680" w:leftChars="800" w:firstLine="0"/>
    </w:pPr>
    <w:rPr>
      <w:sz w:val="20"/>
      <w:szCs w:val="20"/>
    </w:rPr>
  </w:style>
  <w:style w:type="paragraph" w:styleId="43">
    <w:name w:val="Body Text Indent 3"/>
    <w:basedOn w:val="1"/>
    <w:link w:val="93"/>
    <w:qFormat/>
    <w:uiPriority w:val="99"/>
    <w:pPr>
      <w:ind w:firstLine="540"/>
    </w:pPr>
    <w:rPr>
      <w:sz w:val="24"/>
    </w:rPr>
  </w:style>
  <w:style w:type="paragraph" w:styleId="44">
    <w:name w:val="table of figures"/>
    <w:basedOn w:val="1"/>
    <w:next w:val="1"/>
    <w:unhideWhenUsed/>
    <w:qFormat/>
    <w:uiPriority w:val="99"/>
    <w:pPr>
      <w:widowControl w:val="0"/>
      <w:ind w:left="200" w:leftChars="200" w:hanging="200" w:hangingChars="200"/>
      <w:jc w:val="both"/>
    </w:pPr>
    <w:rPr>
      <w:kern w:val="2"/>
      <w:sz w:val="21"/>
      <w:szCs w:val="24"/>
    </w:rPr>
  </w:style>
  <w:style w:type="paragraph" w:styleId="45">
    <w:name w:val="toc 2"/>
    <w:basedOn w:val="1"/>
    <w:next w:val="1"/>
    <w:qFormat/>
    <w:uiPriority w:val="39"/>
    <w:pPr>
      <w:ind w:left="420" w:leftChars="200"/>
    </w:pPr>
  </w:style>
  <w:style w:type="paragraph" w:styleId="46">
    <w:name w:val="Body Text 2"/>
    <w:basedOn w:val="1"/>
    <w:link w:val="94"/>
    <w:qFormat/>
    <w:uiPriority w:val="0"/>
    <w:pPr>
      <w:spacing w:after="120" w:afterLines="0" w:line="480" w:lineRule="auto"/>
    </w:pPr>
  </w:style>
  <w:style w:type="paragraph" w:styleId="47">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Arial" w:hAnsi="楷体_GB2312" w:eastAsia="Arial"/>
      <w:sz w:val="20"/>
      <w:szCs w:val="20"/>
    </w:rPr>
  </w:style>
  <w:style w:type="paragraph" w:styleId="48">
    <w:name w:val="Normal (Web)"/>
    <w:basedOn w:val="1"/>
    <w:qFormat/>
    <w:uiPriority w:val="0"/>
    <w:pPr>
      <w:widowControl/>
      <w:spacing w:before="100" w:beforeLines="0" w:beforeAutospacing="1" w:after="100" w:afterLines="0" w:afterAutospacing="1"/>
      <w:jc w:val="left"/>
    </w:pPr>
    <w:rPr>
      <w:rFonts w:ascii="方正书宋简体" w:hAnsi="方正书宋简体" w:cs="方正书宋简体"/>
      <w:kern w:val="0"/>
      <w:sz w:val="24"/>
    </w:rPr>
  </w:style>
  <w:style w:type="paragraph" w:styleId="49">
    <w:name w:val="index 1"/>
    <w:basedOn w:val="1"/>
    <w:next w:val="1"/>
    <w:qFormat/>
    <w:uiPriority w:val="0"/>
    <w:pPr>
      <w:widowControl w:val="0"/>
      <w:ind w:firstLine="480" w:firstLineChars="200"/>
      <w:jc w:val="center"/>
    </w:pPr>
    <w:rPr>
      <w:kern w:val="2"/>
      <w:sz w:val="24"/>
      <w:szCs w:val="24"/>
    </w:rPr>
  </w:style>
  <w:style w:type="paragraph" w:styleId="50">
    <w:name w:val="Title"/>
    <w:basedOn w:val="1"/>
    <w:next w:val="1"/>
    <w:link w:val="96"/>
    <w:qFormat/>
    <w:uiPriority w:val="10"/>
    <w:pPr>
      <w:pBdr>
        <w:top w:val="single" w:color="A7BFDE" w:sz="8" w:space="10"/>
        <w:bottom w:val="single" w:color="9BBB59" w:sz="24" w:space="15"/>
      </w:pBdr>
      <w:ind w:firstLine="0"/>
      <w:jc w:val="center"/>
    </w:pPr>
    <w:rPr>
      <w:rFonts w:ascii="Arial Unicode MS" w:hAnsi="Arial Unicode MS" w:eastAsia="方正书宋简体"/>
      <w:i/>
      <w:iCs/>
      <w:color w:val="243F60"/>
      <w:sz w:val="60"/>
      <w:szCs w:val="60"/>
    </w:rPr>
  </w:style>
  <w:style w:type="paragraph" w:styleId="51">
    <w:name w:val="annotation subject"/>
    <w:basedOn w:val="19"/>
    <w:next w:val="19"/>
    <w:link w:val="97"/>
    <w:qFormat/>
    <w:uiPriority w:val="99"/>
    <w:pPr>
      <w:adjustRightInd/>
      <w:spacing w:line="240" w:lineRule="auto"/>
      <w:textAlignment w:val="auto"/>
    </w:pPr>
    <w:rPr>
      <w:b/>
      <w:bCs/>
      <w:kern w:val="2"/>
      <w:sz w:val="21"/>
      <w:szCs w:val="24"/>
    </w:rPr>
  </w:style>
  <w:style w:type="table" w:styleId="53">
    <w:name w:val="Table Grid"/>
    <w:basedOn w:val="5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22"/>
    <w:rPr>
      <w:b/>
      <w:bCs/>
      <w:spacing w:val="0"/>
    </w:rPr>
  </w:style>
  <w:style w:type="character" w:styleId="56">
    <w:name w:val="endnote reference"/>
    <w:qFormat/>
    <w:uiPriority w:val="0"/>
    <w:rPr>
      <w:vertAlign w:val="superscript"/>
    </w:rPr>
  </w:style>
  <w:style w:type="character" w:styleId="57">
    <w:name w:val="page number"/>
    <w:qFormat/>
    <w:uiPriority w:val="99"/>
  </w:style>
  <w:style w:type="character" w:styleId="58">
    <w:name w:val="FollowedHyperlink"/>
    <w:qFormat/>
    <w:uiPriority w:val="99"/>
    <w:rPr>
      <w:color w:val="000084"/>
      <w:u w:val="none"/>
    </w:rPr>
  </w:style>
  <w:style w:type="character" w:styleId="59">
    <w:name w:val="Emphasis"/>
    <w:qFormat/>
    <w:uiPriority w:val="0"/>
    <w:rPr>
      <w:b/>
      <w:bCs/>
      <w:i/>
      <w:iCs/>
      <w:color w:val="5A5A5A"/>
    </w:rPr>
  </w:style>
  <w:style w:type="character" w:styleId="60">
    <w:name w:val="Hyperlink"/>
    <w:qFormat/>
    <w:uiPriority w:val="99"/>
    <w:rPr>
      <w:color w:val="000084"/>
      <w:u w:val="none"/>
    </w:rPr>
  </w:style>
  <w:style w:type="character" w:styleId="61">
    <w:name w:val="annotation reference"/>
    <w:qFormat/>
    <w:uiPriority w:val="99"/>
    <w:rPr>
      <w:sz w:val="21"/>
      <w:szCs w:val="21"/>
    </w:rPr>
  </w:style>
  <w:style w:type="character" w:styleId="62">
    <w:name w:val="footnote reference"/>
    <w:qFormat/>
    <w:uiPriority w:val="0"/>
    <w:rPr>
      <w:vertAlign w:val="superscript"/>
    </w:rPr>
  </w:style>
  <w:style w:type="paragraph" w:customStyle="1" w:styleId="63">
    <w:name w:val="正文首行缩进1"/>
    <w:basedOn w:val="23"/>
    <w:link w:val="65"/>
    <w:qFormat/>
    <w:uiPriority w:val="0"/>
    <w:pPr>
      <w:widowControl w:val="0"/>
      <w:ind w:firstLine="420" w:firstLineChars="100"/>
      <w:jc w:val="both"/>
    </w:pPr>
    <w:rPr>
      <w:sz w:val="20"/>
      <w:szCs w:val="20"/>
    </w:rPr>
  </w:style>
  <w:style w:type="character" w:customStyle="1" w:styleId="64">
    <w:name w:val="正文文本 字符"/>
    <w:link w:val="23"/>
    <w:qFormat/>
    <w:uiPriority w:val="99"/>
    <w:rPr>
      <w:sz w:val="22"/>
      <w:szCs w:val="22"/>
    </w:rPr>
  </w:style>
  <w:style w:type="character" w:customStyle="1" w:styleId="65">
    <w:name w:val="正文首行缩进 Char"/>
    <w:link w:val="63"/>
    <w:qFormat/>
    <w:uiPriority w:val="0"/>
  </w:style>
  <w:style w:type="character" w:customStyle="1" w:styleId="66">
    <w:name w:val="标题 1 字符"/>
    <w:link w:val="2"/>
    <w:qFormat/>
    <w:uiPriority w:val="9"/>
    <w:rPr>
      <w:rFonts w:eastAsia="方正书宋简体"/>
      <w:b/>
      <w:bCs/>
      <w:kern w:val="44"/>
      <w:sz w:val="44"/>
      <w:szCs w:val="44"/>
    </w:rPr>
  </w:style>
  <w:style w:type="character" w:customStyle="1" w:styleId="67">
    <w:name w:val="标题 2 字符1"/>
    <w:link w:val="3"/>
    <w:qFormat/>
    <w:uiPriority w:val="9"/>
    <w:rPr>
      <w:rFonts w:ascii="Arial Unicode MS" w:hAnsi="Arial Unicode MS" w:eastAsia="方正书宋简体" w:cs="华文中宋"/>
      <w:color w:val="365F91"/>
      <w:sz w:val="24"/>
      <w:szCs w:val="24"/>
    </w:rPr>
  </w:style>
  <w:style w:type="character" w:customStyle="1" w:styleId="68">
    <w:name w:val="标题 3 字符1"/>
    <w:link w:val="5"/>
    <w:qFormat/>
    <w:uiPriority w:val="9"/>
    <w:rPr>
      <w:rFonts w:ascii="Arial Unicode MS" w:hAnsi="Arial Unicode MS" w:eastAsia="方正书宋简体" w:cs="华文中宋"/>
      <w:color w:val="4F81BD"/>
      <w:sz w:val="24"/>
      <w:szCs w:val="24"/>
    </w:rPr>
  </w:style>
  <w:style w:type="character" w:customStyle="1" w:styleId="69">
    <w:name w:val="标题 4 字符1"/>
    <w:link w:val="6"/>
    <w:qFormat/>
    <w:uiPriority w:val="9"/>
    <w:rPr>
      <w:rFonts w:ascii="Arial Unicode MS" w:hAnsi="Arial Unicode MS" w:eastAsia="方正书宋简体" w:cs="华文中宋"/>
      <w:i/>
      <w:iCs/>
      <w:color w:val="4F81BD"/>
      <w:sz w:val="24"/>
      <w:szCs w:val="24"/>
    </w:rPr>
  </w:style>
  <w:style w:type="character" w:customStyle="1" w:styleId="70">
    <w:name w:val="标题 5 字符1"/>
    <w:link w:val="7"/>
    <w:qFormat/>
    <w:uiPriority w:val="9"/>
    <w:rPr>
      <w:rFonts w:ascii="Arial Unicode MS" w:hAnsi="Arial Unicode MS" w:eastAsia="方正书宋简体" w:cs="华文中宋"/>
      <w:color w:val="4F81BD"/>
    </w:rPr>
  </w:style>
  <w:style w:type="character" w:customStyle="1" w:styleId="71">
    <w:name w:val="标题 6 字符1"/>
    <w:link w:val="8"/>
    <w:qFormat/>
    <w:uiPriority w:val="9"/>
    <w:rPr>
      <w:rFonts w:ascii="Arial Unicode MS" w:hAnsi="Arial Unicode MS" w:eastAsia="方正书宋简体" w:cs="华文中宋"/>
      <w:i/>
      <w:iCs/>
      <w:color w:val="4F81BD"/>
    </w:rPr>
  </w:style>
  <w:style w:type="character" w:customStyle="1" w:styleId="72">
    <w:name w:val="标题 7 字符1"/>
    <w:link w:val="9"/>
    <w:qFormat/>
    <w:uiPriority w:val="9"/>
    <w:rPr>
      <w:rFonts w:ascii="Arial Unicode MS" w:hAnsi="Arial Unicode MS" w:eastAsia="方正书宋简体" w:cs="华文中宋"/>
      <w:b/>
      <w:bCs/>
      <w:color w:val="9BBB59"/>
      <w:sz w:val="20"/>
      <w:szCs w:val="20"/>
    </w:rPr>
  </w:style>
  <w:style w:type="character" w:customStyle="1" w:styleId="73">
    <w:name w:val="标题 8 字符1"/>
    <w:link w:val="10"/>
    <w:qFormat/>
    <w:uiPriority w:val="9"/>
    <w:rPr>
      <w:rFonts w:ascii="Arial Unicode MS" w:hAnsi="Arial Unicode MS" w:eastAsia="方正书宋简体" w:cs="华文中宋"/>
      <w:b/>
      <w:bCs/>
      <w:i/>
      <w:iCs/>
      <w:color w:val="9BBB59"/>
      <w:sz w:val="20"/>
      <w:szCs w:val="20"/>
    </w:rPr>
  </w:style>
  <w:style w:type="character" w:customStyle="1" w:styleId="74">
    <w:name w:val="标题 9 字符1"/>
    <w:link w:val="11"/>
    <w:qFormat/>
    <w:uiPriority w:val="9"/>
    <w:rPr>
      <w:rFonts w:ascii="Arial Unicode MS" w:hAnsi="Arial Unicode MS" w:eastAsia="方正书宋简体" w:cs="华文中宋"/>
      <w:i/>
      <w:iCs/>
      <w:color w:val="9BBB59"/>
      <w:sz w:val="20"/>
      <w:szCs w:val="20"/>
    </w:rPr>
  </w:style>
  <w:style w:type="character" w:customStyle="1" w:styleId="75">
    <w:name w:val="正文缩进 字符2"/>
    <w:link w:val="14"/>
    <w:qFormat/>
    <w:locked/>
    <w:uiPriority w:val="0"/>
  </w:style>
  <w:style w:type="character" w:customStyle="1" w:styleId="76">
    <w:name w:val="文档结构图 字符"/>
    <w:link w:val="17"/>
    <w:qFormat/>
    <w:uiPriority w:val="99"/>
    <w:rPr>
      <w:sz w:val="22"/>
      <w:szCs w:val="22"/>
      <w:shd w:val="clear" w:color="auto" w:fill="000080"/>
    </w:rPr>
  </w:style>
  <w:style w:type="character" w:customStyle="1" w:styleId="77">
    <w:name w:val="引文目录标题 字符"/>
    <w:link w:val="18"/>
    <w:qFormat/>
    <w:uiPriority w:val="0"/>
    <w:rPr>
      <w:rFonts w:ascii="等线 Light" w:hAnsi="等线 Light" w:eastAsia="方正书宋简体" w:cs="等线 Light"/>
      <w:kern w:val="2"/>
      <w:sz w:val="24"/>
      <w:szCs w:val="24"/>
      <w:lang w:val="en-US" w:eastAsia="zh-CN" w:bidi="ar-SA"/>
    </w:rPr>
  </w:style>
  <w:style w:type="character" w:customStyle="1" w:styleId="78">
    <w:name w:val="批注文字 字符"/>
    <w:link w:val="19"/>
    <w:qFormat/>
    <w:uiPriority w:val="99"/>
    <w:rPr>
      <w:sz w:val="24"/>
    </w:rPr>
  </w:style>
  <w:style w:type="character" w:customStyle="1" w:styleId="79">
    <w:name w:val="称呼 字符"/>
    <w:link w:val="20"/>
    <w:qFormat/>
    <w:uiPriority w:val="0"/>
    <w:rPr>
      <w:rFonts w:eastAsia="仿宋_GB2312"/>
      <w:kern w:val="2"/>
      <w:sz w:val="24"/>
    </w:rPr>
  </w:style>
  <w:style w:type="character" w:customStyle="1" w:styleId="80">
    <w:name w:val="正文文本 3 字符"/>
    <w:link w:val="21"/>
    <w:qFormat/>
    <w:uiPriority w:val="99"/>
    <w:rPr>
      <w:sz w:val="16"/>
      <w:szCs w:val="16"/>
    </w:rPr>
  </w:style>
  <w:style w:type="character" w:customStyle="1" w:styleId="81">
    <w:name w:val="结束语 字符"/>
    <w:link w:val="22"/>
    <w:qFormat/>
    <w:uiPriority w:val="0"/>
    <w:rPr>
      <w:rFonts w:eastAsia="仿宋_GB2312"/>
      <w:kern w:val="2"/>
      <w:sz w:val="24"/>
    </w:rPr>
  </w:style>
  <w:style w:type="character" w:customStyle="1" w:styleId="82">
    <w:name w:val="正文文本缩进 字符"/>
    <w:link w:val="25"/>
    <w:qFormat/>
    <w:uiPriority w:val="99"/>
    <w:rPr>
      <w:sz w:val="22"/>
      <w:szCs w:val="22"/>
    </w:rPr>
  </w:style>
  <w:style w:type="character" w:customStyle="1" w:styleId="83">
    <w:name w:val="正文文本首行缩进 2 字符"/>
    <w:link w:val="26"/>
    <w:qFormat/>
    <w:uiPriority w:val="0"/>
  </w:style>
  <w:style w:type="character" w:customStyle="1" w:styleId="84">
    <w:name w:val="尾注文本 字符"/>
    <w:link w:val="27"/>
    <w:qFormat/>
    <w:uiPriority w:val="0"/>
    <w:rPr>
      <w:rFonts w:eastAsia="仿宋_GB2312"/>
      <w:kern w:val="2"/>
      <w:sz w:val="21"/>
      <w:szCs w:val="24"/>
    </w:rPr>
  </w:style>
  <w:style w:type="character" w:customStyle="1" w:styleId="85">
    <w:name w:val="纯文本 字符1"/>
    <w:link w:val="32"/>
    <w:qFormat/>
    <w:uiPriority w:val="0"/>
    <w:rPr>
      <w:rFonts w:ascii="Tahoma" w:hAnsi="华文细黑" w:eastAsia="Tahoma" w:cs="楷体_GB2312"/>
      <w:kern w:val="2"/>
      <w:sz w:val="21"/>
      <w:szCs w:val="21"/>
    </w:rPr>
  </w:style>
  <w:style w:type="character" w:customStyle="1" w:styleId="86">
    <w:name w:val="日期 字符"/>
    <w:link w:val="33"/>
    <w:qFormat/>
    <w:uiPriority w:val="99"/>
    <w:rPr>
      <w:sz w:val="24"/>
    </w:rPr>
  </w:style>
  <w:style w:type="character" w:customStyle="1" w:styleId="87">
    <w:name w:val="正文文本缩进 2 字符"/>
    <w:link w:val="34"/>
    <w:qFormat/>
    <w:uiPriority w:val="0"/>
    <w:rPr>
      <w:rFonts w:ascii="方正书宋简体" w:hAnsi="等线"/>
      <w:spacing w:val="12"/>
      <w:sz w:val="24"/>
    </w:rPr>
  </w:style>
  <w:style w:type="character" w:customStyle="1" w:styleId="88">
    <w:name w:val="批注框文本 字符"/>
    <w:link w:val="35"/>
    <w:qFormat/>
    <w:uiPriority w:val="99"/>
    <w:rPr>
      <w:sz w:val="18"/>
      <w:szCs w:val="18"/>
    </w:rPr>
  </w:style>
  <w:style w:type="character" w:customStyle="1" w:styleId="89">
    <w:name w:val="页脚 字符1"/>
    <w:link w:val="36"/>
    <w:qFormat/>
    <w:uiPriority w:val="99"/>
    <w:rPr>
      <w:sz w:val="18"/>
      <w:szCs w:val="18"/>
    </w:rPr>
  </w:style>
  <w:style w:type="character" w:customStyle="1" w:styleId="90">
    <w:name w:val="页眉 字符1"/>
    <w:link w:val="37"/>
    <w:qFormat/>
    <w:uiPriority w:val="99"/>
    <w:rPr>
      <w:sz w:val="18"/>
      <w:szCs w:val="18"/>
    </w:rPr>
  </w:style>
  <w:style w:type="character" w:customStyle="1" w:styleId="91">
    <w:name w:val="副标题 字符1"/>
    <w:link w:val="39"/>
    <w:qFormat/>
    <w:uiPriority w:val="11"/>
    <w:rPr>
      <w:rFonts w:ascii="Verdana"/>
      <w:i/>
      <w:iCs/>
      <w:sz w:val="24"/>
      <w:szCs w:val="24"/>
    </w:rPr>
  </w:style>
  <w:style w:type="character" w:customStyle="1" w:styleId="92">
    <w:name w:val="脚注文本 字符"/>
    <w:link w:val="40"/>
    <w:qFormat/>
    <w:uiPriority w:val="99"/>
    <w:rPr>
      <w:sz w:val="18"/>
    </w:rPr>
  </w:style>
  <w:style w:type="character" w:customStyle="1" w:styleId="93">
    <w:name w:val="正文文本缩进 3 字符"/>
    <w:link w:val="43"/>
    <w:qFormat/>
    <w:uiPriority w:val="99"/>
    <w:rPr>
      <w:sz w:val="24"/>
      <w:szCs w:val="22"/>
    </w:rPr>
  </w:style>
  <w:style w:type="character" w:customStyle="1" w:styleId="94">
    <w:name w:val="正文文本 2 字符"/>
    <w:link w:val="46"/>
    <w:qFormat/>
    <w:uiPriority w:val="0"/>
    <w:rPr>
      <w:sz w:val="22"/>
      <w:szCs w:val="22"/>
    </w:rPr>
  </w:style>
  <w:style w:type="character" w:customStyle="1" w:styleId="95">
    <w:name w:val="HTML 预设格式 字符"/>
    <w:link w:val="47"/>
    <w:qFormat/>
    <w:uiPriority w:val="0"/>
    <w:rPr>
      <w:rFonts w:ascii="Arial" w:hAnsi="楷体_GB2312" w:eastAsia="Arial"/>
    </w:rPr>
  </w:style>
  <w:style w:type="character" w:customStyle="1" w:styleId="96">
    <w:name w:val="标题 字符1"/>
    <w:link w:val="50"/>
    <w:qFormat/>
    <w:uiPriority w:val="10"/>
    <w:rPr>
      <w:rFonts w:ascii="Arial Unicode MS" w:hAnsi="Arial Unicode MS" w:eastAsia="方正书宋简体" w:cs="华文中宋"/>
      <w:i/>
      <w:iCs/>
      <w:color w:val="243F60"/>
      <w:sz w:val="60"/>
      <w:szCs w:val="60"/>
    </w:rPr>
  </w:style>
  <w:style w:type="character" w:customStyle="1" w:styleId="97">
    <w:name w:val="批注主题 字符"/>
    <w:link w:val="51"/>
    <w:qFormat/>
    <w:uiPriority w:val="99"/>
    <w:rPr>
      <w:b/>
      <w:bCs/>
      <w:kern w:val="2"/>
      <w:sz w:val="21"/>
      <w:szCs w:val="24"/>
    </w:rPr>
  </w:style>
  <w:style w:type="character" w:customStyle="1" w:styleId="98">
    <w:name w:val="标题 1 字符1"/>
    <w:link w:val="2"/>
    <w:qFormat/>
    <w:uiPriority w:val="9"/>
    <w:rPr>
      <w:rFonts w:ascii="Arial Unicode MS" w:hAnsi="Arial Unicode MS" w:eastAsia="方正书宋简体" w:cs="华文中宋"/>
      <w:b/>
      <w:bCs/>
      <w:color w:val="365F91"/>
      <w:sz w:val="24"/>
      <w:szCs w:val="24"/>
    </w:rPr>
  </w:style>
  <w:style w:type="paragraph" w:customStyle="1" w:styleId="99">
    <w:name w:val="AOTOCs"/>
    <w:basedOn w:val="100"/>
    <w:next w:val="38"/>
    <w:qFormat/>
    <w:uiPriority w:val="0"/>
    <w:pPr>
      <w:jc w:val="left"/>
    </w:pPr>
  </w:style>
  <w:style w:type="paragraph" w:customStyle="1" w:styleId="100">
    <w:name w:val="AONormal"/>
    <w:qFormat/>
    <w:uiPriority w:val="0"/>
    <w:pPr>
      <w:spacing w:line="260" w:lineRule="atLeast"/>
      <w:jc w:val="both"/>
    </w:pPr>
    <w:rPr>
      <w:rFonts w:ascii="Calibri" w:hAnsi="Calibri" w:eastAsia="宋体" w:cs="Times New Roman"/>
      <w:kern w:val="2"/>
      <w:sz w:val="22"/>
      <w:szCs w:val="24"/>
      <w:lang w:val="en-GB" w:eastAsia="en-US" w:bidi="ar-SA"/>
    </w:rPr>
  </w:style>
  <w:style w:type="character" w:customStyle="1" w:styleId="101">
    <w:name w:val="正文首行缩进 Char1"/>
    <w:qFormat/>
    <w:uiPriority w:val="99"/>
  </w:style>
  <w:style w:type="character" w:customStyle="1" w:styleId="102">
    <w:name w:val="正文文本 Char2"/>
    <w:qFormat/>
    <w:uiPriority w:val="0"/>
  </w:style>
  <w:style w:type="character" w:customStyle="1" w:styleId="103">
    <w:name w:val="标题 5 字符"/>
    <w:qFormat/>
    <w:uiPriority w:val="0"/>
    <w:rPr>
      <w:b/>
      <w:sz w:val="28"/>
    </w:rPr>
  </w:style>
  <w:style w:type="character" w:customStyle="1" w:styleId="104">
    <w:name w:val="unnamed1"/>
    <w:qFormat/>
    <w:uiPriority w:val="0"/>
    <w:rPr>
      <w:rFonts w:ascii="仿宋" w:hAnsi="仿宋" w:eastAsia="方正书宋简体"/>
      <w:kern w:val="2"/>
      <w:sz w:val="24"/>
      <w:lang w:val="en-US" w:eastAsia="zh-CN" w:bidi="ar-SA"/>
    </w:rPr>
  </w:style>
  <w:style w:type="character" w:customStyle="1" w:styleId="105">
    <w:name w:val="Char Char7"/>
    <w:qFormat/>
    <w:uiPriority w:val="0"/>
    <w:rPr>
      <w:rFonts w:hint="default" w:ascii="等线 Light" w:hAnsi="等线 Light" w:eastAsia="Arial" w:cs="等线 Light"/>
      <w:b/>
      <w:bCs/>
      <w:kern w:val="2"/>
      <w:sz w:val="32"/>
      <w:szCs w:val="32"/>
      <w:lang w:val="en-US" w:eastAsia="zh-CN" w:bidi="ar-SA"/>
    </w:rPr>
  </w:style>
  <w:style w:type="character" w:customStyle="1" w:styleId="106">
    <w:name w:val="more"/>
    <w:qFormat/>
    <w:uiPriority w:val="0"/>
  </w:style>
  <w:style w:type="character" w:customStyle="1" w:styleId="107">
    <w:name w:val="lemmatitleh11"/>
    <w:qFormat/>
    <w:uiPriority w:val="0"/>
  </w:style>
  <w:style w:type="character" w:customStyle="1" w:styleId="108">
    <w:name w:val="标题 3 字符"/>
    <w:qFormat/>
    <w:uiPriority w:val="0"/>
    <w:rPr>
      <w:b/>
      <w:bCs/>
      <w:sz w:val="32"/>
      <w:szCs w:val="32"/>
    </w:rPr>
  </w:style>
  <w:style w:type="character" w:customStyle="1" w:styleId="109">
    <w:name w:val="Book Title"/>
    <w:qFormat/>
    <w:uiPriority w:val="0"/>
    <w:rPr>
      <w:rFonts w:ascii="Arial Unicode MS" w:hAnsi="Arial Unicode MS" w:eastAsia="方正书宋简体" w:cs="华文中宋"/>
      <w:b/>
      <w:bCs/>
      <w:i/>
      <w:iCs/>
      <w:color w:val="auto"/>
    </w:rPr>
  </w:style>
  <w:style w:type="character" w:customStyle="1" w:styleId="110">
    <w:name w:val="样式 批注引用 + 绿色"/>
    <w:qFormat/>
    <w:uiPriority w:val="0"/>
    <w:rPr>
      <w:rFonts w:ascii="仿宋" w:hAnsi="仿宋" w:eastAsia="方正书宋简体"/>
      <w:color w:val="FF0000"/>
      <w:kern w:val="2"/>
      <w:sz w:val="21"/>
      <w:szCs w:val="21"/>
      <w:lang w:val="en-US" w:eastAsia="zh-CN" w:bidi="ar-SA"/>
    </w:rPr>
  </w:style>
  <w:style w:type="character" w:customStyle="1" w:styleId="111">
    <w:name w:val="纯文本 Char"/>
    <w:qFormat/>
    <w:uiPriority w:val="0"/>
    <w:rPr>
      <w:rFonts w:ascii="Tahoma" w:hAnsi="华文细黑" w:eastAsia="Tahoma" w:cs="楷体_GB2312"/>
      <w:kern w:val="2"/>
      <w:sz w:val="21"/>
      <w:szCs w:val="21"/>
    </w:rPr>
  </w:style>
  <w:style w:type="character" w:customStyle="1" w:styleId="112">
    <w:name w:val="无间隔 字符1"/>
    <w:link w:val="113"/>
    <w:qFormat/>
    <w:uiPriority w:val="1"/>
  </w:style>
  <w:style w:type="paragraph" w:styleId="113">
    <w:name w:val="No Spacing"/>
    <w:basedOn w:val="1"/>
    <w:link w:val="112"/>
    <w:qFormat/>
    <w:uiPriority w:val="1"/>
    <w:pPr>
      <w:ind w:firstLine="0"/>
    </w:pPr>
  </w:style>
  <w:style w:type="character" w:styleId="114">
    <w:name w:val="Placeholder Text"/>
    <w:semiHidden/>
    <w:qFormat/>
    <w:uiPriority w:val="99"/>
    <w:rPr>
      <w:color w:val="808080"/>
    </w:rPr>
  </w:style>
  <w:style w:type="character" w:customStyle="1" w:styleId="115">
    <w:name w:val="文档结构图 Char1"/>
    <w:qFormat/>
    <w:uiPriority w:val="0"/>
    <w:rPr>
      <w:rFonts w:ascii="方正书宋简体" w:hAnsi="华文中宋" w:eastAsia="方正书宋简体" w:cs="华文中宋"/>
      <w:kern w:val="0"/>
      <w:sz w:val="18"/>
      <w:szCs w:val="18"/>
    </w:rPr>
  </w:style>
  <w:style w:type="character" w:customStyle="1" w:styleId="116">
    <w:name w:val="02标题2 Char"/>
    <w:link w:val="117"/>
    <w:qFormat/>
    <w:uiPriority w:val="0"/>
    <w:rPr>
      <w:rFonts w:ascii="黑体" w:hAnsi="黑体" w:eastAsia="黑体"/>
      <w:b/>
      <w:color w:val="0000FF"/>
      <w:kern w:val="44"/>
      <w:sz w:val="24"/>
      <w:szCs w:val="21"/>
      <w:lang w:val="en-US" w:eastAsia="zh-CN" w:bidi="ar-SA"/>
    </w:rPr>
  </w:style>
  <w:style w:type="paragraph" w:customStyle="1" w:styleId="117">
    <w:name w:val="02标题2"/>
    <w:next w:val="118"/>
    <w:link w:val="116"/>
    <w:qFormat/>
    <w:uiPriority w:val="0"/>
    <w:pPr>
      <w:spacing w:line="560" w:lineRule="exact"/>
      <w:ind w:firstLine="200" w:firstLineChars="200"/>
      <w:outlineLvl w:val="1"/>
    </w:pPr>
    <w:rPr>
      <w:rFonts w:ascii="黑体" w:hAnsi="黑体" w:eastAsia="黑体" w:cs="Times New Roman"/>
      <w:b/>
      <w:color w:val="0000FF"/>
      <w:kern w:val="44"/>
      <w:sz w:val="24"/>
      <w:szCs w:val="21"/>
      <w:lang w:val="en-US" w:eastAsia="zh-CN" w:bidi="ar-SA"/>
    </w:rPr>
  </w:style>
  <w:style w:type="paragraph" w:customStyle="1" w:styleId="118">
    <w:name w:val="05正文"/>
    <w:basedOn w:val="1"/>
    <w:qFormat/>
    <w:uiPriority w:val="0"/>
    <w:pPr>
      <w:spacing w:line="560" w:lineRule="exact"/>
      <w:ind w:firstLine="200" w:firstLineChars="200"/>
    </w:pPr>
    <w:rPr>
      <w:rFonts w:ascii="宋体" w:hAnsi="宋体" w:eastAsia="宋体" w:cs="宋体"/>
      <w:kern w:val="0"/>
      <w:sz w:val="24"/>
      <w:szCs w:val="24"/>
    </w:rPr>
  </w:style>
  <w:style w:type="character" w:customStyle="1" w:styleId="119">
    <w:name w:val="报告正文 Char"/>
    <w:link w:val="120"/>
    <w:qFormat/>
    <w:uiPriority w:val="0"/>
    <w:rPr>
      <w:rFonts w:eastAsia="仿宋_GB2312"/>
      <w:bCs/>
      <w:spacing w:val="14"/>
      <w:kern w:val="2"/>
      <w:sz w:val="24"/>
      <w:szCs w:val="24"/>
    </w:rPr>
  </w:style>
  <w:style w:type="paragraph" w:customStyle="1" w:styleId="120">
    <w:name w:val="报告正文"/>
    <w:basedOn w:val="1"/>
    <w:link w:val="119"/>
    <w:qFormat/>
    <w:uiPriority w:val="0"/>
    <w:pPr>
      <w:widowControl w:val="0"/>
      <w:tabs>
        <w:tab w:val="left" w:pos="4080"/>
      </w:tabs>
      <w:topLinePunct/>
      <w:spacing w:line="360" w:lineRule="auto"/>
      <w:ind w:firstLine="200" w:firstLineChars="200"/>
    </w:pPr>
    <w:rPr>
      <w:rFonts w:eastAsia="仿宋_GB2312"/>
      <w:bCs/>
      <w:spacing w:val="14"/>
      <w:kern w:val="2"/>
      <w:sz w:val="24"/>
      <w:szCs w:val="24"/>
    </w:rPr>
  </w:style>
  <w:style w:type="character" w:customStyle="1" w:styleId="121">
    <w:name w:val="标题 字符"/>
    <w:qFormat/>
    <w:uiPriority w:val="10"/>
    <w:rPr>
      <w:rFonts w:ascii="Arial Unicode MS" w:hAnsi="Arial Unicode MS"/>
      <w:b/>
      <w:bCs/>
      <w:sz w:val="32"/>
      <w:szCs w:val="32"/>
    </w:rPr>
  </w:style>
  <w:style w:type="character" w:customStyle="1" w:styleId="122">
    <w:name w:val="纯文本 Char1"/>
    <w:qFormat/>
    <w:uiPriority w:val="0"/>
    <w:rPr>
      <w:rFonts w:ascii="方正书宋简体" w:hAnsi="楷体_GB2312" w:cs="楷体_GB2312"/>
      <w:sz w:val="21"/>
      <w:szCs w:val="21"/>
    </w:rPr>
  </w:style>
  <w:style w:type="character" w:customStyle="1" w:styleId="123">
    <w:name w:val="引用 字符1"/>
    <w:link w:val="124"/>
    <w:qFormat/>
    <w:uiPriority w:val="29"/>
    <w:rPr>
      <w:rFonts w:ascii="Arial Unicode MS" w:hAnsi="Arial Unicode MS" w:eastAsia="方正书宋简体" w:cs="华文中宋"/>
      <w:i/>
      <w:iCs/>
      <w:color w:val="5A5A5A"/>
    </w:rPr>
  </w:style>
  <w:style w:type="paragraph" w:styleId="124">
    <w:name w:val="Quote"/>
    <w:basedOn w:val="1"/>
    <w:next w:val="1"/>
    <w:link w:val="123"/>
    <w:qFormat/>
    <w:uiPriority w:val="29"/>
    <w:rPr>
      <w:rFonts w:ascii="Arial Unicode MS" w:hAnsi="Arial Unicode MS" w:eastAsia="方正书宋简体"/>
      <w:i/>
      <w:iCs/>
      <w:color w:val="5A5A5A"/>
      <w:sz w:val="20"/>
      <w:szCs w:val="20"/>
    </w:rPr>
  </w:style>
  <w:style w:type="character" w:customStyle="1" w:styleId="125">
    <w:name w:val="脚注文本 Char1"/>
    <w:qFormat/>
    <w:uiPriority w:val="99"/>
    <w:rPr>
      <w:sz w:val="18"/>
      <w:szCs w:val="18"/>
    </w:rPr>
  </w:style>
  <w:style w:type="character" w:customStyle="1" w:styleId="126">
    <w:name w:val="Default Char"/>
    <w:link w:val="127"/>
    <w:qFormat/>
    <w:uiPriority w:val="0"/>
    <w:rPr>
      <w:rFonts w:ascii="方正书宋简体"/>
      <w:color w:val="000000"/>
      <w:sz w:val="24"/>
      <w:szCs w:val="24"/>
      <w:lang w:val="en-US" w:eastAsia="zh-CN" w:bidi="ar-SA"/>
    </w:rPr>
  </w:style>
  <w:style w:type="paragraph" w:customStyle="1" w:styleId="127">
    <w:name w:val="Default"/>
    <w:next w:val="128"/>
    <w:link w:val="126"/>
    <w:qFormat/>
    <w:uiPriority w:val="0"/>
    <w:pPr>
      <w:widowControl w:val="0"/>
      <w:autoSpaceDE w:val="0"/>
      <w:autoSpaceDN w:val="0"/>
      <w:adjustRightInd w:val="0"/>
      <w:ind w:firstLine="360"/>
    </w:pPr>
    <w:rPr>
      <w:rFonts w:ascii="方正书宋简体" w:hAnsi="Times New Roman" w:eastAsia="宋体" w:cs="Times New Roman"/>
      <w:color w:val="000000"/>
      <w:sz w:val="24"/>
      <w:szCs w:val="24"/>
      <w:lang w:val="en-US" w:eastAsia="zh-CN" w:bidi="ar-SA"/>
    </w:rPr>
  </w:style>
  <w:style w:type="paragraph" w:customStyle="1" w:styleId="128">
    <w:name w:val="正文缩进1"/>
    <w:basedOn w:val="1"/>
    <w:next w:val="41"/>
    <w:autoRedefine/>
    <w:qFormat/>
    <w:uiPriority w:val="99"/>
    <w:pPr>
      <w:ind w:firstLine="420"/>
    </w:pPr>
  </w:style>
  <w:style w:type="character" w:customStyle="1" w:styleId="129">
    <w:name w:val="biaoti1"/>
    <w:qFormat/>
    <w:uiPriority w:val="0"/>
    <w:rPr>
      <w:rFonts w:hint="eastAsia" w:ascii="方正书宋简体" w:hAnsi="方正书宋简体" w:eastAsia="方正书宋简体"/>
      <w:sz w:val="32"/>
      <w:szCs w:val="32"/>
      <w:u w:val="none"/>
    </w:rPr>
  </w:style>
  <w:style w:type="character" w:customStyle="1" w:styleId="130">
    <w:name w:val="Char Char Char"/>
    <w:qFormat/>
    <w:locked/>
    <w:uiPriority w:val="0"/>
    <w:rPr>
      <w:rFonts w:eastAsia="方正书宋简体"/>
      <w:b/>
      <w:bCs/>
      <w:kern w:val="44"/>
      <w:sz w:val="44"/>
      <w:szCs w:val="44"/>
      <w:lang w:val="en-US" w:eastAsia="zh-CN" w:bidi="ar-SA"/>
    </w:rPr>
  </w:style>
  <w:style w:type="character" w:customStyle="1" w:styleId="131">
    <w:name w:val="标题 2 Char Char"/>
    <w:qFormat/>
    <w:uiPriority w:val="0"/>
    <w:rPr>
      <w:rFonts w:eastAsia="Arial"/>
      <w:kern w:val="2"/>
      <w:sz w:val="32"/>
      <w:lang w:val="en-US" w:eastAsia="zh-CN" w:bidi="ar-SA"/>
    </w:rPr>
  </w:style>
  <w:style w:type="character" w:customStyle="1" w:styleId="132">
    <w:name w:val="页眉 字符"/>
    <w:qFormat/>
    <w:uiPriority w:val="99"/>
    <w:rPr>
      <w:sz w:val="18"/>
      <w:szCs w:val="18"/>
    </w:rPr>
  </w:style>
  <w:style w:type="character" w:customStyle="1" w:styleId="133">
    <w:name w:val="明显引用 字符1"/>
    <w:link w:val="134"/>
    <w:qFormat/>
    <w:uiPriority w:val="30"/>
    <w:rPr>
      <w:rFonts w:ascii="Arial Unicode MS" w:hAnsi="Arial Unicode MS" w:eastAsia="方正书宋简体" w:cs="华文中宋"/>
      <w:i/>
      <w:iCs/>
      <w:color w:val="FFFFFF"/>
      <w:sz w:val="24"/>
      <w:szCs w:val="24"/>
      <w:shd w:val="clear" w:color="auto" w:fill="4F81BD"/>
    </w:rPr>
  </w:style>
  <w:style w:type="paragraph" w:styleId="134">
    <w:name w:val="Intense Quote"/>
    <w:basedOn w:val="1"/>
    <w:next w:val="1"/>
    <w:link w:val="133"/>
    <w:qFormat/>
    <w:uiPriority w:val="30"/>
    <w:pPr>
      <w:pBdr>
        <w:top w:val="single" w:color="B8CCE4" w:sz="12" w:space="10"/>
        <w:left w:val="single" w:color="4F81BD" w:sz="36" w:space="4"/>
        <w:bottom w:val="single" w:color="9BBB59" w:sz="24" w:space="10"/>
        <w:right w:val="single" w:color="4F81BD" w:sz="36" w:space="4"/>
      </w:pBdr>
      <w:shd w:val="clear" w:color="auto" w:fill="4F81BD"/>
      <w:spacing w:before="320" w:after="320" w:line="300" w:lineRule="auto"/>
      <w:ind w:left="1440" w:right="1440"/>
    </w:pPr>
    <w:rPr>
      <w:rFonts w:ascii="Arial Unicode MS" w:hAnsi="Arial Unicode MS" w:eastAsia="方正书宋简体"/>
      <w:i/>
      <w:iCs/>
      <w:color w:val="FFFFFF"/>
      <w:sz w:val="24"/>
      <w:szCs w:val="24"/>
    </w:rPr>
  </w:style>
  <w:style w:type="character" w:customStyle="1" w:styleId="135">
    <w:name w:val="标题 6 字符"/>
    <w:qFormat/>
    <w:uiPriority w:val="0"/>
    <w:rPr>
      <w:rFonts w:ascii="等线 Light" w:hAnsi="等线 Light" w:eastAsia="Arial"/>
      <w:b/>
      <w:bCs/>
      <w:sz w:val="24"/>
      <w:szCs w:val="24"/>
    </w:rPr>
  </w:style>
  <w:style w:type="character" w:customStyle="1" w:styleId="136">
    <w:name w:val="标题 1 Char1"/>
    <w:qFormat/>
    <w:uiPriority w:val="9"/>
    <w:rPr>
      <w:rFonts w:ascii="Times New Roman" w:hAnsi="Times New Roman" w:eastAsia="宋体" w:cs="Times New Roman"/>
      <w:b/>
      <w:bCs/>
      <w:kern w:val="44"/>
      <w:sz w:val="44"/>
      <w:szCs w:val="44"/>
    </w:rPr>
  </w:style>
  <w:style w:type="character" w:customStyle="1" w:styleId="137">
    <w:name w:val="引用 字符"/>
    <w:qFormat/>
    <w:uiPriority w:val="99"/>
    <w:rPr>
      <w:i/>
      <w:iCs/>
      <w:color w:val="000000"/>
      <w:kern w:val="2"/>
      <w:sz w:val="21"/>
      <w:szCs w:val="22"/>
    </w:rPr>
  </w:style>
  <w:style w:type="character" w:customStyle="1" w:styleId="138">
    <w:name w:val="Char Char10"/>
    <w:qFormat/>
    <w:uiPriority w:val="0"/>
    <w:rPr>
      <w:kern w:val="2"/>
      <w:sz w:val="21"/>
      <w:szCs w:val="22"/>
    </w:rPr>
  </w:style>
  <w:style w:type="character" w:customStyle="1" w:styleId="139">
    <w:name w:val="prjtxt4"/>
    <w:qFormat/>
    <w:uiPriority w:val="0"/>
  </w:style>
  <w:style w:type="character" w:customStyle="1" w:styleId="140">
    <w:name w:val="无间隔 字符"/>
    <w:qFormat/>
    <w:uiPriority w:val="99"/>
    <w:rPr>
      <w:rFonts w:ascii="Verdana" w:hAnsi="Verdana"/>
      <w:sz w:val="22"/>
      <w:szCs w:val="22"/>
    </w:rPr>
  </w:style>
  <w:style w:type="character" w:customStyle="1" w:styleId="141">
    <w:name w:val="Para head"/>
    <w:qFormat/>
    <w:uiPriority w:val="0"/>
    <w:rPr>
      <w:rFonts w:ascii="等线 Light" w:hAnsi="等线 Light" w:eastAsia="华文中宋"/>
      <w:sz w:val="20"/>
    </w:rPr>
  </w:style>
  <w:style w:type="character" w:customStyle="1" w:styleId="142">
    <w:name w:val="text1"/>
    <w:qFormat/>
    <w:uiPriority w:val="0"/>
    <w:rPr>
      <w:rFonts w:hint="default" w:ascii="等线 Light" w:hAnsi="等线 Light" w:eastAsia="方正书宋简体" w:cs="等线 Light"/>
      <w:color w:val="666666"/>
      <w:kern w:val="2"/>
      <w:sz w:val="22"/>
      <w:szCs w:val="22"/>
      <w:u w:val="none"/>
      <w:lang w:val="en-US" w:eastAsia="zh-CN" w:bidi="ar-SA"/>
    </w:rPr>
  </w:style>
  <w:style w:type="character" w:customStyle="1" w:styleId="143">
    <w:name w:val="tpc_title1"/>
    <w:qFormat/>
    <w:uiPriority w:val="0"/>
    <w:rPr>
      <w:b/>
      <w:bCs/>
      <w:sz w:val="24"/>
      <w:szCs w:val="24"/>
    </w:rPr>
  </w:style>
  <w:style w:type="character" w:customStyle="1" w:styleId="144">
    <w:name w:val="javascript"/>
    <w:qFormat/>
    <w:uiPriority w:val="0"/>
  </w:style>
  <w:style w:type="character" w:customStyle="1" w:styleId="145">
    <w:name w:val="2级标题（前附表） Char Char"/>
    <w:link w:val="146"/>
    <w:qFormat/>
    <w:uiPriority w:val="0"/>
    <w:rPr>
      <w:rFonts w:ascii="黑体" w:eastAsia="黑体"/>
      <w:color w:val="000000"/>
      <w:kern w:val="2"/>
      <w:sz w:val="28"/>
    </w:rPr>
  </w:style>
  <w:style w:type="paragraph" w:customStyle="1" w:styleId="146">
    <w:name w:val="2级标题（前附表）"/>
    <w:basedOn w:val="1"/>
    <w:link w:val="145"/>
    <w:qFormat/>
    <w:locked/>
    <w:uiPriority w:val="0"/>
    <w:pPr>
      <w:widowControl w:val="0"/>
      <w:ind w:firstLine="0"/>
      <w:jc w:val="both"/>
      <w:outlineLvl w:val="1"/>
    </w:pPr>
    <w:rPr>
      <w:rFonts w:ascii="黑体" w:eastAsia="黑体"/>
      <w:color w:val="000000"/>
      <w:kern w:val="2"/>
      <w:sz w:val="28"/>
      <w:szCs w:val="20"/>
    </w:rPr>
  </w:style>
  <w:style w:type="character" w:customStyle="1" w:styleId="147">
    <w:name w:val="g1"/>
    <w:qFormat/>
    <w:uiPriority w:val="0"/>
    <w:rPr>
      <w:color w:val="008000"/>
    </w:rPr>
  </w:style>
  <w:style w:type="character" w:customStyle="1" w:styleId="148">
    <w:name w:val="正文缩进 字符"/>
    <w:qFormat/>
    <w:uiPriority w:val="0"/>
  </w:style>
  <w:style w:type="character" w:customStyle="1" w:styleId="149">
    <w:name w:val="tabtitle"/>
    <w:qFormat/>
    <w:uiPriority w:val="0"/>
    <w:rPr>
      <w:b/>
      <w:color w:val="4371A0"/>
      <w:sz w:val="18"/>
      <w:szCs w:val="18"/>
      <w:bdr w:val="single" w:color="B3C8DB" w:sz="6" w:space="0"/>
    </w:rPr>
  </w:style>
  <w:style w:type="character" w:customStyle="1" w:styleId="150">
    <w:name w:val="normal"/>
    <w:qFormat/>
    <w:uiPriority w:val="0"/>
    <w:rPr>
      <w:b/>
      <w:color w:val="4371A0"/>
      <w:sz w:val="18"/>
      <w:szCs w:val="18"/>
    </w:rPr>
  </w:style>
  <w:style w:type="character" w:customStyle="1" w:styleId="151">
    <w:name w:val="明显引用 字符"/>
    <w:qFormat/>
    <w:uiPriority w:val="99"/>
    <w:rPr>
      <w:b/>
      <w:bCs/>
      <w:i/>
      <w:iCs/>
      <w:color w:val="4F81BD"/>
      <w:kern w:val="2"/>
      <w:sz w:val="21"/>
      <w:szCs w:val="22"/>
    </w:rPr>
  </w:style>
  <w:style w:type="character" w:customStyle="1" w:styleId="152">
    <w:name w:val="页脚 Char1"/>
    <w:semiHidden/>
    <w:qFormat/>
    <w:uiPriority w:val="99"/>
    <w:rPr>
      <w:sz w:val="18"/>
      <w:szCs w:val="18"/>
    </w:rPr>
  </w:style>
  <w:style w:type="character" w:customStyle="1" w:styleId="153">
    <w:name w:val="Intense Emphasis"/>
    <w:qFormat/>
    <w:uiPriority w:val="0"/>
    <w:rPr>
      <w:b/>
      <w:bCs/>
      <w:i/>
      <w:iCs/>
      <w:color w:val="4F81BD"/>
      <w:sz w:val="22"/>
      <w:szCs w:val="22"/>
    </w:rPr>
  </w:style>
  <w:style w:type="character" w:customStyle="1" w:styleId="154">
    <w:name w:val="tpc_content1"/>
    <w:qFormat/>
    <w:uiPriority w:val="0"/>
    <w:rPr>
      <w:sz w:val="20"/>
      <w:szCs w:val="20"/>
    </w:rPr>
  </w:style>
  <w:style w:type="character" w:customStyle="1" w:styleId="155">
    <w:name w:val="标题 Char1"/>
    <w:qFormat/>
    <w:uiPriority w:val="10"/>
    <w:rPr>
      <w:rFonts w:ascii="Arial Unicode MS" w:hAnsi="Arial Unicode MS" w:cs="华文中宋"/>
      <w:b/>
      <w:bCs/>
      <w:sz w:val="32"/>
      <w:szCs w:val="32"/>
    </w:rPr>
  </w:style>
  <w:style w:type="character" w:customStyle="1" w:styleId="156">
    <w:name w:val="批注文字 Char1"/>
    <w:qFormat/>
    <w:uiPriority w:val="99"/>
    <w:rPr>
      <w:sz w:val="24"/>
    </w:rPr>
  </w:style>
  <w:style w:type="character" w:customStyle="1" w:styleId="157">
    <w:name w:val="标题 7 字符"/>
    <w:qFormat/>
    <w:uiPriority w:val="99"/>
    <w:rPr>
      <w:b/>
      <w:bCs/>
      <w:sz w:val="24"/>
      <w:szCs w:val="24"/>
    </w:rPr>
  </w:style>
  <w:style w:type="character" w:customStyle="1" w:styleId="158">
    <w:name w:val="Char Char2"/>
    <w:qFormat/>
    <w:uiPriority w:val="0"/>
    <w:rPr>
      <w:rFonts w:eastAsia="方正书宋简体"/>
      <w:b/>
      <w:bCs/>
      <w:kern w:val="44"/>
      <w:sz w:val="32"/>
      <w:szCs w:val="44"/>
      <w:lang w:val="en-US" w:eastAsia="zh-CN" w:bidi="ar-SA"/>
    </w:rPr>
  </w:style>
  <w:style w:type="character" w:customStyle="1" w:styleId="159">
    <w:name w:val="标题 9 字符"/>
    <w:qFormat/>
    <w:uiPriority w:val="99"/>
    <w:rPr>
      <w:rFonts w:ascii="等线 Light" w:hAnsi="等线 Light" w:eastAsia="Arial"/>
      <w:sz w:val="21"/>
      <w:szCs w:val="21"/>
    </w:rPr>
  </w:style>
  <w:style w:type="character" w:customStyle="1" w:styleId="160">
    <w:name w:val="样式 Char"/>
    <w:link w:val="161"/>
    <w:qFormat/>
    <w:uiPriority w:val="0"/>
    <w:rPr>
      <w:rFonts w:ascii="方正书宋简体" w:hAnsi="方正书宋简体" w:cs="方正书宋简体"/>
      <w:sz w:val="24"/>
      <w:szCs w:val="24"/>
      <w:lang w:val="en-US" w:eastAsia="zh-CN" w:bidi="ar-SA"/>
    </w:rPr>
  </w:style>
  <w:style w:type="paragraph" w:customStyle="1" w:styleId="161">
    <w:name w:val="样式"/>
    <w:link w:val="160"/>
    <w:qFormat/>
    <w:uiPriority w:val="0"/>
    <w:pPr>
      <w:widowControl w:val="0"/>
      <w:autoSpaceDE w:val="0"/>
      <w:autoSpaceDN w:val="0"/>
      <w:adjustRightInd w:val="0"/>
    </w:pPr>
    <w:rPr>
      <w:rFonts w:ascii="方正书宋简体" w:hAnsi="方正书宋简体" w:eastAsia="宋体" w:cs="方正书宋简体"/>
      <w:sz w:val="24"/>
      <w:szCs w:val="24"/>
      <w:lang w:val="en-US" w:eastAsia="zh-CN" w:bidi="ar-SA"/>
    </w:rPr>
  </w:style>
  <w:style w:type="character" w:customStyle="1" w:styleId="162">
    <w:name w:val="Intense Reference"/>
    <w:qFormat/>
    <w:uiPriority w:val="0"/>
    <w:rPr>
      <w:b/>
      <w:bCs/>
      <w:color w:val="76923C"/>
      <w:u w:val="single" w:color="9BBB59"/>
    </w:rPr>
  </w:style>
  <w:style w:type="character" w:customStyle="1" w:styleId="163">
    <w:name w:val="zbggmain style9"/>
    <w:qFormat/>
    <w:uiPriority w:val="0"/>
  </w:style>
  <w:style w:type="character" w:customStyle="1" w:styleId="164">
    <w:name w:val="纯文本 字符"/>
    <w:qFormat/>
    <w:locked/>
    <w:uiPriority w:val="0"/>
    <w:rPr>
      <w:rFonts w:ascii="方正书宋简体" w:hAnsi="楷体_GB2312" w:cs="楷体_GB2312"/>
      <w:kern w:val="2"/>
      <w:sz w:val="21"/>
      <w:szCs w:val="21"/>
    </w:rPr>
  </w:style>
  <w:style w:type="character" w:customStyle="1" w:styleId="165">
    <w:name w:val="批注文字 Char Char"/>
    <w:qFormat/>
    <w:uiPriority w:val="0"/>
    <w:rPr>
      <w:rFonts w:ascii="方正书宋简体" w:hAnsi="华文中宋" w:eastAsia="方正书宋简体" w:cs="华文中宋"/>
      <w:sz w:val="28"/>
      <w:szCs w:val="20"/>
    </w:rPr>
  </w:style>
  <w:style w:type="character" w:customStyle="1" w:styleId="166">
    <w:name w:val="Subtle Reference"/>
    <w:qFormat/>
    <w:uiPriority w:val="0"/>
    <w:rPr>
      <w:color w:val="auto"/>
      <w:u w:val="single" w:color="9BBB59"/>
    </w:rPr>
  </w:style>
  <w:style w:type="character" w:customStyle="1" w:styleId="167">
    <w:name w:val="引用 Char1"/>
    <w:qFormat/>
    <w:uiPriority w:val="29"/>
    <w:rPr>
      <w:i/>
      <w:iCs/>
      <w:color w:val="000000"/>
    </w:rPr>
  </w:style>
  <w:style w:type="character" w:customStyle="1" w:styleId="168">
    <w:name w:val="标题 4 字符"/>
    <w:qFormat/>
    <w:uiPriority w:val="0"/>
    <w:rPr>
      <w:rFonts w:ascii="等线 Light" w:hAnsi="等线 Light" w:eastAsia="Arial"/>
      <w:b/>
      <w:bCs/>
      <w:sz w:val="28"/>
      <w:szCs w:val="28"/>
    </w:rPr>
  </w:style>
  <w:style w:type="character" w:customStyle="1" w:styleId="169">
    <w:name w:val="style11"/>
    <w:qFormat/>
    <w:uiPriority w:val="0"/>
    <w:rPr>
      <w:b/>
      <w:bCs/>
    </w:rPr>
  </w:style>
  <w:style w:type="character" w:customStyle="1" w:styleId="170">
    <w:name w:val="页脚 字符"/>
    <w:qFormat/>
    <w:uiPriority w:val="99"/>
    <w:rPr>
      <w:rFonts w:eastAsia="方正书宋简体"/>
      <w:sz w:val="18"/>
      <w:szCs w:val="18"/>
      <w:lang w:val="en-US" w:eastAsia="zh-CN" w:bidi="ar-SA"/>
    </w:rPr>
  </w:style>
  <w:style w:type="character" w:customStyle="1" w:styleId="171">
    <w:name w:val="正文文本 Char1"/>
    <w:qFormat/>
    <w:uiPriority w:val="0"/>
    <w:rPr>
      <w:sz w:val="24"/>
    </w:rPr>
  </w:style>
  <w:style w:type="character" w:customStyle="1" w:styleId="172">
    <w:name w:val="apple-style-span"/>
    <w:qFormat/>
    <w:uiPriority w:val="0"/>
  </w:style>
  <w:style w:type="character" w:customStyle="1" w:styleId="173">
    <w:name w:val="标题5 Char Char"/>
    <w:link w:val="174"/>
    <w:qFormat/>
    <w:uiPriority w:val="0"/>
    <w:rPr>
      <w:bCs/>
      <w:kern w:val="2"/>
      <w:sz w:val="24"/>
      <w:szCs w:val="32"/>
    </w:rPr>
  </w:style>
  <w:style w:type="paragraph" w:customStyle="1" w:styleId="174">
    <w:name w:val="标题5"/>
    <w:basedOn w:val="1"/>
    <w:link w:val="173"/>
    <w:qFormat/>
    <w:uiPriority w:val="0"/>
    <w:pPr>
      <w:widowControl w:val="0"/>
      <w:tabs>
        <w:tab w:val="left" w:pos="900"/>
      </w:tabs>
      <w:spacing w:line="360" w:lineRule="auto"/>
      <w:ind w:left="900" w:right="31" w:rightChars="13" w:hanging="420" w:firstLineChars="200"/>
      <w:jc w:val="both"/>
    </w:pPr>
    <w:rPr>
      <w:bCs/>
      <w:kern w:val="2"/>
      <w:sz w:val="24"/>
      <w:szCs w:val="32"/>
    </w:rPr>
  </w:style>
  <w:style w:type="character" w:customStyle="1" w:styleId="175">
    <w:name w:val="Char Char8"/>
    <w:qFormat/>
    <w:uiPriority w:val="0"/>
    <w:rPr>
      <w:rFonts w:hint="default" w:ascii="等线 Light" w:hAnsi="等线 Light" w:eastAsia="Arial" w:cs="等线 Light"/>
      <w:b/>
      <w:bCs/>
      <w:kern w:val="2"/>
      <w:sz w:val="32"/>
      <w:szCs w:val="32"/>
      <w:lang w:val="en-US" w:eastAsia="zh-CN" w:bidi="ar-SA"/>
    </w:rPr>
  </w:style>
  <w:style w:type="character" w:customStyle="1" w:styleId="176">
    <w:name w:val="副标题 Char1"/>
    <w:qFormat/>
    <w:uiPriority w:val="11"/>
    <w:rPr>
      <w:rFonts w:ascii="Arial Unicode MS" w:hAnsi="Arial Unicode MS" w:cs="华文中宋"/>
      <w:b/>
      <w:bCs/>
      <w:kern w:val="28"/>
      <w:sz w:val="32"/>
      <w:szCs w:val="32"/>
    </w:rPr>
  </w:style>
  <w:style w:type="character" w:customStyle="1" w:styleId="177">
    <w:name w:val="font161"/>
    <w:qFormat/>
    <w:uiPriority w:val="0"/>
    <w:rPr>
      <w:b/>
      <w:bCs/>
      <w:sz w:val="32"/>
      <w:szCs w:val="32"/>
    </w:rPr>
  </w:style>
  <w:style w:type="character" w:customStyle="1" w:styleId="178">
    <w:name w:val="正文文本 3 字符1"/>
    <w:qFormat/>
    <w:uiPriority w:val="0"/>
    <w:rPr>
      <w:sz w:val="16"/>
      <w:szCs w:val="16"/>
    </w:rPr>
  </w:style>
  <w:style w:type="character" w:customStyle="1" w:styleId="179">
    <w:name w:val="textcontents"/>
    <w:qFormat/>
    <w:uiPriority w:val="0"/>
    <w:rPr>
      <w:rFonts w:cs="华文中宋"/>
    </w:rPr>
  </w:style>
  <w:style w:type="character" w:customStyle="1" w:styleId="180">
    <w:name w:val="日期 Char1"/>
    <w:qFormat/>
    <w:uiPriority w:val="0"/>
    <w:rPr>
      <w:kern w:val="2"/>
      <w:sz w:val="21"/>
      <w:szCs w:val="22"/>
    </w:rPr>
  </w:style>
  <w:style w:type="character" w:customStyle="1" w:styleId="181">
    <w:name w:val="Char Char18"/>
    <w:qFormat/>
    <w:uiPriority w:val="0"/>
    <w:rPr>
      <w:rFonts w:ascii="Arial Unicode MS" w:hAnsi="Arial Unicode MS" w:eastAsia="方正书宋简体" w:cs="华文中宋"/>
      <w:b/>
      <w:bCs/>
      <w:kern w:val="2"/>
      <w:sz w:val="32"/>
      <w:szCs w:val="32"/>
    </w:rPr>
  </w:style>
  <w:style w:type="character" w:customStyle="1" w:styleId="182">
    <w:name w:val="明显引用 Char1"/>
    <w:qFormat/>
    <w:uiPriority w:val="30"/>
    <w:rPr>
      <w:b/>
      <w:bCs/>
      <w:i/>
      <w:iCs/>
      <w:color w:val="4F81BD"/>
    </w:rPr>
  </w:style>
  <w:style w:type="character" w:customStyle="1" w:styleId="183">
    <w:name w:val="副标题 字符"/>
    <w:qFormat/>
    <w:uiPriority w:val="11"/>
    <w:rPr>
      <w:rFonts w:ascii="Arial Unicode MS" w:hAnsi="Arial Unicode MS"/>
      <w:b/>
      <w:bCs/>
      <w:kern w:val="28"/>
      <w:sz w:val="32"/>
      <w:szCs w:val="32"/>
    </w:rPr>
  </w:style>
  <w:style w:type="character" w:customStyle="1" w:styleId="184">
    <w:name w:val="标题 8 字符"/>
    <w:qFormat/>
    <w:uiPriority w:val="99"/>
    <w:rPr>
      <w:rFonts w:ascii="等线 Light" w:hAnsi="等线 Light" w:eastAsia="Arial"/>
      <w:sz w:val="24"/>
      <w:szCs w:val="24"/>
    </w:rPr>
  </w:style>
  <w:style w:type="character" w:customStyle="1" w:styleId="185">
    <w:name w:val="right2"/>
    <w:qFormat/>
    <w:uiPriority w:val="0"/>
  </w:style>
  <w:style w:type="character" w:customStyle="1" w:styleId="186">
    <w:name w:val="标题 2 字符"/>
    <w:qFormat/>
    <w:uiPriority w:val="0"/>
    <w:rPr>
      <w:rFonts w:ascii="等线 Light" w:hAnsi="等线 Light" w:eastAsia="Arial"/>
      <w:b/>
      <w:bCs/>
      <w:sz w:val="32"/>
      <w:szCs w:val="32"/>
    </w:rPr>
  </w:style>
  <w:style w:type="character" w:customStyle="1" w:styleId="187">
    <w:name w:val="Subtle Emphasis"/>
    <w:qFormat/>
    <w:uiPriority w:val="0"/>
    <w:rPr>
      <w:i/>
      <w:iCs/>
      <w:color w:val="5A5A5A"/>
    </w:rPr>
  </w:style>
  <w:style w:type="character" w:customStyle="1" w:styleId="188">
    <w:name w:val="15"/>
    <w:qFormat/>
    <w:uiPriority w:val="0"/>
    <w:rPr>
      <w:rFonts w:hint="default" w:ascii="华文中宋" w:hAnsi="华文中宋" w:cs="华文中宋"/>
      <w:color w:val="464445"/>
      <w:u w:val="none"/>
    </w:rPr>
  </w:style>
  <w:style w:type="character" w:customStyle="1" w:styleId="189">
    <w:name w:val="正文缩进 Char"/>
    <w:qFormat/>
    <w:locked/>
    <w:uiPriority w:val="0"/>
    <w:rPr>
      <w:rFonts w:ascii="Times New Roman" w:hAnsi="Times New Roman" w:eastAsia="宋体"/>
      <w:kern w:val="0"/>
      <w:sz w:val="20"/>
    </w:rPr>
  </w:style>
  <w:style w:type="character" w:customStyle="1" w:styleId="190">
    <w:name w:val="标题 2XW Char2"/>
    <w:semiHidden/>
    <w:qFormat/>
    <w:uiPriority w:val="9"/>
    <w:rPr>
      <w:rFonts w:ascii="Arial Unicode MS" w:hAnsi="Arial Unicode MS" w:eastAsia="方正书宋简体" w:cs="华文中宋"/>
      <w:b/>
      <w:bCs/>
      <w:sz w:val="32"/>
      <w:szCs w:val="32"/>
    </w:rPr>
  </w:style>
  <w:style w:type="character" w:customStyle="1" w:styleId="191">
    <w:name w:val="标题 3 Char Char"/>
    <w:qFormat/>
    <w:uiPriority w:val="0"/>
    <w:rPr>
      <w:rFonts w:eastAsia="方正书宋简体"/>
      <w:b/>
      <w:bCs/>
      <w:kern w:val="2"/>
      <w:sz w:val="32"/>
      <w:szCs w:val="32"/>
      <w:lang w:val="en-US" w:eastAsia="zh-CN" w:bidi="ar-SA"/>
    </w:rPr>
  </w:style>
  <w:style w:type="character" w:customStyle="1" w:styleId="192">
    <w:name w:val="Char Char3"/>
    <w:qFormat/>
    <w:uiPriority w:val="0"/>
    <w:rPr>
      <w:sz w:val="18"/>
    </w:rPr>
  </w:style>
  <w:style w:type="character" w:customStyle="1" w:styleId="193">
    <w:name w:val="+正文 Char Char"/>
    <w:link w:val="194"/>
    <w:qFormat/>
    <w:uiPriority w:val="0"/>
    <w:rPr>
      <w:rFonts w:eastAsia="方正书宋简体"/>
      <w:sz w:val="24"/>
      <w:szCs w:val="28"/>
      <w:lang w:val="en-US" w:eastAsia="zh-CN" w:bidi="ar-SA"/>
    </w:rPr>
  </w:style>
  <w:style w:type="paragraph" w:customStyle="1" w:styleId="194">
    <w:name w:val="+正文"/>
    <w:basedOn w:val="1"/>
    <w:link w:val="193"/>
    <w:qFormat/>
    <w:uiPriority w:val="0"/>
    <w:pPr>
      <w:widowControl/>
      <w:spacing w:line="360" w:lineRule="auto"/>
      <w:ind w:firstLine="200" w:firstLineChars="200"/>
      <w:jc w:val="left"/>
    </w:pPr>
    <w:rPr>
      <w:rFonts w:eastAsia="方正书宋简体"/>
      <w:sz w:val="24"/>
      <w:szCs w:val="28"/>
    </w:rPr>
  </w:style>
  <w:style w:type="character" w:customStyle="1" w:styleId="195">
    <w:name w:val="正文文本 3 Char1"/>
    <w:qFormat/>
    <w:uiPriority w:val="99"/>
    <w:rPr>
      <w:sz w:val="16"/>
      <w:szCs w:val="16"/>
    </w:rPr>
  </w:style>
  <w:style w:type="character" w:customStyle="1" w:styleId="196">
    <w:name w:val="批注框文本 Char1"/>
    <w:qFormat/>
    <w:uiPriority w:val="0"/>
    <w:rPr>
      <w:kern w:val="2"/>
      <w:sz w:val="18"/>
      <w:szCs w:val="18"/>
    </w:rPr>
  </w:style>
  <w:style w:type="character" w:customStyle="1" w:styleId="197">
    <w:name w:val="页码1"/>
    <w:qFormat/>
    <w:uiPriority w:val="0"/>
    <w:rPr>
      <w:rFonts w:eastAsia="楷体_GB2312"/>
      <w:b/>
      <w:sz w:val="24"/>
    </w:rPr>
  </w:style>
  <w:style w:type="character" w:customStyle="1" w:styleId="198">
    <w:name w:val="批注主题 Char1"/>
    <w:qFormat/>
    <w:uiPriority w:val="0"/>
    <w:rPr>
      <w:b/>
      <w:bCs/>
      <w:sz w:val="24"/>
    </w:rPr>
  </w:style>
  <w:style w:type="character" w:customStyle="1" w:styleId="199">
    <w:name w:val="apple-converted-space"/>
    <w:qFormat/>
    <w:uiPriority w:val="0"/>
  </w:style>
  <w:style w:type="character" w:customStyle="1" w:styleId="200">
    <w:name w:val="font31"/>
    <w:qFormat/>
    <w:uiPriority w:val="0"/>
    <w:rPr>
      <w:rFonts w:hint="eastAsia" w:ascii="宋体" w:hAnsi="宋体" w:eastAsia="宋体" w:cs="宋体"/>
      <w:color w:val="000000"/>
      <w:sz w:val="21"/>
      <w:szCs w:val="21"/>
      <w:u w:val="none"/>
    </w:rPr>
  </w:style>
  <w:style w:type="character" w:customStyle="1" w:styleId="201">
    <w:name w:val="正文缩进 字符1"/>
    <w:qFormat/>
    <w:uiPriority w:val="0"/>
  </w:style>
  <w:style w:type="paragraph" w:customStyle="1" w:styleId="202">
    <w:name w:val="样式 标题 1 + 黑体 三号 非加粗 居中 段前: 6 磅 段后: 6 磅 行距: 固定值 20 磅"/>
    <w:basedOn w:val="2"/>
    <w:qFormat/>
    <w:uiPriority w:val="99"/>
    <w:pPr>
      <w:keepNext/>
      <w:keepLines/>
      <w:widowControl w:val="0"/>
      <w:pBdr>
        <w:bottom w:val="none" w:color="auto" w:sz="0" w:space="0"/>
      </w:pBdr>
      <w:spacing w:before="120" w:after="120" w:line="400" w:lineRule="exact"/>
      <w:jc w:val="center"/>
    </w:pPr>
    <w:rPr>
      <w:rFonts w:ascii="Arial" w:hAnsi="Arial" w:eastAsia="Arial" w:cs="方正书宋简体"/>
      <w:b w:val="0"/>
      <w:bCs w:val="0"/>
      <w:color w:val="auto"/>
      <w:kern w:val="44"/>
      <w:sz w:val="32"/>
      <w:szCs w:val="20"/>
    </w:rPr>
  </w:style>
  <w:style w:type="paragraph" w:customStyle="1" w:styleId="203">
    <w:name w:val="1"/>
    <w:basedOn w:val="1"/>
    <w:next w:val="29"/>
    <w:qFormat/>
    <w:uiPriority w:val="99"/>
    <w:pPr>
      <w:widowControl w:val="0"/>
      <w:adjustRightInd w:val="0"/>
      <w:ind w:left="420" w:right="33" w:firstLine="0"/>
      <w:textAlignment w:val="baseline"/>
    </w:pPr>
    <w:rPr>
      <w:sz w:val="24"/>
      <w:szCs w:val="20"/>
    </w:rPr>
  </w:style>
  <w:style w:type="paragraph" w:customStyle="1" w:styleId="204">
    <w:name w:val="Normal_0"/>
    <w:qFormat/>
    <w:uiPriority w:val="0"/>
    <w:pPr>
      <w:widowControl w:val="0"/>
      <w:jc w:val="both"/>
    </w:pPr>
    <w:rPr>
      <w:rFonts w:ascii="Verdana" w:hAnsi="Verdana" w:eastAsia="宋体" w:cs="Times New Roman"/>
      <w:lang w:val="en-US" w:eastAsia="zh-CN" w:bidi="ar-SA"/>
    </w:rPr>
  </w:style>
  <w:style w:type="paragraph" w:customStyle="1" w:styleId="205">
    <w:name w:val="CM91"/>
    <w:basedOn w:val="127"/>
    <w:next w:val="127"/>
    <w:qFormat/>
    <w:uiPriority w:val="0"/>
    <w:pPr>
      <w:spacing w:after="160"/>
      <w:ind w:firstLine="0"/>
    </w:pPr>
    <w:rPr>
      <w:rFonts w:cs="华文中宋"/>
      <w:color w:val="auto"/>
    </w:rPr>
  </w:style>
  <w:style w:type="paragraph" w:customStyle="1" w:styleId="206">
    <w:name w:val="xl31"/>
    <w:basedOn w:val="1"/>
    <w:qFormat/>
    <w:uiPriority w:val="0"/>
    <w:pPr>
      <w:spacing w:before="100" w:beforeAutospacing="1" w:after="100" w:afterAutospacing="1"/>
      <w:ind w:firstLine="0"/>
    </w:pPr>
    <w:rPr>
      <w:rFonts w:ascii="方正书宋简体" w:hAnsi="方正书宋简体" w:eastAsia="仿宋_GB2312"/>
      <w:sz w:val="24"/>
      <w:szCs w:val="24"/>
    </w:rPr>
  </w:style>
  <w:style w:type="paragraph" w:customStyle="1" w:styleId="207">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jc w:val="center"/>
    </w:pPr>
    <w:rPr>
      <w:rFonts w:ascii="方正书宋简体" w:hAnsi="方正书宋简体" w:eastAsia="仿宋_GB2312"/>
      <w:sz w:val="20"/>
      <w:szCs w:val="20"/>
    </w:rPr>
  </w:style>
  <w:style w:type="paragraph" w:customStyle="1" w:styleId="208">
    <w:name w:val="xl38"/>
    <w:basedOn w:val="1"/>
    <w:qFormat/>
    <w:uiPriority w:val="0"/>
    <w:pPr>
      <w:spacing w:before="100" w:beforeAutospacing="1" w:after="100" w:afterAutospacing="1"/>
      <w:ind w:firstLine="0"/>
      <w:jc w:val="center"/>
    </w:pPr>
    <w:rPr>
      <w:rFonts w:ascii="方正书宋简体" w:hAnsi="方正书宋简体" w:eastAsia="仿宋_GB2312"/>
      <w:b/>
      <w:bCs/>
      <w:sz w:val="40"/>
      <w:szCs w:val="40"/>
    </w:rPr>
  </w:style>
  <w:style w:type="paragraph" w:customStyle="1" w:styleId="209">
    <w:name w:val="目录 71"/>
    <w:basedOn w:val="1"/>
    <w:next w:val="1"/>
    <w:qFormat/>
    <w:uiPriority w:val="39"/>
    <w:pPr>
      <w:widowControl w:val="0"/>
      <w:adjustRightInd w:val="0"/>
      <w:ind w:left="1440" w:firstLine="0"/>
      <w:textAlignment w:val="baseline"/>
    </w:pPr>
    <w:rPr>
      <w:sz w:val="18"/>
      <w:szCs w:val="18"/>
    </w:rPr>
  </w:style>
  <w:style w:type="paragraph" w:customStyle="1" w:styleId="210">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211">
    <w:name w:val="样式 标题 2 + Times New Roman 四号 非加粗 段前: 5 磅 段后: 0 磅 行距: 固定值 20..."/>
    <w:basedOn w:val="3"/>
    <w:qFormat/>
    <w:uiPriority w:val="99"/>
    <w:pPr>
      <w:keepNext/>
      <w:keepLines/>
      <w:widowControl w:val="0"/>
      <w:pBdr>
        <w:bottom w:val="none" w:color="auto" w:sz="0" w:space="0"/>
      </w:pBdr>
      <w:spacing w:before="100" w:after="0" w:line="400" w:lineRule="exact"/>
      <w:jc w:val="both"/>
    </w:pPr>
    <w:rPr>
      <w:rFonts w:ascii="华文中宋" w:hAnsi="华文中宋" w:eastAsia="Arial" w:cs="方正书宋简体"/>
      <w:color w:val="auto"/>
      <w:kern w:val="2"/>
      <w:sz w:val="28"/>
      <w:szCs w:val="20"/>
    </w:rPr>
  </w:style>
  <w:style w:type="paragraph" w:customStyle="1" w:styleId="212">
    <w:name w:val="样式4"/>
    <w:basedOn w:val="37"/>
    <w:qFormat/>
    <w:uiPriority w:val="99"/>
    <w:pPr>
      <w:pBdr>
        <w:bottom w:val="none" w:color="auto" w:sz="0" w:space="0"/>
      </w:pBdr>
      <w:tabs>
        <w:tab w:val="clear" w:pos="4153"/>
        <w:tab w:val="clear" w:pos="8306"/>
      </w:tabs>
      <w:autoSpaceDE w:val="0"/>
      <w:autoSpaceDN w:val="0"/>
      <w:adjustRightInd w:val="0"/>
      <w:snapToGrid/>
    </w:pPr>
    <w:rPr>
      <w:rFonts w:ascii="方正书宋简体" w:hAnsi="方正书宋简体" w:cs="方正书宋简体"/>
      <w:kern w:val="0"/>
      <w:sz w:val="28"/>
      <w:szCs w:val="24"/>
    </w:rPr>
  </w:style>
  <w:style w:type="paragraph" w:customStyle="1" w:styleId="213">
    <w:name w:val="CM44"/>
    <w:basedOn w:val="127"/>
    <w:next w:val="127"/>
    <w:qFormat/>
    <w:uiPriority w:val="0"/>
    <w:pPr>
      <w:spacing w:line="440" w:lineRule="atLeast"/>
      <w:ind w:firstLine="0"/>
    </w:pPr>
    <w:rPr>
      <w:rFonts w:cs="华文中宋"/>
      <w:color w:val="auto"/>
    </w:rPr>
  </w:style>
  <w:style w:type="paragraph" w:customStyle="1" w:styleId="214">
    <w:name w:val="空半行"/>
    <w:basedOn w:val="1"/>
    <w:qFormat/>
    <w:uiPriority w:val="99"/>
    <w:pPr>
      <w:widowControl w:val="0"/>
      <w:adjustRightInd w:val="0"/>
      <w:spacing w:line="120" w:lineRule="exact"/>
      <w:ind w:firstLine="0"/>
      <w:jc w:val="both"/>
      <w:textAlignment w:val="baseline"/>
    </w:pPr>
    <w:rPr>
      <w:rFonts w:eastAsia="MS Sans Serif"/>
      <w:color w:val="FFFFFF"/>
      <w:sz w:val="30"/>
      <w:szCs w:val="20"/>
    </w:rPr>
  </w:style>
  <w:style w:type="paragraph" w:customStyle="1" w:styleId="215">
    <w:name w:val="样式 表格文字 + 首行缩进:  2 字符"/>
    <w:basedOn w:val="14"/>
    <w:qFormat/>
    <w:uiPriority w:val="0"/>
    <w:pPr>
      <w:widowControl w:val="0"/>
      <w:ind w:firstLine="0"/>
      <w:jc w:val="center"/>
    </w:pPr>
    <w:rPr>
      <w:rFonts w:ascii="方正书宋简体" w:cs="方正书宋简体"/>
      <w:kern w:val="11"/>
      <w:sz w:val="24"/>
      <w:szCs w:val="24"/>
    </w:rPr>
  </w:style>
  <w:style w:type="paragraph" w:customStyle="1" w:styleId="216">
    <w:name w:val="Char Char1"/>
    <w:basedOn w:val="1"/>
    <w:qFormat/>
    <w:uiPriority w:val="0"/>
    <w:pPr>
      <w:widowControl w:val="0"/>
      <w:tabs>
        <w:tab w:val="left" w:pos="794"/>
        <w:tab w:val="left" w:pos="1191"/>
        <w:tab w:val="left" w:pos="1588"/>
        <w:tab w:val="left" w:pos="1985"/>
      </w:tabs>
      <w:autoSpaceDE w:val="0"/>
      <w:autoSpaceDN w:val="0"/>
      <w:adjustRightInd w:val="0"/>
      <w:spacing w:before="136"/>
      <w:ind w:firstLine="0"/>
      <w:jc w:val="both"/>
    </w:pPr>
    <w:rPr>
      <w:rFonts w:eastAsia="仿宋_GB2312"/>
      <w:kern w:val="2"/>
      <w:sz w:val="21"/>
      <w:szCs w:val="20"/>
    </w:rPr>
  </w:style>
  <w:style w:type="paragraph" w:customStyle="1" w:styleId="217">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8">
    <w:name w:val="正文段"/>
    <w:basedOn w:val="1"/>
    <w:qFormat/>
    <w:uiPriority w:val="0"/>
    <w:pPr>
      <w:snapToGrid w:val="0"/>
      <w:spacing w:afterLines="50"/>
      <w:ind w:firstLine="200" w:firstLineChars="200"/>
      <w:jc w:val="both"/>
    </w:pPr>
    <w:rPr>
      <w:rFonts w:eastAsia="仿宋_GB2312"/>
      <w:sz w:val="24"/>
      <w:szCs w:val="20"/>
    </w:rPr>
  </w:style>
  <w:style w:type="paragraph" w:customStyle="1" w:styleId="219">
    <w:name w:val="Char Char Char Char1"/>
    <w:basedOn w:val="1"/>
    <w:qFormat/>
    <w:uiPriority w:val="0"/>
    <w:pPr>
      <w:widowControl w:val="0"/>
      <w:ind w:firstLine="0"/>
      <w:jc w:val="both"/>
    </w:pPr>
    <w:rPr>
      <w:kern w:val="2"/>
      <w:sz w:val="21"/>
      <w:szCs w:val="24"/>
    </w:rPr>
  </w:style>
  <w:style w:type="paragraph" w:customStyle="1" w:styleId="220">
    <w:name w:val="样式2"/>
    <w:basedOn w:val="6"/>
    <w:next w:val="6"/>
    <w:qFormat/>
    <w:uiPriority w:val="99"/>
    <w:pPr>
      <w:keepNext/>
      <w:keepLines/>
      <w:pBdr>
        <w:bottom w:val="none" w:color="auto" w:sz="0" w:space="0"/>
      </w:pBdr>
      <w:spacing w:before="280" w:after="290" w:line="376" w:lineRule="auto"/>
    </w:pPr>
    <w:rPr>
      <w:rFonts w:ascii="Arial" w:hAnsi="等线 Light" w:eastAsia="Arial"/>
      <w:b/>
      <w:bCs/>
      <w:i w:val="0"/>
      <w:iCs w:val="0"/>
      <w:color w:val="auto"/>
      <w:szCs w:val="30"/>
    </w:rPr>
  </w:style>
  <w:style w:type="paragraph" w:customStyle="1" w:styleId="221">
    <w:name w:val="xl54"/>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ind w:firstLine="0"/>
    </w:pPr>
    <w:rPr>
      <w:rFonts w:ascii="方正书宋简体" w:hAnsi="方正书宋简体" w:eastAsia="仿宋_GB2312"/>
      <w:sz w:val="24"/>
      <w:szCs w:val="24"/>
    </w:rPr>
  </w:style>
  <w:style w:type="paragraph" w:customStyle="1" w:styleId="222">
    <w:name w:val="xl39"/>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ind w:firstLine="0"/>
    </w:pPr>
    <w:rPr>
      <w:rFonts w:eastAsia="仿宋_GB2312"/>
      <w:sz w:val="24"/>
      <w:szCs w:val="24"/>
    </w:rPr>
  </w:style>
  <w:style w:type="paragraph" w:customStyle="1" w:styleId="223">
    <w:name w:val="样式1"/>
    <w:basedOn w:val="1"/>
    <w:next w:val="6"/>
    <w:qFormat/>
    <w:uiPriority w:val="99"/>
    <w:pPr>
      <w:spacing w:line="360" w:lineRule="auto"/>
      <w:ind w:firstLine="420" w:firstLineChars="200"/>
    </w:pPr>
    <w:rPr>
      <w:rFonts w:ascii="方正书宋简体" w:hAnsi="方正书宋简体"/>
      <w:szCs w:val="21"/>
    </w:rPr>
  </w:style>
  <w:style w:type="paragraph" w:customStyle="1" w:styleId="224">
    <w:name w:val="reader-word-layer reader-word-s19-1"/>
    <w:basedOn w:val="1"/>
    <w:qFormat/>
    <w:uiPriority w:val="99"/>
    <w:pPr>
      <w:spacing w:before="100" w:beforeAutospacing="1" w:after="100" w:afterAutospacing="1"/>
      <w:ind w:firstLine="0"/>
    </w:pPr>
    <w:rPr>
      <w:rFonts w:ascii="方正书宋简体" w:hAnsi="方正书宋简体" w:cs="方正书宋简体"/>
      <w:sz w:val="24"/>
      <w:szCs w:val="24"/>
    </w:rPr>
  </w:style>
  <w:style w:type="paragraph" w:customStyle="1" w:styleId="225">
    <w:name w:val="Char Char Char Char1 Char Char Char"/>
    <w:basedOn w:val="1"/>
    <w:qFormat/>
    <w:uiPriority w:val="0"/>
    <w:pPr>
      <w:widowControl w:val="0"/>
      <w:spacing w:line="240" w:lineRule="atLeast"/>
      <w:ind w:left="420" w:firstLine="420"/>
      <w:jc w:val="both"/>
    </w:pPr>
    <w:rPr>
      <w:rFonts w:eastAsia="仿宋_GB2312"/>
      <w:sz w:val="21"/>
      <w:szCs w:val="21"/>
    </w:rPr>
  </w:style>
  <w:style w:type="paragraph" w:customStyle="1" w:styleId="226">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pPr>
    <w:rPr>
      <w:rFonts w:ascii="方正书宋简体" w:hAnsi="方正书宋简体" w:eastAsia="仿宋_GB2312"/>
      <w:sz w:val="24"/>
      <w:szCs w:val="24"/>
    </w:rPr>
  </w:style>
  <w:style w:type="paragraph" w:customStyle="1" w:styleId="227">
    <w:name w:val="样式 标题 3 + (中文) 黑体 小四 非加粗 段前: 7.8 磅 段后: 0 磅 行距: 固定值 20 磅"/>
    <w:basedOn w:val="5"/>
    <w:qFormat/>
    <w:uiPriority w:val="99"/>
    <w:pPr>
      <w:numPr>
        <w:ilvl w:val="0"/>
        <w:numId w:val="0"/>
      </w:numPr>
      <w:tabs>
        <w:tab w:val="left" w:pos="720"/>
      </w:tabs>
      <w:spacing w:line="400" w:lineRule="exact"/>
    </w:pPr>
    <w:rPr>
      <w:rFonts w:ascii="Verdana" w:hAnsi="Verdana" w:eastAsia="Arial" w:cs="方正书宋简体"/>
    </w:rPr>
  </w:style>
  <w:style w:type="paragraph" w:customStyle="1" w:styleId="228">
    <w:name w:val="Char Char Char Char Char Char Char Char Char Char Char Char Char Char Char Char Char Char Char Char Char Char Char Char Char Char Char Char Char Char"/>
    <w:basedOn w:val="1"/>
    <w:qFormat/>
    <w:uiPriority w:val="0"/>
    <w:pPr>
      <w:spacing w:after="160" w:line="240" w:lineRule="exact"/>
      <w:ind w:firstLine="0"/>
    </w:pPr>
    <w:rPr>
      <w:rFonts w:ascii="Cambria Math" w:hAnsi="Cambria Math" w:eastAsia="MS Sans Serif"/>
      <w:sz w:val="24"/>
      <w:szCs w:val="20"/>
      <w:lang w:eastAsia="en-US"/>
    </w:rPr>
  </w:style>
  <w:style w:type="paragraph" w:customStyle="1" w:styleId="229">
    <w:name w:val=" Char Char Char Char"/>
    <w:basedOn w:val="1"/>
    <w:next w:val="1"/>
    <w:qFormat/>
    <w:uiPriority w:val="0"/>
    <w:pPr>
      <w:tabs>
        <w:tab w:val="left" w:pos="845"/>
      </w:tabs>
      <w:spacing w:before="156" w:beforeLines="50" w:after="312" w:afterLines="100" w:line="360" w:lineRule="auto"/>
      <w:ind w:left="1105" w:hanging="748"/>
      <w:jc w:val="center"/>
    </w:pPr>
    <w:rPr>
      <w:kern w:val="0"/>
      <w:sz w:val="24"/>
    </w:rPr>
  </w:style>
  <w:style w:type="paragraph" w:customStyle="1" w:styleId="230">
    <w:name w:val="表格"/>
    <w:basedOn w:val="1"/>
    <w:qFormat/>
    <w:uiPriority w:val="99"/>
    <w:pPr>
      <w:widowControl w:val="0"/>
      <w:ind w:firstLine="0"/>
      <w:jc w:val="center"/>
      <w:textAlignment w:val="center"/>
    </w:pPr>
    <w:rPr>
      <w:rFonts w:ascii="黑体" w:hAnsi="黑体"/>
      <w:sz w:val="21"/>
      <w:szCs w:val="20"/>
    </w:rPr>
  </w:style>
  <w:style w:type="paragraph" w:customStyle="1" w:styleId="231">
    <w:name w:val="样式 标题 3 + 居中 左侧:  0 厘米 首行缩进:  1.18 厘米 段前: 1.5 行 段后: 6 磅 行距:..."/>
    <w:basedOn w:val="5"/>
    <w:qFormat/>
    <w:uiPriority w:val="0"/>
    <w:pPr>
      <w:keepNext/>
      <w:keepLines/>
      <w:widowControl w:val="0"/>
      <w:pBdr>
        <w:bottom w:val="none" w:color="auto" w:sz="0" w:space="0"/>
      </w:pBdr>
      <w:tabs>
        <w:tab w:val="left" w:pos="360"/>
        <w:tab w:val="left" w:pos="720"/>
      </w:tabs>
      <w:adjustRightInd w:val="0"/>
      <w:snapToGrid w:val="0"/>
      <w:spacing w:before="260" w:beforeLines="150" w:after="120" w:line="413" w:lineRule="auto"/>
      <w:jc w:val="center"/>
    </w:pPr>
    <w:rPr>
      <w:rFonts w:ascii="等线 Light" w:hAnsi="等线 Light" w:cs="方正书宋简体"/>
      <w:b/>
      <w:bCs/>
      <w:color w:val="auto"/>
      <w:kern w:val="28"/>
      <w:szCs w:val="20"/>
    </w:rPr>
  </w:style>
  <w:style w:type="paragraph" w:styleId="232">
    <w:name w:val="List Paragraph"/>
    <w:basedOn w:val="1"/>
    <w:qFormat/>
    <w:uiPriority w:val="1"/>
    <w:pPr>
      <w:ind w:left="720"/>
      <w:contextualSpacing/>
    </w:pPr>
  </w:style>
  <w:style w:type="paragraph" w:customStyle="1" w:styleId="233">
    <w:name w:val="Char Char Char Char Char Char Char Char Char Char Char Char Char Char Char Char Char Char Char Char Char Char Char Char Char Char Char Char Char Char Char Char Char Char"/>
    <w:basedOn w:val="1"/>
    <w:qFormat/>
    <w:uiPriority w:val="0"/>
  </w:style>
  <w:style w:type="paragraph" w:customStyle="1" w:styleId="234">
    <w:name w:val="Normal_2"/>
    <w:qFormat/>
    <w:uiPriority w:val="0"/>
    <w:pPr>
      <w:widowControl w:val="0"/>
      <w:jc w:val="both"/>
    </w:pPr>
    <w:rPr>
      <w:rFonts w:ascii="Verdana" w:hAnsi="Verdana" w:eastAsia="宋体" w:cs="Times New Roman"/>
      <w:lang w:val="en-US" w:eastAsia="zh-CN" w:bidi="ar-SA"/>
    </w:rPr>
  </w:style>
  <w:style w:type="paragraph" w:customStyle="1" w:styleId="235">
    <w:name w:val="Char6 Char Char Char_0"/>
    <w:basedOn w:val="1"/>
    <w:qFormat/>
    <w:uiPriority w:val="0"/>
    <w:pPr>
      <w:widowControl w:val="0"/>
      <w:tabs>
        <w:tab w:val="left" w:pos="794"/>
        <w:tab w:val="left" w:pos="1191"/>
        <w:tab w:val="left" w:pos="1588"/>
        <w:tab w:val="left" w:pos="1985"/>
      </w:tabs>
      <w:autoSpaceDE w:val="0"/>
      <w:autoSpaceDN w:val="0"/>
      <w:adjustRightInd w:val="0"/>
      <w:spacing w:before="136"/>
      <w:ind w:firstLine="0"/>
      <w:jc w:val="both"/>
    </w:pPr>
    <w:rPr>
      <w:rFonts w:ascii="仿宋" w:hAnsi="仿宋"/>
      <w:sz w:val="24"/>
      <w:szCs w:val="20"/>
      <w:lang w:val="en-GB"/>
    </w:rPr>
  </w:style>
  <w:style w:type="paragraph" w:customStyle="1" w:styleId="236">
    <w:name w:val="章标题"/>
    <w:next w:val="1"/>
    <w:qFormat/>
    <w:uiPriority w:val="0"/>
    <w:pPr>
      <w:numPr>
        <w:ilvl w:val="1"/>
        <w:numId w:val="1"/>
      </w:numPr>
      <w:spacing w:before="156" w:beforeLines="50" w:after="156" w:afterLines="50"/>
      <w:jc w:val="both"/>
      <w:outlineLvl w:val="1"/>
    </w:pPr>
    <w:rPr>
      <w:rFonts w:ascii="Arial" w:hAnsi="Times New Roman" w:eastAsia="Arial" w:cs="Times New Roman"/>
      <w:sz w:val="21"/>
      <w:szCs w:val="22"/>
      <w:lang w:val="en-US" w:eastAsia="zh-CN" w:bidi="ar-SA"/>
    </w:rPr>
  </w:style>
  <w:style w:type="paragraph" w:customStyle="1" w:styleId="237">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jc w:val="center"/>
    </w:pPr>
    <w:rPr>
      <w:rFonts w:ascii="方正书宋简体" w:hAnsi="方正书宋简体" w:eastAsia="仿宋_GB2312"/>
      <w:sz w:val="24"/>
      <w:szCs w:val="24"/>
    </w:rPr>
  </w:style>
  <w:style w:type="paragraph" w:customStyle="1" w:styleId="238">
    <w:name w:val="一级条标题"/>
    <w:next w:val="1"/>
    <w:qFormat/>
    <w:uiPriority w:val="0"/>
    <w:pPr>
      <w:numPr>
        <w:ilvl w:val="2"/>
        <w:numId w:val="1"/>
      </w:numPr>
      <w:outlineLvl w:val="2"/>
    </w:pPr>
    <w:rPr>
      <w:rFonts w:ascii="Times New Roman" w:hAnsi="Times New Roman" w:eastAsia="Arial" w:cs="Times New Roman"/>
      <w:sz w:val="21"/>
      <w:szCs w:val="22"/>
      <w:lang w:val="en-US" w:eastAsia="zh-CN" w:bidi="ar-SA"/>
    </w:rPr>
  </w:style>
  <w:style w:type="paragraph" w:customStyle="1" w:styleId="239">
    <w:name w:val="Char Char"/>
    <w:basedOn w:val="1"/>
    <w:qFormat/>
    <w:uiPriority w:val="0"/>
    <w:pPr>
      <w:widowControl w:val="0"/>
      <w:ind w:firstLine="0"/>
      <w:jc w:val="both"/>
    </w:pPr>
    <w:rPr>
      <w:rFonts w:ascii="仿宋" w:hAnsi="仿宋" w:eastAsia="仿宋_GB2312"/>
      <w:kern w:val="2"/>
      <w:sz w:val="24"/>
      <w:szCs w:val="20"/>
    </w:rPr>
  </w:style>
  <w:style w:type="paragraph" w:customStyle="1" w:styleId="240">
    <w:name w:val="xl42"/>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ind w:firstLine="0"/>
    </w:pPr>
    <w:rPr>
      <w:rFonts w:ascii="方正书宋简体" w:hAnsi="方正书宋简体" w:eastAsia="仿宋_GB2312"/>
      <w:sz w:val="24"/>
      <w:szCs w:val="24"/>
    </w:rPr>
  </w:style>
  <w:style w:type="paragraph" w:customStyle="1" w:styleId="241">
    <w:name w:val="列表段落1"/>
    <w:basedOn w:val="1"/>
    <w:qFormat/>
    <w:uiPriority w:val="34"/>
    <w:pPr>
      <w:ind w:firstLine="420"/>
    </w:pPr>
  </w:style>
  <w:style w:type="paragraph" w:customStyle="1" w:styleId="242">
    <w:name w:val="6'"/>
    <w:basedOn w:val="1"/>
    <w:qFormat/>
    <w:uiPriority w:val="99"/>
    <w:pPr>
      <w:widowControl w:val="0"/>
      <w:autoSpaceDE w:val="0"/>
      <w:autoSpaceDN w:val="0"/>
      <w:adjustRightInd w:val="0"/>
      <w:snapToGrid w:val="0"/>
      <w:spacing w:line="320" w:lineRule="exact"/>
      <w:ind w:firstLine="0"/>
      <w:jc w:val="center"/>
      <w:textAlignment w:val="baseline"/>
    </w:pPr>
    <w:rPr>
      <w:spacing w:val="20"/>
      <w:kern w:val="28"/>
      <w:sz w:val="21"/>
      <w:szCs w:val="20"/>
    </w:rPr>
  </w:style>
  <w:style w:type="paragraph" w:customStyle="1" w:styleId="243">
    <w:name w:val="font0"/>
    <w:basedOn w:val="1"/>
    <w:qFormat/>
    <w:uiPriority w:val="0"/>
    <w:pPr>
      <w:spacing w:before="100" w:beforeAutospacing="1" w:after="100" w:afterAutospacing="1"/>
      <w:ind w:firstLine="0"/>
    </w:pPr>
    <w:rPr>
      <w:rFonts w:hint="eastAsia" w:ascii="方正书宋简体" w:hAnsi="方正书宋简体" w:eastAsia="仿宋_GB2312"/>
      <w:sz w:val="24"/>
      <w:szCs w:val="24"/>
    </w:rPr>
  </w:style>
  <w:style w:type="paragraph" w:customStyle="1" w:styleId="244">
    <w:name w:val="7"/>
    <w:basedOn w:val="1"/>
    <w:qFormat/>
    <w:uiPriority w:val="0"/>
    <w:pPr>
      <w:tabs>
        <w:tab w:val="left" w:pos="425"/>
      </w:tabs>
      <w:spacing w:before="100" w:beforeLines="100" w:after="160" w:line="240" w:lineRule="exact"/>
      <w:ind w:left="425" w:hanging="425"/>
    </w:pPr>
    <w:rPr>
      <w:rFonts w:ascii="Cambria Math" w:hAnsi="Cambria Math" w:eastAsia="Arial"/>
      <w:sz w:val="20"/>
      <w:szCs w:val="20"/>
      <w:lang w:eastAsia="en-US"/>
    </w:rPr>
  </w:style>
  <w:style w:type="paragraph" w:customStyle="1" w:styleId="245">
    <w:name w:val="目录 91"/>
    <w:basedOn w:val="1"/>
    <w:next w:val="1"/>
    <w:qFormat/>
    <w:uiPriority w:val="39"/>
    <w:pPr>
      <w:widowControl w:val="0"/>
      <w:tabs>
        <w:tab w:val="right" w:pos="8306"/>
      </w:tabs>
      <w:spacing w:before="156" w:beforeLines="50" w:line="300" w:lineRule="atLeast"/>
      <w:ind w:firstLine="0"/>
      <w:jc w:val="center"/>
    </w:pPr>
    <w:rPr>
      <w:rFonts w:ascii="方正书宋简体" w:hAnsi="方正书宋简体"/>
      <w:kern w:val="2"/>
      <w:sz w:val="21"/>
      <w:szCs w:val="24"/>
    </w:rPr>
  </w:style>
  <w:style w:type="paragraph" w:customStyle="1" w:styleId="246">
    <w:name w:val="xl23"/>
    <w:basedOn w:val="1"/>
    <w:qFormat/>
    <w:uiPriority w:val="0"/>
    <w:pPr>
      <w:widowControl/>
      <w:spacing w:before="100" w:beforeLines="0" w:beforeAutospacing="1" w:after="100" w:afterLines="0" w:afterAutospacing="1"/>
      <w:jc w:val="center"/>
    </w:pPr>
    <w:rPr>
      <w:rFonts w:ascii="宋体-18030" w:hAnsi="宋体-18030" w:eastAsia="宋体-18030"/>
      <w:kern w:val="0"/>
      <w:sz w:val="24"/>
    </w:rPr>
  </w:style>
  <w:style w:type="paragraph" w:customStyle="1" w:styleId="247">
    <w:name w:val="样式 bszw + 首行缩进:  2 字符"/>
    <w:basedOn w:val="1"/>
    <w:qFormat/>
    <w:uiPriority w:val="0"/>
    <w:pPr>
      <w:widowControl w:val="0"/>
      <w:spacing w:line="360" w:lineRule="auto"/>
      <w:ind w:firstLine="420" w:firstLineChars="200"/>
      <w:jc w:val="both"/>
    </w:pPr>
    <w:rPr>
      <w:rFonts w:eastAsia="仿宋_GB2312" w:cs="方正书宋简体"/>
      <w:sz w:val="24"/>
      <w:szCs w:val="24"/>
    </w:rPr>
  </w:style>
  <w:style w:type="paragraph" w:customStyle="1" w:styleId="248">
    <w:name w:val="14表格名"/>
    <w:basedOn w:val="249"/>
    <w:qFormat/>
    <w:uiPriority w:val="0"/>
    <w:pPr>
      <w:spacing w:before="120" w:beforeLines="0" w:line="240" w:lineRule="auto"/>
      <w:jc w:val="center"/>
    </w:pPr>
    <w:rPr>
      <w:rFonts w:ascii="宋体" w:eastAsia="仿宋_GB2312"/>
      <w:b/>
      <w:kern w:val="0"/>
      <w:sz w:val="24"/>
    </w:rPr>
  </w:style>
  <w:style w:type="paragraph" w:customStyle="1" w:styleId="249">
    <w:name w:val="表"/>
    <w:basedOn w:val="250"/>
    <w:qFormat/>
    <w:uiPriority w:val="0"/>
    <w:pPr>
      <w:spacing w:line="240" w:lineRule="auto"/>
      <w:ind w:firstLine="0" w:firstLineChars="0"/>
      <w:jc w:val="center"/>
    </w:pPr>
    <w:rPr>
      <w:sz w:val="20"/>
      <w:szCs w:val="20"/>
    </w:rPr>
  </w:style>
  <w:style w:type="paragraph" w:customStyle="1" w:styleId="250">
    <w:name w:val="正文 New New New New New New New New New New New New New New New New New New New New New New"/>
    <w:qFormat/>
    <w:uiPriority w:val="0"/>
    <w:pPr>
      <w:spacing w:line="560" w:lineRule="exact"/>
      <w:ind w:firstLine="400" w:firstLineChars="400"/>
    </w:pPr>
    <w:rPr>
      <w:rFonts w:ascii="Times New Roman" w:hAnsi="Times New Roman" w:eastAsia="宋体" w:cs="Times New Roman"/>
      <w:kern w:val="2"/>
      <w:sz w:val="21"/>
      <w:szCs w:val="21"/>
      <w:lang w:val="en-US" w:eastAsia="zh-CN" w:bidi="ar-SA"/>
    </w:rPr>
  </w:style>
  <w:style w:type="paragraph" w:customStyle="1" w:styleId="251">
    <w:name w:val="样式 首行缩进:  2 字符2"/>
    <w:basedOn w:val="1"/>
    <w:qFormat/>
    <w:uiPriority w:val="0"/>
    <w:pPr>
      <w:widowControl w:val="0"/>
      <w:spacing w:line="300" w:lineRule="auto"/>
      <w:ind w:firstLine="200" w:firstLineChars="200"/>
      <w:jc w:val="both"/>
    </w:pPr>
    <w:rPr>
      <w:rFonts w:cs="方正书宋简体"/>
      <w:kern w:val="28"/>
      <w:sz w:val="24"/>
      <w:szCs w:val="24"/>
    </w:rPr>
  </w:style>
  <w:style w:type="paragraph" w:customStyle="1" w:styleId="252">
    <w:name w:val=" Char"/>
    <w:basedOn w:val="1"/>
    <w:qFormat/>
    <w:uiPriority w:val="0"/>
    <w:pPr>
      <w:snapToGrid w:val="0"/>
      <w:spacing w:line="360" w:lineRule="auto"/>
      <w:ind w:firstLine="200" w:firstLineChars="200"/>
    </w:pPr>
    <w:rPr>
      <w:rFonts w:eastAsia="MS Sans Serif"/>
      <w:sz w:val="24"/>
    </w:rPr>
  </w:style>
  <w:style w:type="paragraph" w:customStyle="1" w:styleId="253">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254">
    <w:name w:val="Char3_0"/>
    <w:basedOn w:val="1"/>
    <w:qFormat/>
    <w:uiPriority w:val="0"/>
    <w:pPr>
      <w:widowControl w:val="0"/>
      <w:tabs>
        <w:tab w:val="left" w:pos="794"/>
        <w:tab w:val="left" w:pos="1191"/>
        <w:tab w:val="left" w:pos="1588"/>
        <w:tab w:val="left" w:pos="1985"/>
      </w:tabs>
      <w:autoSpaceDE w:val="0"/>
      <w:autoSpaceDN w:val="0"/>
      <w:adjustRightInd w:val="0"/>
      <w:spacing w:before="136"/>
      <w:ind w:firstLine="0"/>
      <w:jc w:val="both"/>
    </w:pPr>
    <w:rPr>
      <w:rFonts w:ascii="仿宋" w:hAnsi="仿宋"/>
      <w:sz w:val="24"/>
      <w:szCs w:val="20"/>
      <w:lang w:val="en-GB"/>
    </w:rPr>
  </w:style>
  <w:style w:type="paragraph" w:customStyle="1" w:styleId="255">
    <w:name w:val="Char Char Char Char"/>
    <w:basedOn w:val="1"/>
    <w:qFormat/>
    <w:uiPriority w:val="0"/>
    <w:pPr>
      <w:spacing w:after="160" w:line="240" w:lineRule="exact"/>
      <w:ind w:firstLine="0"/>
    </w:pPr>
    <w:rPr>
      <w:rFonts w:ascii="Cambria Math" w:hAnsi="Cambria Math" w:eastAsia="MS Sans Serif"/>
      <w:sz w:val="24"/>
      <w:szCs w:val="20"/>
      <w:lang w:eastAsia="en-US"/>
    </w:rPr>
  </w:style>
  <w:style w:type="paragraph" w:customStyle="1" w:styleId="256">
    <w:name w:val="Char Char Char Char Char Char Char Char Char Char Char Char Char Char Char Char Char Char Char Char Char Char Char Char Char Char Char Char Char Char Char"/>
    <w:basedOn w:val="1"/>
    <w:qFormat/>
    <w:uiPriority w:val="0"/>
    <w:pPr>
      <w:spacing w:after="160" w:line="240" w:lineRule="exact"/>
      <w:ind w:firstLine="0"/>
    </w:pPr>
    <w:rPr>
      <w:rFonts w:ascii="Cambria Math" w:hAnsi="Cambria Math" w:eastAsia="MS Sans Serif"/>
      <w:sz w:val="24"/>
      <w:szCs w:val="20"/>
      <w:lang w:eastAsia="en-US"/>
    </w:rPr>
  </w:style>
  <w:style w:type="paragraph" w:customStyle="1" w:styleId="257">
    <w:name w:val="unnamed11"/>
    <w:basedOn w:val="1"/>
    <w:qFormat/>
    <w:uiPriority w:val="0"/>
    <w:pPr>
      <w:spacing w:before="100" w:beforeAutospacing="1" w:after="100" w:afterAutospacing="1"/>
      <w:ind w:firstLine="0"/>
    </w:pPr>
    <w:rPr>
      <w:rFonts w:ascii="方正书宋简体" w:hAnsi="方正书宋简体" w:eastAsia="仿宋_GB2312"/>
      <w:sz w:val="24"/>
      <w:szCs w:val="24"/>
    </w:rPr>
  </w:style>
  <w:style w:type="paragraph" w:customStyle="1" w:styleId="258">
    <w:name w:val="xl41"/>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ind w:firstLine="0"/>
      <w:jc w:val="center"/>
    </w:pPr>
    <w:rPr>
      <w:rFonts w:ascii="方正书宋简体" w:hAnsi="方正书宋简体" w:eastAsia="仿宋_GB2312"/>
      <w:sz w:val="24"/>
      <w:szCs w:val="24"/>
    </w:rPr>
  </w:style>
  <w:style w:type="paragraph" w:customStyle="1" w:styleId="259">
    <w:name w:val="tiaoyin"/>
    <w:basedOn w:val="1"/>
    <w:qFormat/>
    <w:uiPriority w:val="0"/>
    <w:pPr>
      <w:spacing w:before="100" w:beforeAutospacing="1" w:after="100" w:afterAutospacing="1"/>
      <w:ind w:firstLine="0"/>
    </w:pPr>
    <w:rPr>
      <w:rFonts w:ascii="方正书宋简体" w:hAnsi="方正书宋简体" w:cs="方正书宋简体"/>
      <w:smallCaps/>
      <w:color w:val="FF0000"/>
      <w:sz w:val="20"/>
      <w:szCs w:val="20"/>
    </w:rPr>
  </w:style>
  <w:style w:type="paragraph" w:customStyle="1" w:styleId="260">
    <w:name w:val="xl43"/>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ind w:firstLine="0"/>
    </w:pPr>
    <w:rPr>
      <w:rFonts w:ascii="方正书宋简体" w:hAnsi="方正书宋简体" w:eastAsia="仿宋_GB2312"/>
      <w:sz w:val="24"/>
      <w:szCs w:val="24"/>
    </w:rPr>
  </w:style>
  <w:style w:type="paragraph" w:customStyle="1" w:styleId="261">
    <w:name w:val="opening2"/>
    <w:basedOn w:val="1"/>
    <w:qFormat/>
    <w:uiPriority w:val="0"/>
    <w:pPr>
      <w:spacing w:before="100" w:beforeAutospacing="1" w:after="100" w:afterAutospacing="1"/>
      <w:ind w:firstLine="0"/>
    </w:pPr>
    <w:rPr>
      <w:rFonts w:ascii="方正书宋简体" w:hAnsi="方正书宋简体" w:cs="方正书宋简体"/>
      <w:color w:val="000000"/>
      <w:sz w:val="23"/>
      <w:szCs w:val="23"/>
    </w:rPr>
  </w:style>
  <w:style w:type="paragraph" w:customStyle="1" w:styleId="262">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pPr>
    <w:rPr>
      <w:rFonts w:ascii="方正书宋简体" w:hAnsi="方正书宋简体" w:eastAsia="仿宋_GB2312"/>
      <w:sz w:val="24"/>
      <w:szCs w:val="24"/>
    </w:rPr>
  </w:style>
  <w:style w:type="paragraph" w:customStyle="1" w:styleId="263">
    <w:name w:val="Normal_3"/>
    <w:qFormat/>
    <w:uiPriority w:val="0"/>
    <w:pPr>
      <w:widowControl w:val="0"/>
      <w:jc w:val="both"/>
    </w:pPr>
    <w:rPr>
      <w:rFonts w:ascii="Times New Roman" w:hAnsi="Times New Roman" w:eastAsia="宋体" w:cs="Times New Roman"/>
      <w:lang w:val="en-US" w:eastAsia="zh-CN" w:bidi="ar-SA"/>
    </w:rPr>
  </w:style>
  <w:style w:type="paragraph" w:customStyle="1" w:styleId="264">
    <w:name w:val="封面标题2"/>
    <w:qFormat/>
    <w:uiPriority w:val="0"/>
    <w:pPr>
      <w:jc w:val="center"/>
    </w:pPr>
    <w:rPr>
      <w:rFonts w:ascii="Calibri" w:hAnsi="Calibri" w:eastAsia="方正小标宋简体" w:cs="Times New Roman"/>
      <w:b/>
      <w:color w:val="0000FF"/>
      <w:kern w:val="2"/>
      <w:sz w:val="52"/>
      <w:szCs w:val="21"/>
      <w:lang w:val="en-US" w:eastAsia="zh-CN" w:bidi="ar-SA"/>
    </w:rPr>
  </w:style>
  <w:style w:type="paragraph" w:customStyle="1" w:styleId="265">
    <w:name w:val="标题4"/>
    <w:basedOn w:val="1"/>
    <w:next w:val="1"/>
    <w:qFormat/>
    <w:uiPriority w:val="0"/>
    <w:pPr>
      <w:ind w:firstLine="0"/>
    </w:pPr>
    <w:rPr>
      <w:rFonts w:ascii="Arial" w:eastAsia="Arial"/>
      <w:sz w:val="24"/>
      <w:szCs w:val="30"/>
    </w:rPr>
  </w:style>
  <w:style w:type="paragraph" w:customStyle="1" w:styleId="266">
    <w:name w:val="15表格"/>
    <w:basedOn w:val="248"/>
    <w:qFormat/>
    <w:uiPriority w:val="0"/>
    <w:pPr>
      <w:spacing w:before="0" w:beforeLines="0" w:line="240" w:lineRule="atLeast"/>
    </w:pPr>
    <w:rPr>
      <w:rFonts w:ascii="Times New Roman" w:eastAsia="宋体"/>
      <w:b w:val="0"/>
      <w:kern w:val="2"/>
      <w:sz w:val="21"/>
    </w:rPr>
  </w:style>
  <w:style w:type="paragraph" w:customStyle="1" w:styleId="267">
    <w:name w:val="正文1"/>
    <w:qFormat/>
    <w:uiPriority w:val="0"/>
    <w:pPr>
      <w:widowControl w:val="0"/>
      <w:jc w:val="both"/>
    </w:pPr>
    <w:rPr>
      <w:rFonts w:ascii="Verdana" w:hAnsi="Verdana" w:eastAsia="宋体" w:cs="Times New Roman"/>
      <w:kern w:val="2"/>
      <w:sz w:val="21"/>
      <w:lang w:val="en-US" w:eastAsia="zh-CN" w:bidi="ar-SA"/>
    </w:rPr>
  </w:style>
  <w:style w:type="paragraph" w:customStyle="1" w:styleId="268">
    <w:name w:val="目录 81"/>
    <w:basedOn w:val="1"/>
    <w:next w:val="1"/>
    <w:qFormat/>
    <w:uiPriority w:val="39"/>
    <w:pPr>
      <w:widowControl w:val="0"/>
      <w:adjustRightInd w:val="0"/>
      <w:ind w:left="1680" w:firstLine="0"/>
      <w:textAlignment w:val="baseline"/>
    </w:pPr>
    <w:rPr>
      <w:sz w:val="18"/>
      <w:szCs w:val="18"/>
    </w:rPr>
  </w:style>
  <w:style w:type="paragraph" w:customStyle="1" w:styleId="269">
    <w:name w:val="目录文字"/>
    <w:basedOn w:val="1"/>
    <w:qFormat/>
    <w:uiPriority w:val="0"/>
    <w:pPr>
      <w:spacing w:line="480" w:lineRule="auto"/>
      <w:ind w:firstLine="0"/>
    </w:pPr>
    <w:rPr>
      <w:rFonts w:ascii="方正书宋简体" w:hAnsi="方正书宋简体"/>
      <w:sz w:val="24"/>
      <w:szCs w:val="20"/>
    </w:rPr>
  </w:style>
  <w:style w:type="paragraph" w:customStyle="1" w:styleId="270">
    <w:name w:val="样式 标题 4 + 段前: 1 行"/>
    <w:basedOn w:val="6"/>
    <w:qFormat/>
    <w:uiPriority w:val="0"/>
    <w:pPr>
      <w:keepNext/>
      <w:keepLines/>
      <w:widowControl w:val="0"/>
      <w:pBdr>
        <w:bottom w:val="none" w:color="auto" w:sz="0" w:space="0"/>
      </w:pBdr>
      <w:adjustRightInd w:val="0"/>
      <w:snapToGrid w:val="0"/>
      <w:spacing w:before="280" w:beforeLines="100" w:after="0"/>
      <w:jc w:val="both"/>
    </w:pPr>
    <w:rPr>
      <w:rFonts w:ascii="等线 Light" w:hAnsi="等线 Light" w:cs="方正书宋简体"/>
      <w:b/>
      <w:bCs/>
      <w:i w:val="0"/>
      <w:iCs w:val="0"/>
      <w:color w:val="auto"/>
      <w:kern w:val="28"/>
      <w:sz w:val="28"/>
      <w:szCs w:val="20"/>
    </w:rPr>
  </w:style>
  <w:style w:type="paragraph" w:customStyle="1" w:styleId="271">
    <w:name w:val="表格内文字"/>
    <w:basedOn w:val="1"/>
    <w:qFormat/>
    <w:uiPriority w:val="0"/>
    <w:pPr>
      <w:widowControl w:val="0"/>
      <w:adjustRightInd w:val="0"/>
      <w:snapToGrid w:val="0"/>
      <w:spacing w:line="240" w:lineRule="atLeast"/>
      <w:ind w:firstLine="0"/>
      <w:jc w:val="center"/>
    </w:pPr>
    <w:rPr>
      <w:kern w:val="28"/>
      <w:sz w:val="24"/>
      <w:szCs w:val="20"/>
    </w:rPr>
  </w:style>
  <w:style w:type="paragraph" w:customStyle="1" w:styleId="272">
    <w:name w:val="_Style 16"/>
    <w:basedOn w:val="1"/>
    <w:next w:val="32"/>
    <w:qFormat/>
    <w:uiPriority w:val="0"/>
    <w:pPr>
      <w:widowControl w:val="0"/>
      <w:ind w:firstLine="0"/>
      <w:jc w:val="both"/>
    </w:pPr>
    <w:rPr>
      <w:rFonts w:ascii="方正书宋简体" w:hAnsi="楷体_GB2312"/>
      <w:kern w:val="2"/>
      <w:sz w:val="24"/>
      <w:szCs w:val="20"/>
    </w:rPr>
  </w:style>
  <w:style w:type="paragraph" w:customStyle="1" w:styleId="273">
    <w:name w:val="样式 标题 2"/>
    <w:basedOn w:val="1"/>
    <w:next w:val="5"/>
    <w:qFormat/>
    <w:uiPriority w:val="0"/>
    <w:pPr>
      <w:widowControl w:val="0"/>
      <w:snapToGrid w:val="0"/>
      <w:spacing w:line="360" w:lineRule="auto"/>
      <w:ind w:firstLine="200" w:firstLineChars="200"/>
      <w:jc w:val="both"/>
    </w:pPr>
    <w:rPr>
      <w:rFonts w:eastAsia="MS Sans Serif"/>
      <w:kern w:val="2"/>
      <w:sz w:val="32"/>
      <w:szCs w:val="32"/>
    </w:rPr>
  </w:style>
  <w:style w:type="paragraph" w:customStyle="1" w:styleId="274">
    <w:name w:val="目录 61"/>
    <w:basedOn w:val="1"/>
    <w:next w:val="1"/>
    <w:qFormat/>
    <w:uiPriority w:val="39"/>
    <w:pPr>
      <w:widowControl w:val="0"/>
      <w:adjustRightInd w:val="0"/>
      <w:ind w:left="1200" w:firstLine="0"/>
      <w:textAlignment w:val="baseline"/>
    </w:pPr>
    <w:rPr>
      <w:sz w:val="18"/>
      <w:szCs w:val="18"/>
    </w:rPr>
  </w:style>
  <w:style w:type="paragraph" w:customStyle="1" w:styleId="275">
    <w:name w:val="reader-word-layer"/>
    <w:basedOn w:val="1"/>
    <w:qFormat/>
    <w:uiPriority w:val="0"/>
    <w:pPr>
      <w:spacing w:before="100" w:beforeAutospacing="1" w:after="100" w:afterAutospacing="1"/>
      <w:ind w:firstLine="0"/>
    </w:pPr>
    <w:rPr>
      <w:rFonts w:ascii="方正书宋简体" w:hAnsi="方正书宋简体" w:cs="方正书宋简体"/>
      <w:sz w:val="24"/>
      <w:szCs w:val="24"/>
    </w:rPr>
  </w:style>
  <w:style w:type="paragraph" w:customStyle="1" w:styleId="276">
    <w:name w:val="Body Text(ch)"/>
    <w:basedOn w:val="1"/>
    <w:next w:val="23"/>
    <w:qFormat/>
    <w:uiPriority w:val="0"/>
    <w:pPr>
      <w:widowControl w:val="0"/>
      <w:spacing w:line="500" w:lineRule="exact"/>
      <w:ind w:firstLine="0"/>
      <w:jc w:val="center"/>
    </w:pPr>
    <w:rPr>
      <w:rFonts w:eastAsia="仿宋_GB2312"/>
      <w:kern w:val="2"/>
      <w:sz w:val="21"/>
      <w:szCs w:val="24"/>
    </w:rPr>
  </w:style>
  <w:style w:type="paragraph" w:customStyle="1" w:styleId="277">
    <w:name w:val="Char Char Char Char Char Char"/>
    <w:basedOn w:val="1"/>
    <w:qFormat/>
    <w:uiPriority w:val="0"/>
    <w:pPr>
      <w:widowControl w:val="0"/>
      <w:ind w:firstLine="0"/>
      <w:jc w:val="both"/>
    </w:pPr>
    <w:rPr>
      <w:rFonts w:ascii="仿宋" w:hAnsi="仿宋" w:eastAsia="仿宋_GB2312"/>
      <w:kern w:val="2"/>
      <w:sz w:val="24"/>
      <w:szCs w:val="20"/>
    </w:rPr>
  </w:style>
  <w:style w:type="paragraph" w:customStyle="1" w:styleId="278">
    <w:name w:val="样式 样式 标题 3 + 居中 左侧:  3.06 厘米 首行缩进:  1.18 厘米 段前: 1.5 行 段后: 6 磅 .....1"/>
    <w:basedOn w:val="279"/>
    <w:qFormat/>
    <w:uiPriority w:val="0"/>
    <w:pPr>
      <w:tabs>
        <w:tab w:val="left" w:pos="360"/>
        <w:tab w:val="left" w:pos="720"/>
      </w:tabs>
      <w:spacing w:beforeLines="0"/>
    </w:pPr>
  </w:style>
  <w:style w:type="paragraph" w:customStyle="1" w:styleId="279">
    <w:name w:val="样式 标题 3 + 居中 左侧:  3.06 厘米 首行缩进:  1.18 厘米 段前: 1.5 行 段后: 6 磅 ..."/>
    <w:basedOn w:val="5"/>
    <w:qFormat/>
    <w:uiPriority w:val="0"/>
    <w:pPr>
      <w:keepNext/>
      <w:keepLines/>
      <w:widowControl w:val="0"/>
      <w:pBdr>
        <w:bottom w:val="none" w:color="auto" w:sz="0" w:space="0"/>
      </w:pBdr>
      <w:tabs>
        <w:tab w:val="left" w:pos="360"/>
      </w:tabs>
      <w:adjustRightInd w:val="0"/>
      <w:snapToGrid w:val="0"/>
      <w:spacing w:before="260" w:beforeLines="150" w:after="120" w:line="413" w:lineRule="auto"/>
      <w:jc w:val="center"/>
    </w:pPr>
    <w:rPr>
      <w:rFonts w:ascii="等线 Light" w:hAnsi="等线 Light" w:cs="方正书宋简体"/>
      <w:b/>
      <w:bCs/>
      <w:color w:val="auto"/>
      <w:kern w:val="28"/>
      <w:szCs w:val="20"/>
    </w:rPr>
  </w:style>
  <w:style w:type="paragraph" w:customStyle="1" w:styleId="280">
    <w:name w:val="font11"/>
    <w:basedOn w:val="1"/>
    <w:qFormat/>
    <w:uiPriority w:val="0"/>
    <w:pPr>
      <w:spacing w:before="100" w:beforeAutospacing="1" w:after="100" w:afterAutospacing="1"/>
      <w:ind w:firstLine="0"/>
    </w:pPr>
    <w:rPr>
      <w:rFonts w:eastAsia="仿宋_GB2312"/>
      <w:sz w:val="18"/>
      <w:szCs w:val="18"/>
    </w:rPr>
  </w:style>
  <w:style w:type="paragraph" w:customStyle="1" w:styleId="281">
    <w:name w:val="tiaonoa"/>
    <w:basedOn w:val="1"/>
    <w:qFormat/>
    <w:uiPriority w:val="0"/>
    <w:pPr>
      <w:spacing w:before="100" w:beforeAutospacing="1" w:after="100" w:afterAutospacing="1"/>
      <w:ind w:firstLine="0"/>
    </w:pPr>
    <w:rPr>
      <w:rFonts w:ascii="方正书宋简体" w:hAnsi="方正书宋简体" w:cs="方正书宋简体"/>
      <w:b/>
      <w:bCs/>
      <w:smallCaps/>
      <w:color w:val="000000"/>
      <w:sz w:val="18"/>
      <w:szCs w:val="18"/>
    </w:rPr>
  </w:style>
  <w:style w:type="paragraph" w:customStyle="1" w:styleId="28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kern w:val="0"/>
      <w:sz w:val="20"/>
      <w:szCs w:val="20"/>
    </w:rPr>
  </w:style>
  <w:style w:type="paragraph" w:customStyle="1" w:styleId="283">
    <w:name w:val="xl47"/>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ind w:firstLine="0"/>
      <w:jc w:val="center"/>
    </w:pPr>
    <w:rPr>
      <w:rFonts w:ascii="方正书宋简体" w:hAnsi="方正书宋简体" w:eastAsia="仿宋_GB2312"/>
      <w:sz w:val="24"/>
      <w:szCs w:val="24"/>
    </w:rPr>
  </w:style>
  <w:style w:type="paragraph" w:customStyle="1" w:styleId="284">
    <w:name w:val="xl24"/>
    <w:basedOn w:val="1"/>
    <w:qFormat/>
    <w:uiPriority w:val="0"/>
    <w:pPr>
      <w:spacing w:before="100" w:beforeAutospacing="1" w:after="100" w:afterAutospacing="1"/>
      <w:ind w:firstLine="0"/>
    </w:pPr>
    <w:rPr>
      <w:rFonts w:ascii="方正书宋简体" w:hAnsi="方正书宋简体" w:eastAsia="仿宋_GB2312"/>
      <w:sz w:val="36"/>
      <w:szCs w:val="36"/>
    </w:rPr>
  </w:style>
  <w:style w:type="paragraph" w:customStyle="1" w:styleId="285">
    <w:name w:val="Char3"/>
    <w:basedOn w:val="1"/>
    <w:qFormat/>
    <w:uiPriority w:val="0"/>
    <w:pPr>
      <w:widowControl w:val="0"/>
      <w:tabs>
        <w:tab w:val="left" w:pos="794"/>
        <w:tab w:val="left" w:pos="1191"/>
        <w:tab w:val="left" w:pos="1588"/>
        <w:tab w:val="left" w:pos="1985"/>
      </w:tabs>
      <w:autoSpaceDE w:val="0"/>
      <w:autoSpaceDN w:val="0"/>
      <w:adjustRightInd w:val="0"/>
      <w:spacing w:before="136"/>
      <w:ind w:firstLine="0"/>
      <w:jc w:val="both"/>
    </w:pPr>
    <w:rPr>
      <w:rFonts w:ascii="仿宋" w:hAnsi="仿宋"/>
      <w:sz w:val="24"/>
      <w:szCs w:val="20"/>
      <w:lang w:val="en-GB"/>
    </w:rPr>
  </w:style>
  <w:style w:type="paragraph" w:customStyle="1" w:styleId="286">
    <w:name w:val="_Style 27"/>
    <w:basedOn w:val="1"/>
    <w:next w:val="29"/>
    <w:qFormat/>
    <w:uiPriority w:val="0"/>
    <w:pPr>
      <w:widowControl w:val="0"/>
      <w:adjustRightInd w:val="0"/>
      <w:ind w:left="420" w:right="33" w:firstLine="0"/>
      <w:textAlignment w:val="baseline"/>
    </w:pPr>
    <w:rPr>
      <w:sz w:val="24"/>
      <w:szCs w:val="20"/>
    </w:rPr>
  </w:style>
  <w:style w:type="paragraph" w:customStyle="1" w:styleId="287">
    <w:name w:val="xl50"/>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ind w:firstLine="0"/>
      <w:jc w:val="center"/>
    </w:pPr>
    <w:rPr>
      <w:rFonts w:ascii="方正书宋简体" w:hAnsi="方正书宋简体" w:eastAsia="仿宋_GB2312"/>
      <w:sz w:val="24"/>
      <w:szCs w:val="24"/>
    </w:rPr>
  </w:style>
  <w:style w:type="paragraph" w:customStyle="1" w:styleId="288">
    <w:name w:val="Char Char Char Char Char Char Char"/>
    <w:basedOn w:val="1"/>
    <w:qFormat/>
    <w:uiPriority w:val="0"/>
    <w:pPr>
      <w:widowControl w:val="0"/>
      <w:ind w:firstLine="0"/>
      <w:jc w:val="both"/>
    </w:pPr>
    <w:rPr>
      <w:rFonts w:ascii="仿宋" w:hAnsi="仿宋" w:eastAsia="仿宋_GB2312"/>
      <w:kern w:val="2"/>
      <w:sz w:val="24"/>
      <w:szCs w:val="20"/>
    </w:rPr>
  </w:style>
  <w:style w:type="paragraph" w:customStyle="1" w:styleId="289">
    <w:name w:val="p17"/>
    <w:basedOn w:val="1"/>
    <w:qFormat/>
    <w:uiPriority w:val="0"/>
    <w:pPr>
      <w:ind w:firstLine="0"/>
      <w:jc w:val="both"/>
    </w:pPr>
    <w:rPr>
      <w:sz w:val="21"/>
      <w:szCs w:val="21"/>
    </w:rPr>
  </w:style>
  <w:style w:type="paragraph" w:customStyle="1" w:styleId="290">
    <w:name w:val="xl4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ind w:firstLine="0"/>
    </w:pPr>
    <w:rPr>
      <w:rFonts w:eastAsia="仿宋_GB2312"/>
      <w:sz w:val="24"/>
      <w:szCs w:val="24"/>
    </w:rPr>
  </w:style>
  <w:style w:type="paragraph" w:customStyle="1" w:styleId="291">
    <w:name w:val="Example TEXT"/>
    <w:basedOn w:val="232"/>
    <w:qFormat/>
    <w:uiPriority w:val="0"/>
    <w:pPr>
      <w:spacing w:line="360" w:lineRule="auto"/>
      <w:ind w:left="0" w:firstLine="0"/>
      <w:jc w:val="center"/>
    </w:pPr>
    <w:rPr>
      <w:rFonts w:ascii="方正书宋简体" w:hAnsi="方正书宋简体"/>
      <w:sz w:val="20"/>
      <w:szCs w:val="21"/>
    </w:rPr>
  </w:style>
  <w:style w:type="paragraph" w:customStyle="1" w:styleId="292">
    <w:name w:val="font13"/>
    <w:basedOn w:val="1"/>
    <w:qFormat/>
    <w:uiPriority w:val="0"/>
    <w:pPr>
      <w:spacing w:before="100" w:beforeAutospacing="1" w:after="100" w:afterAutospacing="1"/>
      <w:ind w:firstLine="0"/>
    </w:pPr>
    <w:rPr>
      <w:rFonts w:hint="eastAsia" w:ascii="方正书宋简体" w:hAnsi="方正书宋简体" w:eastAsia="仿宋_GB2312"/>
      <w:sz w:val="24"/>
      <w:szCs w:val="24"/>
    </w:rPr>
  </w:style>
  <w:style w:type="paragraph" w:customStyle="1" w:styleId="293">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pPr>
    <w:rPr>
      <w:rFonts w:ascii="方正书宋简体" w:hAnsi="方正书宋简体" w:eastAsia="仿宋_GB2312"/>
      <w:sz w:val="20"/>
      <w:szCs w:val="20"/>
    </w:rPr>
  </w:style>
  <w:style w:type="paragraph" w:customStyle="1" w:styleId="294">
    <w:name w:val="font12"/>
    <w:basedOn w:val="1"/>
    <w:qFormat/>
    <w:uiPriority w:val="0"/>
    <w:pPr>
      <w:spacing w:before="100" w:beforeAutospacing="1" w:after="100" w:afterAutospacing="1"/>
      <w:ind w:firstLine="0"/>
    </w:pPr>
    <w:rPr>
      <w:rFonts w:hint="eastAsia" w:ascii="方正书宋简体" w:hAnsi="方正书宋简体" w:eastAsia="仿宋_GB2312"/>
      <w:sz w:val="24"/>
      <w:szCs w:val="24"/>
    </w:rPr>
  </w:style>
  <w:style w:type="paragraph" w:customStyle="1" w:styleId="295">
    <w:name w:val="xl44"/>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296">
    <w:name w:val="04标题4"/>
    <w:basedOn w:val="297"/>
    <w:next w:val="118"/>
    <w:qFormat/>
    <w:uiPriority w:val="0"/>
    <w:pPr>
      <w:outlineLvl w:val="3"/>
    </w:pPr>
  </w:style>
  <w:style w:type="paragraph" w:customStyle="1" w:styleId="297">
    <w:name w:val="03标题3"/>
    <w:next w:val="118"/>
    <w:qFormat/>
    <w:uiPriority w:val="0"/>
    <w:pPr>
      <w:spacing w:line="560" w:lineRule="exact"/>
      <w:ind w:firstLine="482" w:firstLineChars="200"/>
      <w:outlineLvl w:val="2"/>
    </w:pPr>
    <w:rPr>
      <w:rFonts w:ascii="宋体" w:hAnsi="宋体" w:eastAsia="宋体" w:cs="宋体"/>
      <w:b/>
      <w:color w:val="0000FF"/>
      <w:kern w:val="44"/>
      <w:sz w:val="24"/>
      <w:szCs w:val="21"/>
      <w:lang w:val="en-US" w:eastAsia="zh-CN" w:bidi="ar-SA"/>
    </w:rPr>
  </w:style>
  <w:style w:type="paragraph" w:customStyle="1" w:styleId="298">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299">
    <w:name w:val="xl56"/>
    <w:basedOn w:val="1"/>
    <w:qFormat/>
    <w:uiPriority w:val="0"/>
    <w:pPr>
      <w:spacing w:before="100" w:beforeAutospacing="1" w:after="100" w:afterAutospacing="1"/>
      <w:ind w:firstLine="0"/>
    </w:pPr>
    <w:rPr>
      <w:rFonts w:ascii="方正书宋简体" w:hAnsi="方正书宋简体" w:eastAsia="仿宋_GB2312"/>
      <w:b/>
      <w:bCs/>
      <w:sz w:val="40"/>
      <w:szCs w:val="40"/>
    </w:rPr>
  </w:style>
  <w:style w:type="paragraph" w:customStyle="1" w:styleId="300">
    <w:name w:val="表格cacc"/>
    <w:basedOn w:val="1"/>
    <w:qFormat/>
    <w:uiPriority w:val="0"/>
    <w:pPr>
      <w:widowControl w:val="0"/>
      <w:spacing w:line="240" w:lineRule="atLeast"/>
      <w:ind w:firstLine="0"/>
    </w:pPr>
    <w:rPr>
      <w:kern w:val="2"/>
      <w:sz w:val="21"/>
      <w:szCs w:val="21"/>
    </w:rPr>
  </w:style>
  <w:style w:type="paragraph" w:customStyle="1" w:styleId="301">
    <w:name w:val="前言、引言标题"/>
    <w:next w:val="1"/>
    <w:qFormat/>
    <w:uiPriority w:val="0"/>
    <w:pPr>
      <w:numPr>
        <w:ilvl w:val="0"/>
        <w:numId w:val="1"/>
      </w:numPr>
      <w:shd w:val="clear" w:color="FFFFFF" w:fill="FFFFFF"/>
      <w:spacing w:before="640" w:after="560"/>
      <w:jc w:val="center"/>
      <w:outlineLvl w:val="0"/>
    </w:pPr>
    <w:rPr>
      <w:rFonts w:ascii="Arial" w:hAnsi="Times New Roman" w:eastAsia="Arial" w:cs="Times New Roman"/>
      <w:sz w:val="32"/>
      <w:szCs w:val="22"/>
      <w:lang w:val="en-US" w:eastAsia="zh-CN" w:bidi="ar-SA"/>
    </w:rPr>
  </w:style>
  <w:style w:type="paragraph" w:customStyle="1" w:styleId="302">
    <w:name w:val="content"/>
    <w:basedOn w:val="1"/>
    <w:qFormat/>
    <w:uiPriority w:val="0"/>
    <w:pPr>
      <w:spacing w:before="100" w:beforeAutospacing="1" w:after="100" w:afterAutospacing="1" w:line="384" w:lineRule="auto"/>
      <w:ind w:firstLine="0"/>
    </w:pPr>
    <w:rPr>
      <w:rFonts w:ascii="方正书宋简体" w:hAnsi="方正书宋简体" w:cs="方正书宋简体"/>
      <w:sz w:val="18"/>
      <w:szCs w:val="18"/>
    </w:rPr>
  </w:style>
  <w:style w:type="paragraph" w:customStyle="1" w:styleId="303">
    <w:name w:val="样式 样式 样式 宋体 小四 黑色 两端对齐 + 首行缩进:  2 字符 + 五号 首行缩进:  2 字符"/>
    <w:basedOn w:val="1"/>
    <w:qFormat/>
    <w:uiPriority w:val="0"/>
    <w:pPr>
      <w:spacing w:line="340" w:lineRule="exact"/>
      <w:ind w:firstLine="200" w:firstLineChars="200"/>
      <w:jc w:val="both"/>
    </w:pPr>
    <w:rPr>
      <w:rFonts w:ascii="方正书宋简体" w:hAnsi="方正书宋简体"/>
      <w:color w:val="000000"/>
      <w:sz w:val="21"/>
      <w:szCs w:val="20"/>
    </w:rPr>
  </w:style>
  <w:style w:type="paragraph" w:customStyle="1" w:styleId="304">
    <w:name w:val="样式 首行缩进:  2 字符 Char"/>
    <w:basedOn w:val="1"/>
    <w:qFormat/>
    <w:uiPriority w:val="0"/>
    <w:pPr>
      <w:widowControl w:val="0"/>
      <w:spacing w:before="120" w:after="120" w:line="348" w:lineRule="auto"/>
      <w:ind w:firstLine="200" w:firstLineChars="200"/>
      <w:jc w:val="both"/>
    </w:pPr>
    <w:rPr>
      <w:kern w:val="11"/>
      <w:sz w:val="24"/>
      <w:szCs w:val="28"/>
    </w:rPr>
  </w:style>
  <w:style w:type="paragraph" w:customStyle="1" w:styleId="305">
    <w:name w:val="Char"/>
    <w:basedOn w:val="1"/>
    <w:qFormat/>
    <w:uiPriority w:val="0"/>
    <w:pPr>
      <w:widowControl/>
      <w:spacing w:after="160" w:afterLines="0" w:line="240" w:lineRule="exact"/>
      <w:jc w:val="left"/>
    </w:pPr>
    <w:rPr>
      <w:rFonts w:ascii="Cambria Math" w:hAnsi="Cambria Math" w:eastAsia="MS Sans Serif"/>
      <w:kern w:val="0"/>
      <w:sz w:val="24"/>
      <w:szCs w:val="20"/>
      <w:lang w:eastAsia="en-US"/>
    </w:rPr>
  </w:style>
  <w:style w:type="paragraph" w:customStyle="1" w:styleId="306">
    <w:name w:val="_Style 5"/>
    <w:basedOn w:val="1"/>
    <w:qFormat/>
    <w:uiPriority w:val="0"/>
    <w:pPr>
      <w:spacing w:after="160" w:line="240" w:lineRule="exact"/>
      <w:ind w:firstLine="0"/>
    </w:pPr>
    <w:rPr>
      <w:rFonts w:ascii="Cambria Math" w:hAnsi="Cambria Math" w:eastAsia="MS Sans Serif"/>
      <w:sz w:val="24"/>
      <w:szCs w:val="20"/>
      <w:lang w:eastAsia="en-US"/>
    </w:rPr>
  </w:style>
  <w:style w:type="paragraph" w:customStyle="1" w:styleId="307">
    <w:name w:val="Blockquote"/>
    <w:basedOn w:val="1"/>
    <w:qFormat/>
    <w:uiPriority w:val="0"/>
    <w:pPr>
      <w:widowControl w:val="0"/>
      <w:autoSpaceDE w:val="0"/>
      <w:autoSpaceDN w:val="0"/>
      <w:adjustRightInd w:val="0"/>
      <w:spacing w:before="100" w:after="100"/>
      <w:ind w:left="360" w:right="360" w:firstLine="0"/>
    </w:pPr>
    <w:rPr>
      <w:sz w:val="24"/>
      <w:szCs w:val="20"/>
    </w:rPr>
  </w:style>
  <w:style w:type="paragraph" w:customStyle="1" w:styleId="308">
    <w:name w:val="3"/>
    <w:basedOn w:val="1"/>
    <w:next w:val="32"/>
    <w:qFormat/>
    <w:uiPriority w:val="0"/>
    <w:pPr>
      <w:widowControl w:val="0"/>
      <w:ind w:firstLine="0"/>
      <w:jc w:val="both"/>
    </w:pPr>
    <w:rPr>
      <w:rFonts w:ascii="方正书宋简体" w:hAnsi="楷体_GB2312" w:eastAsia="仿宋_GB2312"/>
      <w:kern w:val="2"/>
      <w:sz w:val="21"/>
      <w:szCs w:val="20"/>
    </w:rPr>
  </w:style>
  <w:style w:type="paragraph" w:customStyle="1" w:styleId="309">
    <w:name w:val="Char_0"/>
    <w:basedOn w:val="1"/>
    <w:qFormat/>
    <w:uiPriority w:val="99"/>
    <w:pPr>
      <w:widowControl w:val="0"/>
      <w:ind w:firstLine="0"/>
      <w:jc w:val="both"/>
    </w:pPr>
    <w:rPr>
      <w:rFonts w:ascii="MS Sans Serif" w:eastAsia="MS Sans Serif"/>
      <w:b/>
      <w:kern w:val="2"/>
      <w:sz w:val="32"/>
      <w:szCs w:val="32"/>
    </w:rPr>
  </w:style>
  <w:style w:type="paragraph" w:customStyle="1" w:styleId="310">
    <w:name w:val="二级条标题"/>
    <w:basedOn w:val="238"/>
    <w:next w:val="1"/>
    <w:qFormat/>
    <w:uiPriority w:val="0"/>
    <w:pPr>
      <w:numPr>
        <w:ilvl w:val="3"/>
        <w:numId w:val="1"/>
      </w:numPr>
      <w:outlineLvl w:val="3"/>
    </w:pPr>
  </w:style>
  <w:style w:type="paragraph" w:customStyle="1" w:styleId="311">
    <w:name w:val="mnotes"/>
    <w:basedOn w:val="1"/>
    <w:qFormat/>
    <w:uiPriority w:val="0"/>
    <w:pPr>
      <w:shd w:val="clear" w:color="auto" w:fill="AFEEEE"/>
      <w:spacing w:before="100" w:beforeAutospacing="1" w:after="100" w:afterAutospacing="1" w:line="336" w:lineRule="auto"/>
      <w:ind w:firstLine="0"/>
    </w:pPr>
    <w:rPr>
      <w:rFonts w:ascii="方正书宋简体" w:hAnsi="方正书宋简体" w:cs="方正书宋简体"/>
      <w:smallCaps/>
      <w:color w:val="008080"/>
      <w:sz w:val="20"/>
      <w:szCs w:val="20"/>
    </w:rPr>
  </w:style>
  <w:style w:type="paragraph" w:customStyle="1" w:styleId="312">
    <w:name w:val="stitle"/>
    <w:basedOn w:val="1"/>
    <w:qFormat/>
    <w:uiPriority w:val="0"/>
    <w:pPr>
      <w:spacing w:before="100" w:beforeAutospacing="1" w:after="100" w:afterAutospacing="1"/>
      <w:ind w:firstLine="0"/>
    </w:pPr>
    <w:rPr>
      <w:rFonts w:ascii="方正书宋简体" w:hAnsi="方正书宋简体" w:cs="方正书宋简体"/>
      <w:smallCaps/>
      <w:color w:val="000000"/>
      <w:sz w:val="20"/>
      <w:szCs w:val="20"/>
    </w:rPr>
  </w:style>
  <w:style w:type="paragraph" w:customStyle="1" w:styleId="313">
    <w:name w:val="xl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pPr>
    <w:rPr>
      <w:rFonts w:eastAsia="仿宋_GB2312"/>
      <w:sz w:val="20"/>
      <w:szCs w:val="20"/>
    </w:rPr>
  </w:style>
  <w:style w:type="paragraph" w:customStyle="1" w:styleId="314">
    <w:name w:val="xl77"/>
    <w:basedOn w:val="1"/>
    <w:qFormat/>
    <w:uiPriority w:val="0"/>
    <w:pPr>
      <w:pBdr>
        <w:left w:val="single" w:color="auto" w:sz="4" w:space="0"/>
      </w:pBdr>
      <w:spacing w:beforeAutospacing="1" w:afterAutospacing="1"/>
      <w:ind w:firstLine="0"/>
      <w:textAlignment w:val="center"/>
    </w:pPr>
    <w:rPr>
      <w:rFonts w:ascii="宋体" w:hAnsi="宋体"/>
      <w:sz w:val="20"/>
      <w:szCs w:val="20"/>
    </w:rPr>
  </w:style>
  <w:style w:type="paragraph" w:customStyle="1" w:styleId="315">
    <w:name w:val="font1"/>
    <w:basedOn w:val="1"/>
    <w:qFormat/>
    <w:uiPriority w:val="0"/>
    <w:pPr>
      <w:spacing w:before="100" w:beforeAutospacing="1" w:after="100" w:afterAutospacing="1"/>
      <w:ind w:firstLine="0"/>
    </w:pPr>
    <w:rPr>
      <w:rFonts w:hint="eastAsia" w:ascii="方正书宋简体" w:hAnsi="方正书宋简体" w:eastAsia="仿宋_GB2312"/>
      <w:sz w:val="24"/>
      <w:szCs w:val="24"/>
    </w:rPr>
  </w:style>
  <w:style w:type="paragraph" w:customStyle="1" w:styleId="316">
    <w:name w:val="Revision"/>
    <w:qFormat/>
    <w:uiPriority w:val="99"/>
    <w:rPr>
      <w:rFonts w:ascii="Times New Roman" w:hAnsi="Times New Roman" w:eastAsia="宋体" w:cs="Times New Roman"/>
      <w:sz w:val="22"/>
      <w:szCs w:val="22"/>
      <w:lang w:val="en-US" w:eastAsia="zh-CN" w:bidi="ar-SA"/>
    </w:rPr>
  </w:style>
  <w:style w:type="paragraph" w:customStyle="1" w:styleId="317">
    <w:name w:val="正文（标准）"/>
    <w:basedOn w:val="1"/>
    <w:next w:val="1"/>
    <w:semiHidden/>
    <w:qFormat/>
    <w:uiPriority w:val="0"/>
    <w:pPr>
      <w:spacing w:line="560" w:lineRule="exact"/>
      <w:ind w:firstLine="525"/>
    </w:pPr>
    <w:rPr>
      <w:rFonts w:ascii="宋体" w:hAnsi="宋体" w:eastAsia="仿宋_GB2312" w:cs="宋体"/>
      <w:sz w:val="28"/>
      <w:szCs w:val="28"/>
    </w:rPr>
  </w:style>
  <w:style w:type="paragraph" w:customStyle="1" w:styleId="318">
    <w:name w:val="CM99"/>
    <w:basedOn w:val="127"/>
    <w:next w:val="127"/>
    <w:qFormat/>
    <w:uiPriority w:val="0"/>
    <w:pPr>
      <w:spacing w:after="443"/>
      <w:ind w:firstLine="0"/>
    </w:pPr>
    <w:rPr>
      <w:rFonts w:cs="华文中宋"/>
      <w:color w:val="auto"/>
    </w:rPr>
  </w:style>
  <w:style w:type="paragraph" w:customStyle="1" w:styleId="319">
    <w:name w:val="reader-word-layer reader-word-s1-6"/>
    <w:basedOn w:val="1"/>
    <w:qFormat/>
    <w:uiPriority w:val="99"/>
    <w:pPr>
      <w:spacing w:before="100" w:beforeAutospacing="1" w:after="100" w:afterAutospacing="1"/>
      <w:ind w:firstLine="0"/>
    </w:pPr>
    <w:rPr>
      <w:rFonts w:ascii="方正书宋简体" w:hAnsi="方正书宋简体" w:cs="方正书宋简体"/>
      <w:sz w:val="24"/>
      <w:szCs w:val="24"/>
    </w:rPr>
  </w:style>
  <w:style w:type="paragraph" w:customStyle="1" w:styleId="320">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pPr>
    <w:rPr>
      <w:rFonts w:eastAsia="仿宋_GB2312"/>
      <w:sz w:val="24"/>
      <w:szCs w:val="24"/>
    </w:rPr>
  </w:style>
  <w:style w:type="paragraph" w:customStyle="1" w:styleId="321">
    <w:name w:val="xl55"/>
    <w:basedOn w:val="1"/>
    <w:qFormat/>
    <w:uiPriority w:val="0"/>
    <w:pPr>
      <w:spacing w:before="100" w:beforeAutospacing="1" w:after="100" w:afterAutospacing="1"/>
      <w:ind w:firstLine="0"/>
    </w:pPr>
    <w:rPr>
      <w:rFonts w:eastAsia="仿宋_GB2312"/>
      <w:b/>
      <w:bCs/>
      <w:sz w:val="40"/>
      <w:szCs w:val="40"/>
    </w:rPr>
  </w:style>
  <w:style w:type="paragraph" w:customStyle="1" w:styleId="322">
    <w:name w:val="样式 样式 标题 3 + 居中 左侧:  0 厘米 首行缩进:  1.18 厘米 段前: 1.5 行 段后: 6 磅 行距:....."/>
    <w:basedOn w:val="231"/>
    <w:qFormat/>
    <w:uiPriority w:val="0"/>
    <w:pPr>
      <w:spacing w:beforeLines="0"/>
    </w:pPr>
  </w:style>
  <w:style w:type="paragraph" w:customStyle="1" w:styleId="323">
    <w:name w:val="TOC Heading"/>
    <w:basedOn w:val="2"/>
    <w:next w:val="1"/>
    <w:qFormat/>
    <w:uiPriority w:val="0"/>
    <w:pPr>
      <w:pBdr>
        <w:bottom w:val="single" w:color="365F91" w:sz="12" w:space="1"/>
      </w:pBdr>
      <w:outlineLvl w:val="9"/>
    </w:pPr>
    <w:rPr>
      <w:rFonts w:ascii="Arial Unicode MS" w:hAnsi="Arial Unicode MS" w:eastAsia="方正书宋简体" w:cs="华文中宋"/>
      <w:color w:val="365F91"/>
      <w:lang w:bidi="en-US"/>
    </w:rPr>
  </w:style>
  <w:style w:type="paragraph" w:customStyle="1" w:styleId="324">
    <w:name w:val="xl53"/>
    <w:basedOn w:val="1"/>
    <w:qFormat/>
    <w:uiPriority w:val="0"/>
    <w:pPr>
      <w:spacing w:before="100" w:beforeAutospacing="1" w:after="100" w:afterAutospacing="1"/>
      <w:ind w:firstLine="0"/>
    </w:pPr>
    <w:rPr>
      <w:rFonts w:ascii="方正书宋简体" w:hAnsi="方正书宋简体" w:eastAsia="仿宋_GB2312"/>
      <w:b/>
      <w:bCs/>
      <w:sz w:val="40"/>
      <w:szCs w:val="40"/>
    </w:rPr>
  </w:style>
  <w:style w:type="paragraph" w:customStyle="1" w:styleId="325">
    <w:name w:val="01标题1"/>
    <w:next w:val="1"/>
    <w:qFormat/>
    <w:uiPriority w:val="0"/>
    <w:pPr>
      <w:spacing w:before="100" w:beforeAutospacing="1" w:after="100" w:afterAutospacing="1" w:line="360" w:lineRule="auto"/>
      <w:jc w:val="center"/>
      <w:outlineLvl w:val="0"/>
    </w:pPr>
    <w:rPr>
      <w:rFonts w:ascii="宋体" w:hAnsi="宋体" w:eastAsia="黑体" w:cs="宋体"/>
      <w:b/>
      <w:bCs/>
      <w:color w:val="0000FF"/>
      <w:kern w:val="44"/>
      <w:sz w:val="36"/>
      <w:szCs w:val="44"/>
      <w:lang w:val="en-US" w:eastAsia="zh-CN" w:bidi="ar-SA"/>
    </w:rPr>
  </w:style>
  <w:style w:type="paragraph" w:customStyle="1" w:styleId="326">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327">
    <w:name w:val="zhang"/>
    <w:basedOn w:val="1"/>
    <w:qFormat/>
    <w:uiPriority w:val="0"/>
    <w:pPr>
      <w:spacing w:before="100" w:beforeAutospacing="1" w:after="100" w:afterAutospacing="1"/>
      <w:ind w:firstLine="0"/>
    </w:pPr>
    <w:rPr>
      <w:rFonts w:ascii="方正书宋简体" w:hAnsi="方正书宋简体" w:cs="方正书宋简体"/>
      <w:b/>
      <w:bCs/>
      <w:smallCaps/>
      <w:color w:val="000000"/>
      <w:sz w:val="20"/>
      <w:szCs w:val="20"/>
    </w:rPr>
  </w:style>
  <w:style w:type="paragraph" w:customStyle="1" w:styleId="328">
    <w:name w:val="xl46"/>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329">
    <w:name w:val="xl37"/>
    <w:basedOn w:val="1"/>
    <w:qFormat/>
    <w:uiPriority w:val="0"/>
    <w:pPr>
      <w:spacing w:before="100" w:beforeAutospacing="1" w:after="100" w:afterAutospacing="1"/>
      <w:ind w:firstLine="0"/>
      <w:jc w:val="center"/>
    </w:pPr>
    <w:rPr>
      <w:rFonts w:eastAsia="仿宋_GB2312"/>
      <w:b/>
      <w:bCs/>
      <w:sz w:val="40"/>
      <w:szCs w:val="40"/>
    </w:rPr>
  </w:style>
  <w:style w:type="paragraph" w:customStyle="1" w:styleId="330">
    <w:name w:val="样式 样式 标题 1 + 黑体 + 居中 段前: 0 磅 段后: 0 磅"/>
    <w:basedOn w:val="1"/>
    <w:qFormat/>
    <w:uiPriority w:val="0"/>
    <w:pPr>
      <w:keepNext/>
      <w:keepLines/>
      <w:widowControl w:val="0"/>
      <w:autoSpaceDE w:val="0"/>
      <w:autoSpaceDN w:val="0"/>
      <w:adjustRightInd w:val="0"/>
      <w:spacing w:beforeLines="50" w:afterLines="50"/>
      <w:ind w:firstLine="0"/>
      <w:jc w:val="center"/>
      <w:outlineLvl w:val="0"/>
    </w:pPr>
    <w:rPr>
      <w:rFonts w:ascii="Arial" w:hAnsi="Arial" w:eastAsia="Arial" w:cs="方正书宋简体"/>
      <w:b/>
      <w:bCs/>
      <w:kern w:val="44"/>
      <w:sz w:val="32"/>
      <w:szCs w:val="20"/>
    </w:rPr>
  </w:style>
  <w:style w:type="paragraph" w:customStyle="1" w:styleId="331">
    <w:name w:val="目录 41"/>
    <w:basedOn w:val="1"/>
    <w:next w:val="1"/>
    <w:qFormat/>
    <w:uiPriority w:val="39"/>
    <w:pPr>
      <w:ind w:left="600" w:firstLine="0"/>
    </w:pPr>
    <w:rPr>
      <w:sz w:val="20"/>
      <w:szCs w:val="20"/>
    </w:rPr>
  </w:style>
  <w:style w:type="paragraph" w:customStyle="1" w:styleId="332">
    <w:name w:val="xl48"/>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ind w:firstLine="0"/>
    </w:pPr>
    <w:rPr>
      <w:rFonts w:ascii="方正书宋简体" w:hAnsi="方正书宋简体" w:eastAsia="仿宋_GB2312"/>
      <w:sz w:val="24"/>
      <w:szCs w:val="24"/>
    </w:rPr>
  </w:style>
  <w:style w:type="paragraph" w:customStyle="1" w:styleId="333">
    <w:name w:val="Char Char Char Char Char Char Char Char Char Char Char"/>
    <w:qFormat/>
    <w:uiPriority w:val="0"/>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334">
    <w:name w:val="默认段落字体 Para Char"/>
    <w:basedOn w:val="1"/>
    <w:qFormat/>
    <w:uiPriority w:val="0"/>
    <w:pPr>
      <w:widowControl w:val="0"/>
      <w:snapToGrid w:val="0"/>
      <w:spacing w:line="360" w:lineRule="auto"/>
      <w:ind w:firstLine="200" w:firstLineChars="200"/>
      <w:jc w:val="both"/>
    </w:pPr>
    <w:rPr>
      <w:rFonts w:eastAsia="MS Sans Serif"/>
      <w:kern w:val="2"/>
      <w:sz w:val="24"/>
      <w:szCs w:val="24"/>
    </w:rPr>
  </w:style>
  <w:style w:type="paragraph" w:customStyle="1" w:styleId="335">
    <w:name w:val="正文1_0"/>
    <w:qFormat/>
    <w:uiPriority w:val="0"/>
    <w:pPr>
      <w:widowControl w:val="0"/>
      <w:adjustRightInd w:val="0"/>
      <w:spacing w:line="312" w:lineRule="atLeast"/>
      <w:jc w:val="both"/>
      <w:textAlignment w:val="baseline"/>
    </w:pPr>
    <w:rPr>
      <w:rFonts w:ascii="方正书宋简体" w:hAnsi="Times New Roman" w:eastAsia="宋体" w:cs="Times New Roman"/>
      <w:sz w:val="34"/>
      <w:lang w:val="en-US" w:eastAsia="zh-CN" w:bidi="ar-SA"/>
    </w:rPr>
  </w:style>
  <w:style w:type="paragraph" w:customStyle="1" w:styleId="336">
    <w:name w:val="xl32"/>
    <w:basedOn w:val="1"/>
    <w:qFormat/>
    <w:uiPriority w:val="0"/>
    <w:pPr>
      <w:spacing w:before="100" w:beforeAutospacing="1" w:after="100" w:afterAutospacing="1"/>
      <w:ind w:firstLine="0"/>
      <w:jc w:val="center"/>
    </w:pPr>
    <w:rPr>
      <w:rFonts w:ascii="方正书宋简体" w:hAnsi="方正书宋简体" w:eastAsia="仿宋_GB2312"/>
      <w:sz w:val="36"/>
      <w:szCs w:val="36"/>
    </w:rPr>
  </w:style>
  <w:style w:type="paragraph" w:customStyle="1" w:styleId="337">
    <w:name w:val="font8"/>
    <w:basedOn w:val="1"/>
    <w:qFormat/>
    <w:uiPriority w:val="0"/>
    <w:pPr>
      <w:spacing w:before="100" w:beforeAutospacing="1" w:after="100" w:afterAutospacing="1"/>
      <w:ind w:firstLine="0"/>
    </w:pPr>
    <w:rPr>
      <w:rFonts w:hint="eastAsia" w:ascii="方正书宋简体" w:hAnsi="方正书宋简体" w:eastAsia="仿宋_GB2312"/>
      <w:b/>
      <w:bCs/>
      <w:sz w:val="40"/>
      <w:szCs w:val="40"/>
    </w:rPr>
  </w:style>
  <w:style w:type="paragraph" w:customStyle="1" w:styleId="338">
    <w:name w:val="样式 目录 3 + 左侧:  4 字符 首行缩进:  2 字符1"/>
    <w:basedOn w:val="31"/>
    <w:qFormat/>
    <w:uiPriority w:val="0"/>
    <w:pPr>
      <w:widowControl w:val="0"/>
      <w:tabs>
        <w:tab w:val="left" w:pos="2520"/>
        <w:tab w:val="right" w:leader="dot" w:pos="9060"/>
      </w:tabs>
      <w:ind w:left="960" w:firstLine="480" w:firstLineChars="200"/>
      <w:jc w:val="both"/>
    </w:pPr>
    <w:rPr>
      <w:rFonts w:cs="方正书宋简体"/>
      <w:kern w:val="28"/>
      <w:sz w:val="24"/>
      <w:szCs w:val="24"/>
    </w:rPr>
  </w:style>
  <w:style w:type="paragraph" w:customStyle="1" w:styleId="339">
    <w:name w:val="Char Char Char Char Char Char Char Char Char Char1"/>
    <w:basedOn w:val="1"/>
    <w:qFormat/>
    <w:uiPriority w:val="0"/>
    <w:pPr>
      <w:widowControl w:val="0"/>
      <w:tabs>
        <w:tab w:val="left" w:pos="425"/>
      </w:tabs>
      <w:ind w:left="425" w:hanging="425"/>
      <w:jc w:val="both"/>
    </w:pPr>
    <w:rPr>
      <w:rFonts w:ascii="等线 Light" w:hAnsi="等线 Light" w:eastAsia="Arial" w:cs="方正书宋简体"/>
      <w:b/>
      <w:bCs/>
      <w:kern w:val="2"/>
      <w:sz w:val="32"/>
      <w:szCs w:val="32"/>
    </w:rPr>
  </w:style>
  <w:style w:type="paragraph" w:customStyle="1" w:styleId="340">
    <w:name w:val="样式 正文段 + 段后: 0.5 行 首行缩进:  0 字符"/>
    <w:basedOn w:val="218"/>
    <w:qFormat/>
    <w:uiPriority w:val="0"/>
    <w:pPr>
      <w:spacing w:afterLines="0"/>
      <w:ind w:firstLine="0" w:firstLineChars="0"/>
    </w:pPr>
    <w:rPr>
      <w:rFonts w:cs="方正书宋简体"/>
    </w:rPr>
  </w:style>
  <w:style w:type="paragraph" w:customStyle="1" w:styleId="341">
    <w:name w:val="4"/>
    <w:basedOn w:val="1"/>
    <w:next w:val="32"/>
    <w:qFormat/>
    <w:uiPriority w:val="0"/>
    <w:pPr>
      <w:widowControl w:val="0"/>
      <w:ind w:firstLine="0"/>
      <w:jc w:val="both"/>
    </w:pPr>
    <w:rPr>
      <w:rFonts w:ascii="方正书宋简体" w:hAnsi="楷体_GB2312" w:eastAsia="仿宋_GB2312"/>
      <w:kern w:val="2"/>
      <w:sz w:val="21"/>
      <w:szCs w:val="20"/>
    </w:rPr>
  </w:style>
  <w:style w:type="paragraph" w:customStyle="1" w:styleId="342">
    <w:name w:val="三级条标题"/>
    <w:basedOn w:val="310"/>
    <w:next w:val="1"/>
    <w:qFormat/>
    <w:uiPriority w:val="0"/>
    <w:pPr>
      <w:numPr>
        <w:ilvl w:val="4"/>
        <w:numId w:val="1"/>
      </w:numPr>
      <w:outlineLvl w:val="4"/>
    </w:pPr>
  </w:style>
  <w:style w:type="paragraph" w:customStyle="1" w:styleId="343">
    <w:name w:val="noindent"/>
    <w:basedOn w:val="1"/>
    <w:qFormat/>
    <w:uiPriority w:val="99"/>
    <w:pPr>
      <w:spacing w:before="100" w:beforeAutospacing="1" w:after="100" w:afterAutospacing="1"/>
      <w:ind w:firstLine="0"/>
    </w:pPr>
    <w:rPr>
      <w:rFonts w:ascii="方正书宋简体" w:hAnsi="方正书宋简体" w:cs="方正书宋简体"/>
      <w:sz w:val="24"/>
      <w:szCs w:val="24"/>
    </w:rPr>
  </w:style>
  <w:style w:type="paragraph" w:customStyle="1" w:styleId="344">
    <w:name w:val="reader-word-layer reader-word-s1-5"/>
    <w:basedOn w:val="1"/>
    <w:qFormat/>
    <w:uiPriority w:val="99"/>
    <w:pPr>
      <w:spacing w:before="100" w:beforeAutospacing="1" w:after="100" w:afterAutospacing="1"/>
      <w:ind w:firstLine="0"/>
    </w:pPr>
    <w:rPr>
      <w:rFonts w:ascii="方正书宋简体" w:hAnsi="方正书宋简体" w:cs="方正书宋简体"/>
      <w:sz w:val="24"/>
      <w:szCs w:val="24"/>
    </w:rPr>
  </w:style>
  <w:style w:type="paragraph" w:customStyle="1" w:styleId="345">
    <w:name w:val="xl52"/>
    <w:basedOn w:val="1"/>
    <w:qFormat/>
    <w:uiPriority w:val="0"/>
    <w:pPr>
      <w:spacing w:before="100" w:beforeAutospacing="1" w:after="100" w:afterAutospacing="1"/>
      <w:ind w:firstLine="0"/>
    </w:pPr>
    <w:rPr>
      <w:rFonts w:eastAsia="仿宋_GB2312"/>
      <w:b/>
      <w:bCs/>
      <w:sz w:val="40"/>
      <w:szCs w:val="40"/>
    </w:rPr>
  </w:style>
  <w:style w:type="paragraph" w:customStyle="1" w:styleId="346">
    <w:name w:val="xl40"/>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ind w:firstLine="0"/>
    </w:pPr>
    <w:rPr>
      <w:rFonts w:eastAsia="仿宋_GB2312"/>
      <w:sz w:val="24"/>
      <w:szCs w:val="24"/>
    </w:rPr>
  </w:style>
  <w:style w:type="paragraph" w:customStyle="1" w:styleId="347">
    <w:name w:val="样式3"/>
    <w:basedOn w:val="5"/>
    <w:qFormat/>
    <w:uiPriority w:val="99"/>
    <w:pPr>
      <w:keepNext/>
      <w:keepLines/>
      <w:widowControl w:val="0"/>
      <w:pBdr>
        <w:bottom w:val="none" w:color="auto" w:sz="0" w:space="0"/>
      </w:pBdr>
      <w:spacing w:before="260" w:after="260" w:line="412" w:lineRule="auto"/>
      <w:jc w:val="both"/>
    </w:pPr>
    <w:rPr>
      <w:rFonts w:ascii="华文中宋" w:hAnsi="华文中宋" w:eastAsia="等线 Light"/>
      <w:b/>
      <w:bCs/>
      <w:color w:val="auto"/>
      <w:kern w:val="2"/>
      <w:sz w:val="32"/>
      <w:szCs w:val="32"/>
      <w:lang w:val="en-US" w:eastAsia="zh-CN"/>
    </w:rPr>
  </w:style>
  <w:style w:type="paragraph" w:customStyle="1" w:styleId="348">
    <w:name w:val="font10"/>
    <w:basedOn w:val="1"/>
    <w:qFormat/>
    <w:uiPriority w:val="0"/>
    <w:pPr>
      <w:spacing w:before="100" w:beforeAutospacing="1" w:after="100" w:afterAutospacing="1"/>
      <w:ind w:firstLine="0"/>
    </w:pPr>
    <w:rPr>
      <w:rFonts w:eastAsia="仿宋_GB2312"/>
      <w:sz w:val="20"/>
      <w:szCs w:val="20"/>
    </w:rPr>
  </w:style>
  <w:style w:type="paragraph" w:customStyle="1" w:styleId="349">
    <w:name w:val="flNote"/>
    <w:basedOn w:val="1"/>
    <w:qFormat/>
    <w:uiPriority w:val="99"/>
    <w:pPr>
      <w:widowControl w:val="0"/>
      <w:adjustRightInd w:val="0"/>
      <w:spacing w:before="320" w:after="160" w:line="360" w:lineRule="atLeast"/>
      <w:ind w:firstLine="0"/>
      <w:jc w:val="center"/>
      <w:textAlignment w:val="baseline"/>
    </w:pPr>
    <w:rPr>
      <w:rFonts w:ascii="等线 Light" w:eastAsia="Arial"/>
      <w:sz w:val="30"/>
      <w:szCs w:val="20"/>
    </w:rPr>
  </w:style>
  <w:style w:type="paragraph" w:customStyle="1" w:styleId="350">
    <w:name w:val="Char Char Char Char1 Char Char Char Char Char1 Char"/>
    <w:basedOn w:val="1"/>
    <w:qFormat/>
    <w:uiPriority w:val="0"/>
    <w:pPr>
      <w:widowControl w:val="0"/>
      <w:spacing w:line="240" w:lineRule="atLeast"/>
      <w:ind w:left="420" w:firstLine="420"/>
      <w:jc w:val="both"/>
    </w:pPr>
    <w:rPr>
      <w:sz w:val="21"/>
      <w:szCs w:val="21"/>
    </w:rPr>
  </w:style>
  <w:style w:type="paragraph" w:customStyle="1" w:styleId="351">
    <w:name w:val="font7"/>
    <w:basedOn w:val="1"/>
    <w:qFormat/>
    <w:uiPriority w:val="0"/>
    <w:pPr>
      <w:spacing w:before="100" w:beforeAutospacing="1" w:after="100" w:afterAutospacing="1"/>
      <w:ind w:firstLine="0"/>
    </w:pPr>
    <w:rPr>
      <w:rFonts w:eastAsia="仿宋_GB2312"/>
      <w:b/>
      <w:bCs/>
      <w:sz w:val="40"/>
      <w:szCs w:val="40"/>
    </w:rPr>
  </w:style>
  <w:style w:type="paragraph" w:customStyle="1" w:styleId="352">
    <w:name w:val="正文强调"/>
    <w:basedOn w:val="1"/>
    <w:qFormat/>
    <w:uiPriority w:val="0"/>
    <w:rPr>
      <w:b/>
      <w:kern w:val="0"/>
      <w:szCs w:val="20"/>
    </w:rPr>
  </w:style>
  <w:style w:type="paragraph" w:customStyle="1" w:styleId="353">
    <w:name w:val="Char Char Char Char Char Char Char Char Char Char Char Char Char Char Char Char Char Char Char Char Char Char Char Char Char Char Char Char"/>
    <w:basedOn w:val="1"/>
    <w:qFormat/>
    <w:uiPriority w:val="0"/>
    <w:pPr>
      <w:spacing w:after="160" w:line="240" w:lineRule="exact"/>
      <w:ind w:firstLine="0"/>
    </w:pPr>
    <w:rPr>
      <w:rFonts w:ascii="Cambria Math" w:hAnsi="Cambria Math" w:eastAsia="MS Sans Serif"/>
      <w:sz w:val="24"/>
      <w:szCs w:val="20"/>
      <w:lang w:eastAsia="en-US"/>
    </w:rPr>
  </w:style>
  <w:style w:type="paragraph" w:customStyle="1" w:styleId="354">
    <w:name w:val="p2"/>
    <w:basedOn w:val="1"/>
    <w:qFormat/>
    <w:uiPriority w:val="0"/>
    <w:pPr>
      <w:spacing w:line="480" w:lineRule="auto"/>
      <w:ind w:firstLine="420"/>
    </w:pPr>
    <w:rPr>
      <w:rFonts w:ascii="方正书宋简体" w:hAnsi="方正书宋简体" w:cs="方正书宋简体"/>
      <w:sz w:val="21"/>
      <w:szCs w:val="21"/>
    </w:rPr>
  </w:style>
  <w:style w:type="paragraph" w:customStyle="1" w:styleId="355">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ind w:firstLine="0"/>
      <w:jc w:val="both"/>
    </w:pPr>
    <w:rPr>
      <w:rFonts w:ascii="仿宋" w:hAnsi="仿宋"/>
      <w:sz w:val="24"/>
      <w:szCs w:val="20"/>
      <w:lang w:val="en-GB"/>
    </w:rPr>
  </w:style>
  <w:style w:type="paragraph" w:customStyle="1" w:styleId="356">
    <w:name w:val="mtitle"/>
    <w:basedOn w:val="1"/>
    <w:qFormat/>
    <w:uiPriority w:val="0"/>
    <w:pPr>
      <w:spacing w:before="100" w:beforeAutospacing="1" w:after="100" w:afterAutospacing="1" w:line="336" w:lineRule="auto"/>
      <w:ind w:firstLine="0"/>
    </w:pPr>
    <w:rPr>
      <w:rFonts w:ascii="方正书宋简体" w:hAnsi="方正书宋简体" w:cs="方正书宋简体"/>
      <w:b/>
      <w:bCs/>
      <w:smallCaps/>
      <w:color w:val="000000"/>
      <w:sz w:val="20"/>
      <w:szCs w:val="20"/>
    </w:rPr>
  </w:style>
  <w:style w:type="paragraph" w:customStyle="1" w:styleId="357">
    <w:name w:val="font9"/>
    <w:basedOn w:val="1"/>
    <w:qFormat/>
    <w:uiPriority w:val="0"/>
    <w:pPr>
      <w:spacing w:before="100" w:beforeAutospacing="1" w:after="100" w:afterAutospacing="1"/>
      <w:ind w:firstLine="0"/>
    </w:pPr>
    <w:rPr>
      <w:rFonts w:eastAsia="仿宋_GB2312"/>
      <w:sz w:val="24"/>
      <w:szCs w:val="24"/>
    </w:rPr>
  </w:style>
  <w:style w:type="paragraph" w:customStyle="1" w:styleId="358">
    <w:name w:val="font5"/>
    <w:basedOn w:val="1"/>
    <w:qFormat/>
    <w:uiPriority w:val="0"/>
    <w:pPr>
      <w:spacing w:before="100" w:beforeAutospacing="1" w:after="100" w:afterAutospacing="1"/>
      <w:ind w:firstLine="0"/>
    </w:pPr>
    <w:rPr>
      <w:rFonts w:hint="eastAsia" w:ascii="方正书宋简体" w:hAnsi="方正书宋简体" w:eastAsia="仿宋_GB2312"/>
      <w:sz w:val="18"/>
      <w:szCs w:val="18"/>
    </w:rPr>
  </w:style>
  <w:style w:type="paragraph" w:customStyle="1" w:styleId="359">
    <w:name w:val="xl51"/>
    <w:basedOn w:val="1"/>
    <w:qFormat/>
    <w:uiPriority w:val="0"/>
    <w:pPr>
      <w:pBdr>
        <w:bottom w:val="single" w:color="auto" w:sz="4" w:space="0"/>
      </w:pBdr>
      <w:spacing w:before="100" w:beforeAutospacing="1" w:after="100" w:afterAutospacing="1"/>
      <w:ind w:firstLine="0"/>
      <w:jc w:val="center"/>
      <w:textAlignment w:val="center"/>
    </w:pPr>
    <w:rPr>
      <w:rFonts w:ascii="方正书宋简体" w:hAnsi="方正书宋简体"/>
      <w:b/>
      <w:bCs/>
      <w:sz w:val="32"/>
      <w:szCs w:val="32"/>
    </w:rPr>
  </w:style>
  <w:style w:type="paragraph" w:customStyle="1" w:styleId="360">
    <w:name w:val="font6"/>
    <w:basedOn w:val="1"/>
    <w:qFormat/>
    <w:uiPriority w:val="0"/>
    <w:pPr>
      <w:spacing w:before="100" w:beforeAutospacing="1" w:after="100" w:afterAutospacing="1"/>
      <w:ind w:firstLine="0"/>
    </w:pPr>
    <w:rPr>
      <w:rFonts w:eastAsia="仿宋_GB2312"/>
      <w:sz w:val="24"/>
      <w:szCs w:val="24"/>
    </w:rPr>
  </w:style>
  <w:style w:type="paragraph" w:customStyle="1" w:styleId="361">
    <w:name w:val="tiao"/>
    <w:basedOn w:val="1"/>
    <w:qFormat/>
    <w:uiPriority w:val="0"/>
    <w:pPr>
      <w:shd w:val="clear" w:color="auto" w:fill="AFEEEE"/>
      <w:spacing w:before="100" w:beforeAutospacing="1" w:after="100" w:afterAutospacing="1"/>
      <w:ind w:firstLine="0"/>
    </w:pPr>
    <w:rPr>
      <w:rFonts w:ascii="方正书宋简体" w:hAnsi="方正书宋简体" w:cs="方正书宋简体"/>
      <w:i/>
      <w:iCs/>
      <w:smallCaps/>
      <w:color w:val="6600CC"/>
      <w:sz w:val="20"/>
      <w:szCs w:val="20"/>
    </w:rPr>
  </w:style>
  <w:style w:type="paragraph" w:customStyle="1" w:styleId="362">
    <w:name w:val="正文2"/>
    <w:qFormat/>
    <w:uiPriority w:val="0"/>
    <w:pPr>
      <w:widowControl w:val="0"/>
      <w:adjustRightInd w:val="0"/>
      <w:spacing w:line="312" w:lineRule="atLeast"/>
      <w:jc w:val="both"/>
      <w:textAlignment w:val="baseline"/>
    </w:pPr>
    <w:rPr>
      <w:rFonts w:ascii="方正书宋简体" w:hAnsi="Times New Roman" w:eastAsia="宋体" w:cs="Times New Roman"/>
      <w:sz w:val="34"/>
      <w:lang w:val="en-US" w:eastAsia="zh-CN" w:bidi="ar-SA"/>
    </w:rPr>
  </w:style>
  <w:style w:type="paragraph" w:customStyle="1" w:styleId="363">
    <w:name w:val="p0"/>
    <w:basedOn w:val="1"/>
    <w:qFormat/>
    <w:uiPriority w:val="0"/>
    <w:pPr>
      <w:ind w:firstLine="0"/>
      <w:jc w:val="both"/>
    </w:pPr>
    <w:rPr>
      <w:sz w:val="21"/>
      <w:szCs w:val="21"/>
    </w:rPr>
  </w:style>
  <w:style w:type="paragraph" w:customStyle="1" w:styleId="364">
    <w:name w:val="xl4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ind w:firstLine="0"/>
      <w:jc w:val="center"/>
    </w:pPr>
    <w:rPr>
      <w:rFonts w:eastAsia="仿宋_GB2312"/>
      <w:sz w:val="24"/>
      <w:szCs w:val="24"/>
    </w:rPr>
  </w:style>
  <w:style w:type="paragraph" w:customStyle="1" w:styleId="365">
    <w:name w:val="行政正文1"/>
    <w:basedOn w:val="1"/>
    <w:qFormat/>
    <w:uiPriority w:val="0"/>
    <w:pPr>
      <w:widowControl/>
      <w:wordWrap w:val="0"/>
      <w:topLinePunct/>
      <w:spacing w:line="560" w:lineRule="exact"/>
      <w:ind w:firstLine="640" w:firstLineChars="200"/>
      <w:jc w:val="left"/>
    </w:pPr>
    <w:rPr>
      <w:rFonts w:ascii="Times New Roman" w:hAnsi="Times New Roman" w:eastAsia="仿宋_GB2312"/>
      <w:sz w:val="32"/>
      <w:szCs w:val="32"/>
    </w:rPr>
  </w:style>
  <w:style w:type="paragraph" w:customStyle="1" w:styleId="366">
    <w:name w:val="标题3"/>
    <w:basedOn w:val="1"/>
    <w:next w:val="1"/>
    <w:qFormat/>
    <w:uiPriority w:val="0"/>
    <w:pPr>
      <w:numPr>
        <w:ilvl w:val="0"/>
        <w:numId w:val="2"/>
      </w:numPr>
      <w:ind w:left="0" w:firstLine="0" w:firstLineChars="0"/>
      <w:outlineLvl w:val="2"/>
    </w:pPr>
    <w:rPr>
      <w:rFonts w:ascii="楷体" w:eastAsia="楷体"/>
      <w:b/>
      <w:sz w:val="30"/>
    </w:rPr>
  </w:style>
  <w:style w:type="paragraph" w:customStyle="1" w:styleId="367">
    <w:name w:val="题注-方案"/>
    <w:basedOn w:val="1"/>
    <w:next w:val="1"/>
    <w:qFormat/>
    <w:uiPriority w:val="0"/>
    <w:pPr>
      <w:spacing w:before="0" w:beforeLines="0" w:after="0" w:afterLines="0" w:line="240" w:lineRule="auto"/>
      <w:ind w:firstLine="0" w:firstLineChars="0"/>
      <w:jc w:val="center"/>
    </w:pPr>
    <w:rPr>
      <w:rFonts w:ascii="黑体" w:hAnsi="宋体" w:eastAsia="黑体"/>
      <w:sz w:val="24"/>
    </w:rPr>
  </w:style>
  <w:style w:type="paragraph" w:customStyle="1" w:styleId="368">
    <w:name w:val="表格文字"/>
    <w:basedOn w:val="1"/>
    <w:next w:val="1"/>
    <w:qFormat/>
    <w:uiPriority w:val="0"/>
    <w:pPr>
      <w:spacing w:before="0" w:beforeLines="0" w:after="0" w:afterLines="0" w:line="240" w:lineRule="auto"/>
      <w:ind w:firstLine="0" w:firstLineChars="0"/>
      <w:jc w:val="center"/>
    </w:pPr>
    <w:rPr>
      <w:rFonts w:ascii="宋体" w:eastAsia="宋体"/>
      <w:sz w:val="24"/>
    </w:rPr>
  </w:style>
  <w:style w:type="paragraph" w:customStyle="1" w:styleId="369">
    <w:name w:val="AOPlainFooter"/>
    <w:basedOn w:val="1"/>
    <w:next w:val="1"/>
    <w:qFormat/>
    <w:uiPriority w:val="0"/>
    <w:pPr>
      <w:jc w:val="right"/>
    </w:pPr>
    <w:rPr>
      <w:sz w:val="16"/>
      <w:szCs w:val="20"/>
      <w:lang w:val="en-GB" w:eastAsia="en-US"/>
    </w:rPr>
  </w:style>
  <w:style w:type="paragraph" w:customStyle="1" w:styleId="370">
    <w:name w:val="pf0"/>
    <w:basedOn w:val="1"/>
    <w:qFormat/>
    <w:uiPriority w:val="0"/>
    <w:pPr>
      <w:widowControl/>
      <w:adjustRightInd/>
      <w:snapToGrid/>
      <w:spacing w:before="100" w:beforeLines="0" w:beforeAutospacing="1" w:after="100" w:afterLines="0" w:afterAutospacing="1" w:line="240" w:lineRule="auto"/>
      <w:ind w:firstLine="0" w:firstLineChars="0"/>
      <w:jc w:val="left"/>
    </w:pPr>
    <w:rPr>
      <w:rFonts w:ascii="宋体" w:hAnsi="宋体" w:eastAsia="宋体" w:cs="宋体"/>
      <w:kern w:val="0"/>
      <w:sz w:val="24"/>
      <w:szCs w:val="24"/>
    </w:rPr>
  </w:style>
  <w:style w:type="character" w:customStyle="1" w:styleId="371">
    <w:name w:val="font01"/>
    <w:qFormat/>
    <w:uiPriority w:val="0"/>
    <w:rPr>
      <w:rFonts w:hint="eastAsia" w:ascii="宋体" w:hAnsi="宋体" w:eastAsia="宋体" w:cs="宋体"/>
      <w:color w:val="000000"/>
      <w:sz w:val="21"/>
      <w:szCs w:val="21"/>
      <w:u w:val="none"/>
    </w:rPr>
  </w:style>
  <w:style w:type="paragraph" w:customStyle="1" w:styleId="372">
    <w:name w:val="副标题1"/>
    <w:basedOn w:val="1"/>
    <w:autoRedefine/>
    <w:qFormat/>
    <w:uiPriority w:val="99"/>
    <w:pPr>
      <w:numPr>
        <w:ilvl w:val="1"/>
        <w:numId w:val="3"/>
      </w:numPr>
      <w:tabs>
        <w:tab w:val="left" w:pos="1440"/>
        <w:tab w:val="left" w:pos="1620"/>
      </w:tabs>
      <w:ind w:left="142" w:hanging="360"/>
    </w:pPr>
  </w:style>
  <w:style w:type="character" w:customStyle="1" w:styleId="373">
    <w:name w:val="10"/>
    <w:autoRedefine/>
    <w:qFormat/>
    <w:uiPriority w:val="99"/>
    <w:rPr>
      <w:rFonts w:ascii="Calibri" w:hAnsi="Calibri" w:eastAsia="宋体" w:cs="Calibri"/>
    </w:rPr>
  </w:style>
  <w:style w:type="paragraph" w:customStyle="1" w:styleId="374">
    <w:name w:val="副标题2"/>
    <w:basedOn w:val="1"/>
    <w:autoRedefine/>
    <w:qFormat/>
    <w:uiPriority w:val="99"/>
    <w:pPr>
      <w:numPr>
        <w:ilvl w:val="2"/>
        <w:numId w:val="3"/>
      </w:numPr>
      <w:tabs>
        <w:tab w:val="left" w:pos="1620"/>
        <w:tab w:val="left" w:pos="2160"/>
      </w:tabs>
      <w:ind w:left="2552" w:hanging="360"/>
    </w:pPr>
  </w:style>
  <w:style w:type="paragraph" w:customStyle="1" w:styleId="375">
    <w:name w:val="正文 A"/>
    <w:autoRedefine/>
    <w:qFormat/>
    <w:uiPriority w:val="99"/>
    <w:pPr>
      <w:widowControl w:val="0"/>
      <w:jc w:val="both"/>
    </w:pPr>
    <w:rPr>
      <w:rFonts w:ascii="Calibri" w:hAnsi="Arial Unicode MS" w:eastAsia="Times New Roman"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xz</Company>
  <Pages>145</Pages>
  <Words>9887</Words>
  <Characters>10836</Characters>
  <Lines>644</Lines>
  <Paragraphs>181</Paragraphs>
  <TotalTime>1</TotalTime>
  <ScaleCrop>false</ScaleCrop>
  <LinksUpToDate>false</LinksUpToDate>
  <CharactersWithSpaces>11013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2020-08-12T01:00:00Z</dcterms:created>
  <dc:creator>ml</dc:creator>
  <cp:lastModifiedBy>Administrator</cp:lastModifiedBy>
  <cp:lastPrinted>2026-03-31T05:57:00Z</cp:lastPrinted>
  <dcterms:modified xsi:type="dcterms:W3CDTF">2026-04-01T09:56:46Z</dcterms:modified>
  <dc:title>昆建招备：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DCC5F7C17C2442E6AEE7E435C716D7FF_13</vt:lpwstr>
  </property>
  <property fmtid="{D5CDD505-2E9C-101B-9397-08002B2CF9AE}" pid="3" name="KSOProductBuildVer">
    <vt:lpwstr>2052-12.1.0.25225</vt:lpwstr>
  </property>
  <property fmtid="{D5CDD505-2E9C-101B-9397-08002B2CF9AE}" pid="4" name="_DocHome">
    <vt:r8>-216662279</vt:r8>
  </property>
  <property fmtid="{D5CDD505-2E9C-101B-9397-08002B2CF9AE}" pid="5" name="KSOTemplateDocerSaveRecord">
    <vt:lpwstr>eyJoZGlkIjoiZjczNmYxNmY3ZmZhYTBiNTIwNzlmNGY1NTI5YTFhNmUiLCJ1c2VySWQiOiIyNTM4MTg4NzQifQ==</vt:lpwstr>
  </property>
</Properties>
</file>