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360" w:lineRule="auto"/>
        <w:ind w:firstLine="560" w:firstLineChars="200"/>
        <w:jc w:val="center"/>
        <w:rPr>
          <w:rFonts w:hint="eastAsia" w:ascii="黑体" w:eastAsia="黑体"/>
          <w:b w:val="0"/>
          <w:color w:val="auto"/>
          <w:sz w:val="28"/>
          <w:szCs w:val="28"/>
          <w:highlight w:val="none"/>
        </w:rPr>
      </w:pPr>
      <w:bookmarkStart w:id="0" w:name="_Toc10012"/>
      <w:r>
        <w:rPr>
          <w:rFonts w:hint="eastAsia" w:ascii="黑体" w:eastAsia="黑体"/>
          <w:b w:val="0"/>
          <w:color w:val="auto"/>
          <w:sz w:val="28"/>
          <w:szCs w:val="28"/>
          <w:highlight w:val="none"/>
        </w:rPr>
        <w:t>附录1  资格审查条件（资格最低条件）</w:t>
      </w:r>
      <w:bookmarkEnd w:id="0"/>
    </w:p>
    <w:tbl>
      <w:tblPr>
        <w:tblStyle w:val="6"/>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004"/>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9004" w:type="dxa"/>
            <w:noWrap w:val="0"/>
            <w:vAlign w:val="center"/>
          </w:tcPr>
          <w:p>
            <w:pPr>
              <w:spacing w:line="300" w:lineRule="auto"/>
              <w:jc w:val="center"/>
              <w:rPr>
                <w:rFonts w:hint="eastAsia" w:ascii="宋体" w:hAnsi="宋体"/>
                <w:color w:val="auto"/>
                <w:position w:val="0"/>
                <w:sz w:val="24"/>
                <w:highlight w:val="none"/>
              </w:rPr>
            </w:pPr>
            <w:r>
              <w:rPr>
                <w:rFonts w:hint="eastAsia" w:ascii="宋体" w:hAnsi="宋体"/>
                <w:color w:val="auto"/>
                <w:position w:val="0"/>
                <w:sz w:val="24"/>
                <w:highlight w:val="none"/>
              </w:rPr>
              <w:t>资质等级要求</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66" w:hRule="atLeast"/>
          <w:jc w:val="center"/>
        </w:trPr>
        <w:tc>
          <w:tcPr>
            <w:tcW w:w="9004" w:type="dxa"/>
            <w:noWrap w:val="0"/>
            <w:vAlign w:val="top"/>
          </w:tcPr>
          <w:p>
            <w:pPr>
              <w:spacing w:line="300" w:lineRule="auto"/>
              <w:ind w:firstLine="480" w:firstLineChars="200"/>
              <w:jc w:val="left"/>
              <w:rPr>
                <w:rFonts w:hint="eastAsia" w:ascii="宋体" w:hAnsi="宋体"/>
                <w:color w:val="auto"/>
                <w:position w:val="0"/>
                <w:sz w:val="24"/>
                <w:highlight w:val="none"/>
              </w:rPr>
            </w:pPr>
            <w:r>
              <w:rPr>
                <w:rFonts w:hint="eastAsia" w:ascii="宋体" w:hAnsi="宋体"/>
                <w:color w:val="auto"/>
                <w:sz w:val="24"/>
                <w:highlight w:val="none"/>
              </w:rPr>
              <w:t>投标人应具有有效企业营业执照（或事业单位法人证书），在全国投资项目在线审批监管平台（http://www.tzxm.gov.cn，以下简称在线平台）备案，且工程咨询专业必须包含【公路】、工程咨询服务范围必须包含【项目咨询】。</w:t>
            </w:r>
          </w:p>
        </w:tc>
      </w:tr>
    </w:tbl>
    <w:p>
      <w:pPr>
        <w:rPr>
          <w:rFonts w:hint="eastAsia"/>
          <w:color w:val="auto"/>
          <w:highlight w:val="none"/>
        </w:rPr>
      </w:pPr>
      <w:bookmarkStart w:id="1" w:name="_Toc388103841"/>
    </w:p>
    <w:p>
      <w:pPr>
        <w:pStyle w:val="3"/>
        <w:spacing w:before="0" w:after="0" w:line="360" w:lineRule="auto"/>
        <w:ind w:firstLine="560" w:firstLineChars="200"/>
        <w:jc w:val="center"/>
        <w:rPr>
          <w:rFonts w:hint="eastAsia" w:ascii="黑体" w:eastAsia="黑体"/>
          <w:b w:val="0"/>
          <w:color w:val="auto"/>
          <w:sz w:val="28"/>
          <w:szCs w:val="28"/>
          <w:highlight w:val="none"/>
        </w:rPr>
      </w:pPr>
      <w:bookmarkStart w:id="2" w:name="_Toc7862"/>
      <w:r>
        <w:rPr>
          <w:rFonts w:hint="eastAsia" w:ascii="黑体" w:eastAsia="黑体"/>
          <w:b w:val="0"/>
          <w:color w:val="auto"/>
          <w:sz w:val="28"/>
          <w:szCs w:val="28"/>
          <w:highlight w:val="none"/>
        </w:rPr>
        <w:t>附录</w:t>
      </w:r>
      <w:r>
        <w:rPr>
          <w:rFonts w:hint="eastAsia" w:ascii="黑体" w:eastAsia="黑体"/>
          <w:b w:val="0"/>
          <w:color w:val="auto"/>
          <w:sz w:val="28"/>
          <w:szCs w:val="28"/>
          <w:highlight w:val="none"/>
          <w:lang w:val="en-US" w:eastAsia="zh-CN"/>
        </w:rPr>
        <w:t>2</w:t>
      </w:r>
      <w:r>
        <w:rPr>
          <w:rFonts w:hint="eastAsia" w:ascii="黑体" w:eastAsia="黑体"/>
          <w:b w:val="0"/>
          <w:color w:val="auto"/>
          <w:sz w:val="28"/>
          <w:szCs w:val="28"/>
          <w:highlight w:val="none"/>
        </w:rPr>
        <w:t xml:space="preserve">  资格审查条件（信誉最低要求）</w:t>
      </w:r>
      <w:bookmarkEnd w:id="1"/>
      <w:bookmarkEnd w:id="2"/>
    </w:p>
    <w:tbl>
      <w:tblPr>
        <w:tblStyle w:val="6"/>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313"/>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jc w:val="center"/>
        </w:trPr>
        <w:tc>
          <w:tcPr>
            <w:tcW w:w="9313" w:type="dxa"/>
            <w:noWrap w:val="0"/>
            <w:vAlign w:val="center"/>
          </w:tcPr>
          <w:p>
            <w:pPr>
              <w:jc w:val="center"/>
              <w:rPr>
                <w:rFonts w:hint="eastAsia"/>
                <w:color w:val="auto"/>
                <w:sz w:val="24"/>
                <w:highlight w:val="none"/>
              </w:rPr>
            </w:pPr>
            <w:r>
              <w:rPr>
                <w:rFonts w:hint="eastAsia"/>
                <w:color w:val="auto"/>
                <w:sz w:val="24"/>
                <w:highlight w:val="none"/>
              </w:rPr>
              <w:t>信 誉 要 求</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86" w:hRule="atLeast"/>
          <w:jc w:val="center"/>
        </w:trPr>
        <w:tc>
          <w:tcPr>
            <w:tcW w:w="9313" w:type="dxa"/>
            <w:noWrap w:val="0"/>
            <w:vAlign w:val="top"/>
          </w:tcPr>
          <w:p>
            <w:pPr>
              <w:widowControl/>
              <w:ind w:firstLine="480" w:firstLineChars="200"/>
              <w:jc w:val="left"/>
              <w:rPr>
                <w:rFonts w:hint="eastAsia" w:ascii="宋体" w:hAnsi="宋体"/>
                <w:color w:val="auto"/>
                <w:position w:val="0"/>
                <w:sz w:val="24"/>
                <w:highlight w:val="none"/>
              </w:rPr>
            </w:pPr>
            <w:r>
              <w:rPr>
                <w:rFonts w:hint="eastAsia" w:ascii="宋体" w:hAnsi="宋体"/>
                <w:color w:val="auto"/>
                <w:position w:val="0"/>
                <w:sz w:val="24"/>
                <w:highlight w:val="none"/>
              </w:rPr>
              <w:t>应同时满足：</w:t>
            </w:r>
          </w:p>
          <w:p>
            <w:pPr>
              <w:widowControl/>
              <w:ind w:firstLine="480" w:firstLineChars="200"/>
              <w:jc w:val="left"/>
              <w:rPr>
                <w:rFonts w:hint="eastAsia" w:ascii="宋体" w:hAnsi="宋体"/>
                <w:color w:val="auto"/>
                <w:position w:val="0"/>
                <w:sz w:val="24"/>
                <w:highlight w:val="none"/>
              </w:rPr>
            </w:pPr>
            <w:r>
              <w:rPr>
                <w:rFonts w:hint="eastAsia" w:ascii="宋体" w:hAnsi="宋体"/>
                <w:color w:val="auto"/>
                <w:position w:val="0"/>
                <w:sz w:val="24"/>
                <w:highlight w:val="none"/>
              </w:rPr>
              <w:t>投标人基本账户未处于被查封、冻结状态；财务未处于被接管状态；投标人未处于破产的状态。</w:t>
            </w:r>
          </w:p>
        </w:tc>
      </w:tr>
    </w:tbl>
    <w:p>
      <w:pPr>
        <w:rPr>
          <w:rFonts w:hint="eastAsia"/>
          <w:color w:val="auto"/>
          <w:highlight w:val="none"/>
        </w:rPr>
      </w:pPr>
    </w:p>
    <w:p>
      <w:pPr>
        <w:pStyle w:val="3"/>
        <w:spacing w:before="0" w:after="0" w:line="360" w:lineRule="auto"/>
        <w:ind w:firstLine="560" w:firstLineChars="200"/>
        <w:jc w:val="center"/>
        <w:rPr>
          <w:rFonts w:hint="eastAsia" w:ascii="黑体" w:eastAsia="黑体"/>
          <w:b w:val="0"/>
          <w:color w:val="auto"/>
          <w:sz w:val="28"/>
          <w:szCs w:val="28"/>
          <w:highlight w:val="none"/>
        </w:rPr>
      </w:pPr>
      <w:bookmarkStart w:id="3" w:name="_Toc24186"/>
      <w:bookmarkStart w:id="4" w:name="_Toc388103842"/>
      <w:r>
        <w:rPr>
          <w:rFonts w:hint="eastAsia" w:ascii="黑体" w:eastAsia="黑体"/>
          <w:b w:val="0"/>
          <w:color w:val="auto"/>
          <w:sz w:val="28"/>
          <w:szCs w:val="28"/>
          <w:highlight w:val="none"/>
        </w:rPr>
        <w:t>附录</w:t>
      </w:r>
      <w:r>
        <w:rPr>
          <w:rFonts w:hint="eastAsia" w:ascii="黑体" w:eastAsia="黑体"/>
          <w:b w:val="0"/>
          <w:color w:val="auto"/>
          <w:sz w:val="28"/>
          <w:szCs w:val="28"/>
          <w:highlight w:val="none"/>
          <w:lang w:val="en-US" w:eastAsia="zh-CN"/>
        </w:rPr>
        <w:t>3</w:t>
      </w:r>
      <w:r>
        <w:rPr>
          <w:rFonts w:hint="eastAsia" w:ascii="黑体" w:eastAsia="黑体"/>
          <w:b w:val="0"/>
          <w:color w:val="auto"/>
          <w:sz w:val="28"/>
          <w:szCs w:val="28"/>
          <w:highlight w:val="none"/>
        </w:rPr>
        <w:t xml:space="preserve">  资格审查条件（主要人员资格最低要求）</w:t>
      </w:r>
      <w:bookmarkEnd w:id="3"/>
      <w:bookmarkEnd w:id="4"/>
    </w:p>
    <w:tbl>
      <w:tblPr>
        <w:tblStyle w:val="6"/>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469"/>
        <w:gridCol w:w="829"/>
        <w:gridCol w:w="6005"/>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89" w:hRule="atLeast"/>
          <w:jc w:val="center"/>
        </w:trPr>
        <w:tc>
          <w:tcPr>
            <w:tcW w:w="2178" w:type="dxa"/>
            <w:gridSpan w:val="2"/>
            <w:noWrap w:val="0"/>
            <w:vAlign w:val="center"/>
          </w:tcPr>
          <w:p>
            <w:pPr>
              <w:jc w:val="center"/>
              <w:rPr>
                <w:rFonts w:hint="eastAsia"/>
                <w:color w:val="auto"/>
                <w:sz w:val="24"/>
                <w:szCs w:val="24"/>
                <w:highlight w:val="none"/>
              </w:rPr>
            </w:pPr>
            <w:bookmarkStart w:id="5" w:name="_Hlk91537691"/>
            <w:r>
              <w:rPr>
                <w:rFonts w:hint="eastAsia"/>
                <w:color w:val="auto"/>
                <w:sz w:val="24"/>
                <w:szCs w:val="24"/>
                <w:highlight w:val="none"/>
              </w:rPr>
              <w:t>人  员</w:t>
            </w:r>
          </w:p>
        </w:tc>
        <w:tc>
          <w:tcPr>
            <w:tcW w:w="829" w:type="dxa"/>
            <w:noWrap w:val="0"/>
            <w:vAlign w:val="center"/>
          </w:tcPr>
          <w:p>
            <w:pPr>
              <w:jc w:val="center"/>
              <w:rPr>
                <w:rFonts w:hint="eastAsia"/>
                <w:color w:val="auto"/>
                <w:sz w:val="24"/>
                <w:szCs w:val="24"/>
                <w:highlight w:val="none"/>
              </w:rPr>
            </w:pPr>
            <w:r>
              <w:rPr>
                <w:rFonts w:hint="eastAsia"/>
                <w:color w:val="auto"/>
                <w:sz w:val="24"/>
                <w:szCs w:val="24"/>
                <w:highlight w:val="none"/>
              </w:rPr>
              <w:t>数 量</w:t>
            </w:r>
          </w:p>
        </w:tc>
        <w:tc>
          <w:tcPr>
            <w:tcW w:w="6005" w:type="dxa"/>
            <w:noWrap w:val="0"/>
            <w:vAlign w:val="center"/>
          </w:tcPr>
          <w:p>
            <w:pPr>
              <w:jc w:val="center"/>
              <w:rPr>
                <w:rFonts w:hint="eastAsia"/>
                <w:color w:val="auto"/>
                <w:sz w:val="24"/>
                <w:szCs w:val="24"/>
                <w:highlight w:val="none"/>
              </w:rPr>
            </w:pPr>
            <w:r>
              <w:rPr>
                <w:rFonts w:hint="eastAsia"/>
                <w:color w:val="auto"/>
                <w:sz w:val="24"/>
                <w:szCs w:val="24"/>
                <w:highlight w:val="none"/>
              </w:rPr>
              <w:t>资 格 要 求</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09" w:hRule="atLeast"/>
          <w:jc w:val="center"/>
        </w:trPr>
        <w:tc>
          <w:tcPr>
            <w:tcW w:w="2178" w:type="dxa"/>
            <w:gridSpan w:val="2"/>
            <w:noWrap w:val="0"/>
            <w:vAlign w:val="center"/>
          </w:tcPr>
          <w:p>
            <w:pPr>
              <w:jc w:val="center"/>
              <w:rPr>
                <w:rFonts w:hint="eastAsia" w:ascii="宋体" w:hAnsi="宋体"/>
                <w:color w:val="auto"/>
                <w:sz w:val="24"/>
                <w:szCs w:val="24"/>
                <w:highlight w:val="none"/>
              </w:rPr>
            </w:pPr>
            <w:r>
              <w:rPr>
                <w:rFonts w:hint="eastAsia" w:ascii="宋体" w:hAnsi="宋体"/>
                <w:bCs/>
                <w:color w:val="auto"/>
                <w:kern w:val="0"/>
                <w:position w:val="0"/>
                <w:sz w:val="24"/>
                <w:szCs w:val="24"/>
                <w:highlight w:val="none"/>
              </w:rPr>
              <w:t>项目负责人</w:t>
            </w:r>
          </w:p>
        </w:tc>
        <w:tc>
          <w:tcPr>
            <w:tcW w:w="829" w:type="dxa"/>
            <w:noWrap w:val="0"/>
            <w:vAlign w:val="center"/>
          </w:tcPr>
          <w:p>
            <w:pPr>
              <w:widowControl/>
              <w:ind w:left="-22"/>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6005" w:type="dxa"/>
            <w:noWrap w:val="0"/>
            <w:vAlign w:val="center"/>
          </w:tcPr>
          <w:p>
            <w:pPr>
              <w:spacing w:line="300" w:lineRule="exact"/>
              <w:rPr>
                <w:rFonts w:hint="eastAsia" w:ascii="宋体" w:hAnsi="宋体"/>
                <w:color w:val="auto"/>
                <w:position w:val="0"/>
                <w:sz w:val="24"/>
                <w:szCs w:val="24"/>
                <w:highlight w:val="none"/>
              </w:rPr>
            </w:pPr>
            <w:r>
              <w:rPr>
                <w:rFonts w:hint="eastAsia" w:ascii="宋体" w:hAnsi="宋体"/>
                <w:bCs/>
                <w:color w:val="auto"/>
                <w:kern w:val="0"/>
                <w:position w:val="0"/>
                <w:sz w:val="24"/>
                <w:szCs w:val="24"/>
                <w:highlight w:val="none"/>
              </w:rPr>
              <w:t>副高级或以上职称</w:t>
            </w:r>
            <w:r>
              <w:rPr>
                <w:rFonts w:hint="eastAsia" w:ascii="宋体" w:hAnsi="宋体"/>
                <w:color w:val="auto"/>
                <w:position w:val="0"/>
                <w:sz w:val="24"/>
                <w:szCs w:val="24"/>
                <w:highlight w:val="none"/>
              </w:rPr>
              <w:t>，</w:t>
            </w:r>
            <w:r>
              <w:rPr>
                <w:rFonts w:ascii="宋体" w:hAnsi="宋体"/>
                <w:color w:val="auto"/>
                <w:position w:val="0"/>
                <w:sz w:val="24"/>
                <w:szCs w:val="24"/>
                <w:highlight w:val="none"/>
              </w:rPr>
              <w:t>取得注册咨询工程师</w:t>
            </w:r>
            <w:r>
              <w:rPr>
                <w:rFonts w:hint="eastAsia" w:ascii="宋体" w:hAnsi="宋体"/>
                <w:color w:val="auto"/>
                <w:position w:val="0"/>
                <w:sz w:val="24"/>
                <w:szCs w:val="24"/>
                <w:highlight w:val="none"/>
              </w:rPr>
              <w:t>职业</w:t>
            </w:r>
            <w:r>
              <w:rPr>
                <w:rFonts w:ascii="宋体" w:hAnsi="宋体"/>
                <w:color w:val="auto"/>
                <w:position w:val="0"/>
                <w:sz w:val="24"/>
                <w:szCs w:val="24"/>
                <w:highlight w:val="none"/>
              </w:rPr>
              <w:t>资格证书，注册在本单位并取得执业登记证书</w:t>
            </w:r>
            <w:r>
              <w:rPr>
                <w:rFonts w:hint="eastAsia" w:ascii="宋体" w:hAnsi="宋体"/>
                <w:color w:val="auto"/>
                <w:position w:val="0"/>
                <w:sz w:val="24"/>
                <w:szCs w:val="24"/>
                <w:highlight w:val="none"/>
              </w:rPr>
              <w:t>。</w:t>
            </w:r>
            <w:r>
              <w:rPr>
                <w:rFonts w:ascii="宋体" w:hAnsi="宋体"/>
                <w:color w:val="auto"/>
                <w:position w:val="0"/>
                <w:sz w:val="24"/>
                <w:szCs w:val="24"/>
                <w:highlight w:val="none"/>
              </w:rPr>
              <w:t>近</w:t>
            </w:r>
            <w:r>
              <w:rPr>
                <w:rFonts w:hint="eastAsia" w:ascii="宋体" w:hAnsi="宋体"/>
                <w:color w:val="auto"/>
                <w:position w:val="0"/>
                <w:sz w:val="24"/>
                <w:szCs w:val="24"/>
                <w:highlight w:val="none"/>
              </w:rPr>
              <w:t>五</w:t>
            </w:r>
            <w:r>
              <w:rPr>
                <w:rFonts w:ascii="宋体" w:hAnsi="宋体"/>
                <w:color w:val="auto"/>
                <w:position w:val="0"/>
                <w:sz w:val="24"/>
                <w:szCs w:val="24"/>
                <w:highlight w:val="none"/>
              </w:rPr>
              <w:t>年</w:t>
            </w:r>
            <w:r>
              <w:rPr>
                <w:rFonts w:hint="eastAsia" w:ascii="宋体" w:hAnsi="宋体"/>
                <w:color w:val="auto"/>
                <w:position w:val="0"/>
                <w:sz w:val="24"/>
                <w:szCs w:val="24"/>
                <w:highlight w:val="none"/>
              </w:rPr>
              <w:t>（201</w:t>
            </w:r>
            <w:r>
              <w:rPr>
                <w:rFonts w:ascii="宋体" w:hAnsi="宋体"/>
                <w:color w:val="auto"/>
                <w:position w:val="0"/>
                <w:sz w:val="24"/>
                <w:szCs w:val="24"/>
                <w:highlight w:val="none"/>
              </w:rPr>
              <w:t>7</w:t>
            </w:r>
            <w:r>
              <w:rPr>
                <w:rFonts w:hint="eastAsia" w:ascii="宋体" w:hAnsi="宋体"/>
                <w:color w:val="auto"/>
                <w:position w:val="0"/>
                <w:sz w:val="24"/>
                <w:szCs w:val="24"/>
                <w:highlight w:val="none"/>
              </w:rPr>
              <w:t>年1月1日至今）</w:t>
            </w:r>
            <w:r>
              <w:rPr>
                <w:rFonts w:hint="eastAsia" w:ascii="宋体" w:hAnsi="宋体"/>
                <w:bCs/>
                <w:color w:val="auto"/>
                <w:kern w:val="0"/>
                <w:position w:val="0"/>
                <w:sz w:val="24"/>
                <w:szCs w:val="24"/>
                <w:highlight w:val="none"/>
              </w:rPr>
              <w:t>担任过</w:t>
            </w:r>
            <w:r>
              <w:rPr>
                <w:rFonts w:ascii="宋体" w:hAnsi="宋体"/>
                <w:bCs/>
                <w:color w:val="auto"/>
                <w:position w:val="0"/>
                <w:sz w:val="24"/>
                <w:szCs w:val="24"/>
                <w:highlight w:val="none"/>
              </w:rPr>
              <w:t>1</w:t>
            </w:r>
            <w:r>
              <w:rPr>
                <w:rFonts w:hint="eastAsia" w:ascii="宋体" w:hAnsi="宋体"/>
                <w:bCs/>
                <w:color w:val="auto"/>
                <w:position w:val="0"/>
                <w:sz w:val="24"/>
                <w:szCs w:val="24"/>
                <w:highlight w:val="none"/>
              </w:rPr>
              <w:t>项</w:t>
            </w:r>
            <w:r>
              <w:rPr>
                <w:rFonts w:hint="eastAsia" w:ascii="宋体" w:hAnsi="宋体"/>
                <w:bCs/>
                <w:color w:val="auto"/>
                <w:position w:val="0"/>
                <w:sz w:val="24"/>
                <w:szCs w:val="24"/>
                <w:highlight w:val="none"/>
                <w:lang w:eastAsia="zh-CN"/>
              </w:rPr>
              <w:t>高速</w:t>
            </w:r>
            <w:r>
              <w:rPr>
                <w:rFonts w:hint="eastAsia" w:ascii="宋体" w:hAnsi="宋体"/>
                <w:bCs/>
                <w:color w:val="auto"/>
                <w:position w:val="0"/>
                <w:sz w:val="24"/>
                <w:szCs w:val="24"/>
                <w:highlight w:val="none"/>
              </w:rPr>
              <w:t>公路工程项目工程可行性研究报告编制</w:t>
            </w:r>
            <w:bookmarkStart w:id="6" w:name="_Hlk44086742"/>
            <w:r>
              <w:rPr>
                <w:rFonts w:hint="eastAsia" w:ascii="宋体" w:hAnsi="宋体"/>
                <w:bCs/>
                <w:color w:val="auto"/>
                <w:position w:val="0"/>
                <w:sz w:val="24"/>
                <w:szCs w:val="24"/>
                <w:highlight w:val="none"/>
              </w:rPr>
              <w:t>项目负责人</w:t>
            </w:r>
            <w:bookmarkEnd w:id="6"/>
            <w:r>
              <w:rPr>
                <w:rFonts w:hint="eastAsia" w:ascii="宋体" w:hAnsi="宋体"/>
                <w:bCs/>
                <w:color w:val="auto"/>
                <w:position w:val="0"/>
                <w:sz w:val="24"/>
                <w:szCs w:val="24"/>
                <w:highlight w:val="none"/>
              </w:rPr>
              <w:t>（以取得的批复文件为准）。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93" w:hRule="atLeast"/>
          <w:jc w:val="center"/>
        </w:trPr>
        <w:tc>
          <w:tcPr>
            <w:tcW w:w="709" w:type="dxa"/>
            <w:vMerge w:val="restart"/>
            <w:tcBorders>
              <w:top w:val="single" w:color="auto" w:sz="4" w:space="0"/>
              <w:right w:val="single" w:color="auto" w:sz="4" w:space="0"/>
            </w:tcBorders>
            <w:noWrap w:val="0"/>
            <w:vAlign w:val="center"/>
          </w:tcPr>
          <w:p>
            <w:pPr>
              <w:jc w:val="center"/>
              <w:rPr>
                <w:rFonts w:hint="eastAsia" w:ascii="宋体" w:hAnsi="宋体"/>
                <w:color w:val="auto"/>
                <w:sz w:val="24"/>
                <w:szCs w:val="24"/>
                <w:highlight w:val="none"/>
              </w:rPr>
            </w:pPr>
            <w:r>
              <w:rPr>
                <w:rFonts w:hint="eastAsia" w:ascii="宋体" w:hAnsi="宋体"/>
                <w:color w:val="auto"/>
                <w:sz w:val="24"/>
                <w:szCs w:val="24"/>
                <w:highlight w:val="none"/>
              </w:rPr>
              <w:t>其他主要人员</w:t>
            </w:r>
          </w:p>
        </w:tc>
        <w:tc>
          <w:tcPr>
            <w:tcW w:w="1469" w:type="dxa"/>
            <w:tcBorders>
              <w:left w:val="single" w:color="auto" w:sz="4" w:space="0"/>
            </w:tcBorders>
            <w:noWrap w:val="0"/>
            <w:vAlign w:val="center"/>
          </w:tcPr>
          <w:p>
            <w:pPr>
              <w:spacing w:line="260" w:lineRule="exact"/>
              <w:jc w:val="center"/>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路线分项负责人</w:t>
            </w:r>
          </w:p>
        </w:tc>
        <w:tc>
          <w:tcPr>
            <w:tcW w:w="829" w:type="dxa"/>
            <w:noWrap w:val="0"/>
            <w:vAlign w:val="center"/>
          </w:tcPr>
          <w:p>
            <w:pPr>
              <w:widowControl/>
              <w:ind w:left="-22"/>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6005" w:type="dxa"/>
            <w:noWrap w:val="0"/>
            <w:vAlign w:val="center"/>
          </w:tcPr>
          <w:p>
            <w:pPr>
              <w:spacing w:line="300" w:lineRule="exact"/>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中级或以上职称，5年以上（含5年）</w:t>
            </w:r>
            <w:r>
              <w:rPr>
                <w:rFonts w:hint="eastAsia" w:ascii="宋体" w:hAnsi="宋体"/>
                <w:bCs/>
                <w:color w:val="auto"/>
                <w:kern w:val="0"/>
                <w:position w:val="0"/>
                <w:sz w:val="24"/>
                <w:szCs w:val="24"/>
                <w:highlight w:val="none"/>
                <w:lang w:eastAsia="zh-CN"/>
              </w:rPr>
              <w:t>高速</w:t>
            </w:r>
            <w:r>
              <w:rPr>
                <w:rFonts w:hint="eastAsia" w:ascii="宋体" w:hAnsi="宋体"/>
                <w:bCs/>
                <w:color w:val="auto"/>
                <w:kern w:val="0"/>
                <w:position w:val="0"/>
                <w:sz w:val="24"/>
                <w:szCs w:val="24"/>
                <w:highlight w:val="none"/>
              </w:rPr>
              <w:t>公路工程可行性研究报告编制工作经验。</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709" w:type="dxa"/>
            <w:vMerge w:val="continue"/>
            <w:tcBorders>
              <w:right w:val="single" w:color="auto" w:sz="4" w:space="0"/>
            </w:tcBorders>
            <w:noWrap w:val="0"/>
            <w:vAlign w:val="center"/>
          </w:tcPr>
          <w:p>
            <w:pPr>
              <w:jc w:val="center"/>
              <w:rPr>
                <w:rFonts w:hint="eastAsia" w:ascii="宋体" w:hAnsi="宋体"/>
                <w:color w:val="auto"/>
                <w:sz w:val="24"/>
                <w:szCs w:val="24"/>
                <w:highlight w:val="none"/>
              </w:rPr>
            </w:pPr>
          </w:p>
        </w:tc>
        <w:tc>
          <w:tcPr>
            <w:tcW w:w="1469" w:type="dxa"/>
            <w:tcBorders>
              <w:left w:val="single" w:color="auto" w:sz="4" w:space="0"/>
            </w:tcBorders>
            <w:noWrap w:val="0"/>
            <w:vAlign w:val="center"/>
          </w:tcPr>
          <w:p>
            <w:pPr>
              <w:spacing w:line="260" w:lineRule="exact"/>
              <w:jc w:val="center"/>
              <w:rPr>
                <w:rFonts w:hint="eastAsia"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路基路面分项负责人</w:t>
            </w:r>
          </w:p>
        </w:tc>
        <w:tc>
          <w:tcPr>
            <w:tcW w:w="829" w:type="dxa"/>
            <w:noWrap w:val="0"/>
            <w:vAlign w:val="center"/>
          </w:tcPr>
          <w:p>
            <w:pPr>
              <w:widowControl/>
              <w:ind w:left="-22"/>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6005" w:type="dxa"/>
            <w:noWrap w:val="0"/>
            <w:vAlign w:val="center"/>
          </w:tcPr>
          <w:p>
            <w:pPr>
              <w:spacing w:line="300" w:lineRule="exact"/>
              <w:rPr>
                <w:rFonts w:hint="eastAsia"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中级或以上职称，5年以上（含5年）</w:t>
            </w:r>
            <w:r>
              <w:rPr>
                <w:rFonts w:hint="eastAsia" w:ascii="宋体" w:hAnsi="宋体"/>
                <w:bCs/>
                <w:color w:val="auto"/>
                <w:kern w:val="0"/>
                <w:position w:val="0"/>
                <w:sz w:val="24"/>
                <w:szCs w:val="24"/>
                <w:highlight w:val="none"/>
                <w:lang w:eastAsia="zh-CN"/>
              </w:rPr>
              <w:t>高速</w:t>
            </w:r>
            <w:r>
              <w:rPr>
                <w:rFonts w:hint="eastAsia" w:ascii="宋体" w:hAnsi="宋体"/>
                <w:bCs/>
                <w:color w:val="auto"/>
                <w:kern w:val="0"/>
                <w:position w:val="0"/>
                <w:sz w:val="24"/>
                <w:szCs w:val="24"/>
                <w:highlight w:val="none"/>
              </w:rPr>
              <w:t>公路工程可行性研究报告编制工作经验。</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709" w:type="dxa"/>
            <w:vMerge w:val="continue"/>
            <w:tcBorders>
              <w:right w:val="single" w:color="auto" w:sz="4" w:space="0"/>
            </w:tcBorders>
            <w:noWrap w:val="0"/>
            <w:vAlign w:val="center"/>
          </w:tcPr>
          <w:p>
            <w:pPr>
              <w:jc w:val="center"/>
              <w:rPr>
                <w:rFonts w:hint="eastAsia" w:ascii="宋体" w:hAnsi="宋体"/>
                <w:color w:val="auto"/>
                <w:sz w:val="24"/>
                <w:szCs w:val="24"/>
                <w:highlight w:val="none"/>
              </w:rPr>
            </w:pPr>
          </w:p>
        </w:tc>
        <w:tc>
          <w:tcPr>
            <w:tcW w:w="1469" w:type="dxa"/>
            <w:tcBorders>
              <w:left w:val="single" w:color="auto" w:sz="4" w:space="0"/>
            </w:tcBorders>
            <w:noWrap w:val="0"/>
            <w:vAlign w:val="center"/>
          </w:tcPr>
          <w:p>
            <w:pPr>
              <w:spacing w:line="260" w:lineRule="exact"/>
              <w:jc w:val="center"/>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桥涵分项负责人</w:t>
            </w:r>
          </w:p>
        </w:tc>
        <w:tc>
          <w:tcPr>
            <w:tcW w:w="829" w:type="dxa"/>
            <w:noWrap w:val="0"/>
            <w:vAlign w:val="center"/>
          </w:tcPr>
          <w:p>
            <w:pPr>
              <w:widowControl/>
              <w:ind w:left="-22"/>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6005" w:type="dxa"/>
            <w:noWrap w:val="0"/>
            <w:vAlign w:val="center"/>
          </w:tcPr>
          <w:p>
            <w:pPr>
              <w:spacing w:line="300" w:lineRule="exact"/>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中级或以上职称，5年以上（含5年）</w:t>
            </w:r>
            <w:r>
              <w:rPr>
                <w:rFonts w:hint="eastAsia" w:ascii="宋体" w:hAnsi="宋体"/>
                <w:bCs/>
                <w:color w:val="auto"/>
                <w:kern w:val="0"/>
                <w:position w:val="0"/>
                <w:sz w:val="24"/>
                <w:szCs w:val="24"/>
                <w:highlight w:val="none"/>
                <w:lang w:eastAsia="zh-CN"/>
              </w:rPr>
              <w:t>高速</w:t>
            </w:r>
            <w:r>
              <w:rPr>
                <w:rFonts w:hint="eastAsia" w:ascii="宋体" w:hAnsi="宋体"/>
                <w:bCs/>
                <w:color w:val="auto"/>
                <w:kern w:val="0"/>
                <w:position w:val="0"/>
                <w:sz w:val="24"/>
                <w:szCs w:val="24"/>
                <w:highlight w:val="none"/>
              </w:rPr>
              <w:t>公路工程可行性研究报告编制工作经验。</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709" w:type="dxa"/>
            <w:vMerge w:val="continue"/>
            <w:tcBorders>
              <w:right w:val="single" w:color="auto" w:sz="4" w:space="0"/>
            </w:tcBorders>
            <w:noWrap w:val="0"/>
            <w:vAlign w:val="center"/>
          </w:tcPr>
          <w:p>
            <w:pPr>
              <w:jc w:val="center"/>
              <w:rPr>
                <w:rFonts w:hint="eastAsia" w:ascii="宋体" w:hAnsi="宋体"/>
                <w:color w:val="auto"/>
                <w:sz w:val="24"/>
                <w:szCs w:val="24"/>
                <w:highlight w:val="none"/>
              </w:rPr>
            </w:pPr>
          </w:p>
        </w:tc>
        <w:tc>
          <w:tcPr>
            <w:tcW w:w="1469" w:type="dxa"/>
            <w:tcBorders>
              <w:left w:val="single" w:color="auto" w:sz="4" w:space="0"/>
            </w:tcBorders>
            <w:noWrap w:val="0"/>
            <w:vAlign w:val="center"/>
          </w:tcPr>
          <w:p>
            <w:pPr>
              <w:spacing w:line="260" w:lineRule="exact"/>
              <w:jc w:val="center"/>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隧道分项负责人</w:t>
            </w:r>
          </w:p>
        </w:tc>
        <w:tc>
          <w:tcPr>
            <w:tcW w:w="829" w:type="dxa"/>
            <w:noWrap w:val="0"/>
            <w:vAlign w:val="center"/>
          </w:tcPr>
          <w:p>
            <w:pPr>
              <w:widowControl/>
              <w:ind w:left="-22"/>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6005" w:type="dxa"/>
            <w:noWrap w:val="0"/>
            <w:vAlign w:val="center"/>
          </w:tcPr>
          <w:p>
            <w:pPr>
              <w:spacing w:line="300" w:lineRule="exact"/>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中级或以上职称，5年以上（含5年）</w:t>
            </w:r>
            <w:r>
              <w:rPr>
                <w:rFonts w:hint="eastAsia" w:ascii="宋体" w:hAnsi="宋体"/>
                <w:bCs/>
                <w:color w:val="auto"/>
                <w:kern w:val="0"/>
                <w:position w:val="0"/>
                <w:sz w:val="24"/>
                <w:szCs w:val="24"/>
                <w:highlight w:val="none"/>
                <w:lang w:eastAsia="zh-CN"/>
              </w:rPr>
              <w:t>高速</w:t>
            </w:r>
            <w:r>
              <w:rPr>
                <w:rFonts w:hint="eastAsia" w:ascii="宋体" w:hAnsi="宋体"/>
                <w:bCs/>
                <w:color w:val="auto"/>
                <w:kern w:val="0"/>
                <w:position w:val="0"/>
                <w:sz w:val="24"/>
                <w:szCs w:val="24"/>
                <w:highlight w:val="none"/>
              </w:rPr>
              <w:t>公路工程可行性研究报告编制工作经验。</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3" w:hRule="atLeast"/>
          <w:jc w:val="center"/>
        </w:trPr>
        <w:tc>
          <w:tcPr>
            <w:tcW w:w="709" w:type="dxa"/>
            <w:vMerge w:val="continue"/>
            <w:tcBorders>
              <w:right w:val="single" w:color="auto" w:sz="4" w:space="0"/>
            </w:tcBorders>
            <w:noWrap w:val="0"/>
            <w:vAlign w:val="center"/>
          </w:tcPr>
          <w:p>
            <w:pPr>
              <w:jc w:val="center"/>
              <w:rPr>
                <w:rFonts w:hint="eastAsia" w:ascii="宋体" w:hAnsi="宋体"/>
                <w:color w:val="auto"/>
                <w:sz w:val="24"/>
                <w:szCs w:val="24"/>
                <w:highlight w:val="none"/>
              </w:rPr>
            </w:pPr>
          </w:p>
        </w:tc>
        <w:tc>
          <w:tcPr>
            <w:tcW w:w="1469" w:type="dxa"/>
            <w:tcBorders>
              <w:left w:val="single" w:color="auto" w:sz="4" w:space="0"/>
            </w:tcBorders>
            <w:noWrap w:val="0"/>
            <w:vAlign w:val="center"/>
          </w:tcPr>
          <w:p>
            <w:pPr>
              <w:spacing w:line="260" w:lineRule="exact"/>
              <w:jc w:val="center"/>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工程地质分项负责人</w:t>
            </w:r>
          </w:p>
        </w:tc>
        <w:tc>
          <w:tcPr>
            <w:tcW w:w="829" w:type="dxa"/>
            <w:noWrap w:val="0"/>
            <w:vAlign w:val="center"/>
          </w:tcPr>
          <w:p>
            <w:pPr>
              <w:widowControl/>
              <w:ind w:left="-22"/>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6005" w:type="dxa"/>
            <w:noWrap w:val="0"/>
            <w:vAlign w:val="center"/>
          </w:tcPr>
          <w:p>
            <w:pPr>
              <w:spacing w:line="300" w:lineRule="exact"/>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中级或以上职称，并具有注册土木工程师（岩土）执业证书，5年以上（含5年）</w:t>
            </w:r>
            <w:r>
              <w:rPr>
                <w:rFonts w:hint="eastAsia" w:ascii="宋体" w:hAnsi="宋体"/>
                <w:bCs/>
                <w:color w:val="auto"/>
                <w:kern w:val="0"/>
                <w:position w:val="0"/>
                <w:sz w:val="24"/>
                <w:szCs w:val="24"/>
                <w:highlight w:val="none"/>
                <w:lang w:eastAsia="zh-CN"/>
              </w:rPr>
              <w:t>高速</w:t>
            </w:r>
            <w:r>
              <w:rPr>
                <w:rFonts w:hint="eastAsia" w:ascii="宋体" w:hAnsi="宋体"/>
                <w:bCs/>
                <w:color w:val="auto"/>
                <w:kern w:val="0"/>
                <w:position w:val="0"/>
                <w:sz w:val="24"/>
                <w:szCs w:val="24"/>
                <w:highlight w:val="none"/>
              </w:rPr>
              <w:t>公路工程可行性研究报告编制工作经验。</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3" w:hRule="atLeast"/>
          <w:jc w:val="center"/>
        </w:trPr>
        <w:tc>
          <w:tcPr>
            <w:tcW w:w="709" w:type="dxa"/>
            <w:vMerge w:val="continue"/>
            <w:tcBorders>
              <w:right w:val="single" w:color="auto" w:sz="4" w:space="0"/>
            </w:tcBorders>
            <w:noWrap w:val="0"/>
            <w:vAlign w:val="center"/>
          </w:tcPr>
          <w:p>
            <w:pPr>
              <w:jc w:val="center"/>
              <w:rPr>
                <w:rFonts w:hint="eastAsia" w:ascii="宋体" w:hAnsi="宋体"/>
                <w:color w:val="auto"/>
                <w:sz w:val="24"/>
                <w:szCs w:val="24"/>
                <w:highlight w:val="none"/>
              </w:rPr>
            </w:pPr>
          </w:p>
        </w:tc>
        <w:tc>
          <w:tcPr>
            <w:tcW w:w="1469" w:type="dxa"/>
            <w:tcBorders>
              <w:left w:val="single" w:color="auto" w:sz="4" w:space="0"/>
            </w:tcBorders>
            <w:noWrap w:val="0"/>
            <w:vAlign w:val="center"/>
          </w:tcPr>
          <w:p>
            <w:pPr>
              <w:spacing w:line="260" w:lineRule="exact"/>
              <w:jc w:val="center"/>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造价分项负责人</w:t>
            </w:r>
          </w:p>
        </w:tc>
        <w:tc>
          <w:tcPr>
            <w:tcW w:w="829" w:type="dxa"/>
            <w:noWrap w:val="0"/>
            <w:vAlign w:val="center"/>
          </w:tcPr>
          <w:p>
            <w:pPr>
              <w:widowControl/>
              <w:ind w:left="-22"/>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6005" w:type="dxa"/>
            <w:noWrap w:val="0"/>
            <w:vAlign w:val="center"/>
          </w:tcPr>
          <w:p>
            <w:pPr>
              <w:spacing w:line="300" w:lineRule="exact"/>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中级或以上职称，并具有交通运输部甲级造价工程师资格证书或一级造价工程师（交通运输工程）资格证书，5年以上（含5年）</w:t>
            </w:r>
            <w:r>
              <w:rPr>
                <w:rFonts w:hint="eastAsia" w:ascii="宋体" w:hAnsi="宋体"/>
                <w:bCs/>
                <w:color w:val="auto"/>
                <w:kern w:val="0"/>
                <w:position w:val="0"/>
                <w:sz w:val="24"/>
                <w:szCs w:val="24"/>
                <w:highlight w:val="none"/>
                <w:lang w:eastAsia="zh-CN"/>
              </w:rPr>
              <w:t>高速</w:t>
            </w:r>
            <w:r>
              <w:rPr>
                <w:rFonts w:hint="eastAsia" w:ascii="宋体" w:hAnsi="宋体"/>
                <w:bCs/>
                <w:color w:val="auto"/>
                <w:kern w:val="0"/>
                <w:position w:val="0"/>
                <w:sz w:val="24"/>
                <w:szCs w:val="24"/>
                <w:highlight w:val="none"/>
              </w:rPr>
              <w:t>公路工程可行性研究报告估算或概算编制工作经验。</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3" w:hRule="atLeast"/>
          <w:jc w:val="center"/>
        </w:trPr>
        <w:tc>
          <w:tcPr>
            <w:tcW w:w="709" w:type="dxa"/>
            <w:vMerge w:val="continue"/>
            <w:tcBorders>
              <w:right w:val="single" w:color="auto" w:sz="4" w:space="0"/>
            </w:tcBorders>
            <w:noWrap w:val="0"/>
            <w:vAlign w:val="center"/>
          </w:tcPr>
          <w:p>
            <w:pPr>
              <w:jc w:val="center"/>
              <w:rPr>
                <w:rFonts w:hint="eastAsia" w:ascii="宋体" w:hAnsi="宋体"/>
                <w:color w:val="auto"/>
                <w:sz w:val="24"/>
                <w:szCs w:val="24"/>
                <w:highlight w:val="none"/>
              </w:rPr>
            </w:pPr>
          </w:p>
        </w:tc>
        <w:tc>
          <w:tcPr>
            <w:tcW w:w="1469" w:type="dxa"/>
            <w:tcBorders>
              <w:left w:val="single" w:color="auto" w:sz="4" w:space="0"/>
            </w:tcBorders>
            <w:noWrap w:val="0"/>
            <w:vAlign w:val="center"/>
          </w:tcPr>
          <w:p>
            <w:pPr>
              <w:spacing w:line="260" w:lineRule="exact"/>
              <w:jc w:val="center"/>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沿线服务设施分项负责人</w:t>
            </w:r>
          </w:p>
        </w:tc>
        <w:tc>
          <w:tcPr>
            <w:tcW w:w="829" w:type="dxa"/>
            <w:noWrap w:val="0"/>
            <w:vAlign w:val="center"/>
          </w:tcPr>
          <w:p>
            <w:pPr>
              <w:widowControl/>
              <w:ind w:left="-22"/>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6005" w:type="dxa"/>
            <w:noWrap w:val="0"/>
            <w:vAlign w:val="center"/>
          </w:tcPr>
          <w:p>
            <w:pPr>
              <w:spacing w:line="300" w:lineRule="exact"/>
              <w:rPr>
                <w:rFonts w:ascii="宋体" w:hAnsi="宋体"/>
                <w:bCs/>
                <w:color w:val="auto"/>
                <w:kern w:val="0"/>
                <w:position w:val="0"/>
                <w:sz w:val="24"/>
                <w:szCs w:val="24"/>
                <w:highlight w:val="none"/>
              </w:rPr>
            </w:pPr>
            <w:r>
              <w:rPr>
                <w:rFonts w:hint="eastAsia" w:ascii="宋体" w:hAnsi="宋体"/>
                <w:bCs/>
                <w:color w:val="auto"/>
                <w:kern w:val="0"/>
                <w:position w:val="0"/>
                <w:sz w:val="24"/>
                <w:szCs w:val="24"/>
                <w:highlight w:val="none"/>
              </w:rPr>
              <w:t>中级或以上职称，5年以上（含5年）</w:t>
            </w:r>
            <w:r>
              <w:rPr>
                <w:rFonts w:hint="eastAsia" w:ascii="宋体" w:hAnsi="宋体"/>
                <w:bCs/>
                <w:color w:val="auto"/>
                <w:kern w:val="0"/>
                <w:position w:val="0"/>
                <w:sz w:val="24"/>
                <w:szCs w:val="24"/>
                <w:highlight w:val="none"/>
                <w:lang w:eastAsia="zh-CN"/>
              </w:rPr>
              <w:t>高速</w:t>
            </w:r>
            <w:r>
              <w:rPr>
                <w:rFonts w:hint="eastAsia" w:ascii="宋体" w:hAnsi="宋体"/>
                <w:bCs/>
                <w:color w:val="auto"/>
                <w:kern w:val="0"/>
                <w:position w:val="0"/>
                <w:sz w:val="24"/>
                <w:szCs w:val="24"/>
                <w:highlight w:val="none"/>
              </w:rPr>
              <w:t>公路工程可行性研究报告编制工作经验。</w:t>
            </w:r>
          </w:p>
        </w:tc>
      </w:tr>
      <w:bookmarkEnd w:id="5"/>
    </w:tbl>
    <w:p>
      <w:r>
        <w:rPr>
          <w:b/>
          <w:color w:val="auto"/>
          <w:sz w:val="24"/>
          <w:highlight w:val="none"/>
        </w:rPr>
        <w:br w:type="page"/>
      </w:r>
    </w:p>
    <w:p>
      <w:pPr>
        <w:jc w:val="center"/>
        <w:rPr>
          <w:rFonts w:ascii="黑体" w:hAnsi="黑体" w:eastAsia="黑体"/>
          <w:color w:val="auto"/>
          <w:position w:val="0"/>
          <w:sz w:val="32"/>
          <w:szCs w:val="32"/>
          <w:highlight w:val="none"/>
        </w:rPr>
      </w:pPr>
      <w:bookmarkStart w:id="7" w:name="_Hlk91628530"/>
      <w:r>
        <w:rPr>
          <w:rFonts w:hint="eastAsia" w:ascii="黑体" w:hAnsi="黑体" w:eastAsia="黑体"/>
          <w:color w:val="auto"/>
          <w:position w:val="0"/>
          <w:sz w:val="32"/>
          <w:szCs w:val="32"/>
          <w:highlight w:val="none"/>
          <w:lang w:val="en-US" w:eastAsia="zh-CN"/>
        </w:rPr>
        <w:t>墨江至绿春（红河）高速公路工程可行性研究报告</w:t>
      </w:r>
      <w:r>
        <w:rPr>
          <w:rFonts w:hint="eastAsia" w:ascii="黑体" w:hAnsi="黑体" w:eastAsia="黑体"/>
          <w:color w:val="auto"/>
          <w:position w:val="0"/>
          <w:sz w:val="32"/>
          <w:szCs w:val="32"/>
          <w:highlight w:val="none"/>
        </w:rPr>
        <w:t>编制招标评标办法</w:t>
      </w:r>
      <w:bookmarkStart w:id="8" w:name="_Toc266451768"/>
      <w:r>
        <w:rPr>
          <w:rFonts w:hint="eastAsia" w:ascii="黑体" w:hAnsi="黑体" w:eastAsia="黑体"/>
          <w:color w:val="auto"/>
          <w:position w:val="0"/>
          <w:sz w:val="32"/>
          <w:szCs w:val="32"/>
          <w:highlight w:val="none"/>
        </w:rPr>
        <w:t>（综合评估法）</w:t>
      </w:r>
      <w:bookmarkEnd w:id="8"/>
    </w:p>
    <w:p>
      <w:pPr>
        <w:pStyle w:val="3"/>
        <w:spacing w:before="0" w:after="0" w:line="240" w:lineRule="auto"/>
        <w:ind w:firstLine="480" w:firstLineChars="200"/>
        <w:jc w:val="left"/>
        <w:rPr>
          <w:rFonts w:hint="eastAsia" w:ascii="黑体" w:eastAsia="黑体"/>
          <w:b w:val="0"/>
          <w:color w:val="auto"/>
          <w:position w:val="0"/>
          <w:sz w:val="24"/>
          <w:szCs w:val="24"/>
          <w:highlight w:val="none"/>
        </w:rPr>
      </w:pPr>
      <w:bookmarkStart w:id="9" w:name="_Toc14363"/>
      <w:r>
        <w:rPr>
          <w:rFonts w:hint="eastAsia" w:ascii="黑体" w:eastAsia="黑体"/>
          <w:b w:val="0"/>
          <w:color w:val="auto"/>
          <w:position w:val="0"/>
          <w:sz w:val="24"/>
          <w:szCs w:val="24"/>
          <w:highlight w:val="none"/>
        </w:rPr>
        <w:t>评标办法前附表</w:t>
      </w:r>
      <w:bookmarkEnd w:id="9"/>
    </w:p>
    <w:tbl>
      <w:tblPr>
        <w:tblStyle w:val="6"/>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8"/>
        <w:gridCol w:w="1172"/>
        <w:gridCol w:w="7021"/>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94" w:hRule="atLeast"/>
          <w:jc w:val="center"/>
        </w:trPr>
        <w:tc>
          <w:tcPr>
            <w:tcW w:w="2030" w:type="dxa"/>
            <w:gridSpan w:val="2"/>
            <w:noWrap w:val="0"/>
            <w:vAlign w:val="center"/>
          </w:tcPr>
          <w:p>
            <w:pPr>
              <w:jc w:val="center"/>
              <w:rPr>
                <w:rFonts w:hint="eastAsia" w:ascii="黑体" w:hAnsi="黑体" w:eastAsia="黑体"/>
                <w:color w:val="auto"/>
                <w:position w:val="0"/>
                <w:sz w:val="24"/>
                <w:szCs w:val="24"/>
                <w:highlight w:val="none"/>
              </w:rPr>
            </w:pPr>
            <w:r>
              <w:rPr>
                <w:rFonts w:hint="eastAsia" w:ascii="黑体" w:hAnsi="黑体" w:eastAsia="黑体"/>
                <w:color w:val="auto"/>
                <w:position w:val="0"/>
                <w:sz w:val="24"/>
                <w:szCs w:val="24"/>
                <w:highlight w:val="none"/>
              </w:rPr>
              <w:t>条款号</w:t>
            </w:r>
          </w:p>
        </w:tc>
        <w:tc>
          <w:tcPr>
            <w:tcW w:w="7021" w:type="dxa"/>
            <w:noWrap w:val="0"/>
            <w:vAlign w:val="center"/>
          </w:tcPr>
          <w:p>
            <w:pPr>
              <w:jc w:val="center"/>
              <w:rPr>
                <w:rFonts w:hint="eastAsia" w:ascii="黑体" w:hAnsi="黑体" w:eastAsia="黑体"/>
                <w:color w:val="auto"/>
                <w:position w:val="0"/>
                <w:sz w:val="24"/>
                <w:szCs w:val="24"/>
                <w:highlight w:val="none"/>
              </w:rPr>
            </w:pPr>
            <w:r>
              <w:rPr>
                <w:rFonts w:hint="eastAsia" w:ascii="黑体" w:hAnsi="黑体" w:eastAsia="黑体"/>
                <w:color w:val="auto"/>
                <w:position w:val="0"/>
                <w:sz w:val="24"/>
                <w:szCs w:val="24"/>
                <w:highlight w:val="none"/>
              </w:rPr>
              <w:t>评审因素与评审标准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94" w:hRule="atLeast"/>
          <w:jc w:val="center"/>
        </w:trPr>
        <w:tc>
          <w:tcPr>
            <w:tcW w:w="858" w:type="dxa"/>
            <w:tcBorders>
              <w:right w:val="single" w:color="auto" w:sz="4" w:space="0"/>
            </w:tcBorders>
            <w:noWrap w:val="0"/>
            <w:vAlign w:val="center"/>
          </w:tcPr>
          <w:p>
            <w:pPr>
              <w:jc w:val="cente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1</w:t>
            </w:r>
          </w:p>
        </w:tc>
        <w:tc>
          <w:tcPr>
            <w:tcW w:w="1172" w:type="dxa"/>
            <w:tcBorders>
              <w:left w:val="single" w:color="auto" w:sz="4" w:space="0"/>
            </w:tcBorders>
            <w:noWrap w:val="0"/>
            <w:vAlign w:val="center"/>
          </w:tcPr>
          <w:p>
            <w:pP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评标方法</w:t>
            </w:r>
          </w:p>
        </w:tc>
        <w:tc>
          <w:tcPr>
            <w:tcW w:w="7021" w:type="dxa"/>
            <w:noWrap w:val="0"/>
            <w:vAlign w:val="center"/>
          </w:tcPr>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综合评分相等时，评标委员会依次按照以下优先顺序推荐中标候选人或确定中标人：</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（1）评标价低的投标人优先；</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（2）评标价也相等时，按第一个信封（商务及技术文件）得分较高的投标人优先；</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（3）第一个信封（商务及技术文件）得分也相等的，按技术建议书得分较高的投标人优先。</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9789" w:hRule="atLeast"/>
          <w:jc w:val="center"/>
        </w:trPr>
        <w:tc>
          <w:tcPr>
            <w:tcW w:w="858" w:type="dxa"/>
            <w:tcBorders>
              <w:right w:val="single" w:color="auto" w:sz="4" w:space="0"/>
            </w:tcBorders>
            <w:noWrap w:val="0"/>
            <w:vAlign w:val="center"/>
          </w:tcPr>
          <w:p>
            <w:pPr>
              <w:jc w:val="cente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2.1.1</w:t>
            </w:r>
          </w:p>
          <w:p>
            <w:pPr>
              <w:jc w:val="cente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2.1.3</w:t>
            </w:r>
          </w:p>
        </w:tc>
        <w:tc>
          <w:tcPr>
            <w:tcW w:w="1172" w:type="dxa"/>
            <w:tcBorders>
              <w:left w:val="single" w:color="auto" w:sz="4" w:space="0"/>
            </w:tcBorders>
            <w:noWrap w:val="0"/>
            <w:vAlign w:val="center"/>
          </w:tcPr>
          <w:p>
            <w:pP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形式评审与响应性评审标准</w:t>
            </w:r>
          </w:p>
        </w:tc>
        <w:tc>
          <w:tcPr>
            <w:tcW w:w="7021" w:type="dxa"/>
            <w:noWrap w:val="0"/>
            <w:vAlign w:val="top"/>
          </w:tcPr>
          <w:p>
            <w:pPr>
              <w:rPr>
                <w:rFonts w:hint="eastAsia" w:ascii="宋体" w:hAnsi="宋体"/>
                <w:b/>
                <w:color w:val="auto"/>
                <w:position w:val="0"/>
                <w:sz w:val="24"/>
                <w:szCs w:val="24"/>
                <w:highlight w:val="none"/>
              </w:rPr>
            </w:pPr>
            <w:r>
              <w:rPr>
                <w:rFonts w:hint="eastAsia" w:ascii="宋体" w:hAnsi="宋体"/>
                <w:b/>
                <w:color w:val="auto"/>
                <w:position w:val="0"/>
                <w:sz w:val="24"/>
                <w:szCs w:val="24"/>
                <w:highlight w:val="none"/>
              </w:rPr>
              <w:t>第一个信封（商务及技术文件）评审标准</w:t>
            </w:r>
          </w:p>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1</w:t>
            </w:r>
            <w:r>
              <w:rPr>
                <w:rFonts w:hint="eastAsia" w:ascii="宋体" w:hAnsi="宋体"/>
                <w:color w:val="auto"/>
                <w:position w:val="0"/>
                <w:sz w:val="24"/>
                <w:szCs w:val="24"/>
                <w:highlight w:val="none"/>
              </w:rPr>
              <w:t>）投标文件按照招标文件规定的格式、内容填写，字迹清晰可辨；</w:t>
            </w:r>
          </w:p>
          <w:p>
            <w:pPr>
              <w:spacing w:line="320" w:lineRule="exact"/>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a.</w:t>
            </w:r>
            <w:r>
              <w:rPr>
                <w:rFonts w:hint="eastAsia" w:ascii="宋体" w:hAnsi="宋体"/>
                <w:color w:val="auto"/>
                <w:position w:val="0"/>
                <w:sz w:val="24"/>
                <w:szCs w:val="24"/>
                <w:highlight w:val="none"/>
              </w:rPr>
              <w:t>投标函按招标文件规定填写了项目名称、标段号、补遗书编号（如有）、项目负责人姓名、职称、咨询工程师执业登记证书登记号、服务周期、质量要求、以及投标函中要求填写的其他内容；</w:t>
            </w:r>
          </w:p>
          <w:p>
            <w:pPr>
              <w:spacing w:line="320" w:lineRule="exact"/>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b.</w:t>
            </w:r>
            <w:r>
              <w:rPr>
                <w:rFonts w:hint="eastAsia" w:ascii="宋体" w:hAnsi="宋体"/>
                <w:color w:val="auto"/>
                <w:position w:val="0"/>
                <w:sz w:val="24"/>
                <w:szCs w:val="24"/>
                <w:highlight w:val="none"/>
              </w:rPr>
              <w:t>投标文件组成齐全完整，内容均按规定填写；</w:t>
            </w:r>
          </w:p>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2</w:t>
            </w:r>
            <w:r>
              <w:rPr>
                <w:rFonts w:hint="eastAsia" w:ascii="宋体" w:hAnsi="宋体"/>
                <w:color w:val="auto"/>
                <w:position w:val="0"/>
                <w:sz w:val="24"/>
                <w:szCs w:val="24"/>
                <w:highlight w:val="none"/>
              </w:rPr>
              <w:t>）投标文件上法定代表人或其授权代理人的签字、投标人的单位盖章齐全，符合招标文件规定；</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hint="eastAsia" w:ascii="宋体" w:hAnsi="宋体"/>
                <w:color w:val="auto"/>
                <w:position w:val="0"/>
                <w:sz w:val="24"/>
                <w:szCs w:val="24"/>
                <w:highlight w:val="none"/>
                <w:lang w:val="en-US" w:eastAsia="zh-CN"/>
              </w:rPr>
              <w:t>3</w:t>
            </w:r>
            <w:r>
              <w:rPr>
                <w:rFonts w:hint="eastAsia" w:ascii="宋体" w:hAnsi="宋体"/>
                <w:color w:val="auto"/>
                <w:position w:val="0"/>
                <w:sz w:val="24"/>
                <w:szCs w:val="24"/>
                <w:highlight w:val="none"/>
              </w:rPr>
              <w:t>）投标人法定代表人授权委托代理人签署投标文件的，需提交授权委托书，且授权人和被授权人均在授权委托书上签名。</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hint="eastAsia" w:ascii="宋体" w:hAnsi="宋体"/>
                <w:color w:val="auto"/>
                <w:position w:val="0"/>
                <w:sz w:val="24"/>
                <w:szCs w:val="24"/>
                <w:highlight w:val="none"/>
                <w:lang w:val="en-US" w:eastAsia="zh-CN"/>
              </w:rPr>
              <w:t>4</w:t>
            </w:r>
            <w:r>
              <w:rPr>
                <w:rFonts w:hint="eastAsia" w:ascii="宋体" w:hAnsi="宋体"/>
                <w:color w:val="auto"/>
                <w:position w:val="0"/>
                <w:sz w:val="24"/>
                <w:szCs w:val="24"/>
                <w:highlight w:val="none"/>
              </w:rPr>
              <w:t>）投标人法定代表人亲自签署投标文件的，提供了法定代表人身份证明，且法定代表人在法定代表人身份证明上签名。</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hint="eastAsia" w:ascii="宋体" w:hAnsi="宋体"/>
                <w:color w:val="auto"/>
                <w:position w:val="0"/>
                <w:sz w:val="24"/>
                <w:szCs w:val="24"/>
                <w:highlight w:val="none"/>
                <w:lang w:val="en-US" w:eastAsia="zh-CN"/>
              </w:rPr>
              <w:t>5</w:t>
            </w:r>
            <w:r>
              <w:rPr>
                <w:rFonts w:hint="eastAsia" w:ascii="宋体" w:hAnsi="宋体"/>
                <w:color w:val="auto"/>
                <w:position w:val="0"/>
                <w:sz w:val="24"/>
                <w:szCs w:val="24"/>
                <w:highlight w:val="none"/>
              </w:rPr>
              <w:t>）投标人未以联合体形式投标。</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hint="eastAsia" w:ascii="宋体" w:hAnsi="宋体"/>
                <w:color w:val="auto"/>
                <w:position w:val="0"/>
                <w:sz w:val="24"/>
                <w:szCs w:val="24"/>
                <w:highlight w:val="none"/>
                <w:lang w:val="en-US" w:eastAsia="zh-CN"/>
              </w:rPr>
              <w:t>6</w:t>
            </w:r>
            <w:r>
              <w:rPr>
                <w:rFonts w:hint="eastAsia" w:ascii="宋体" w:hAnsi="宋体"/>
                <w:color w:val="auto"/>
                <w:position w:val="0"/>
                <w:sz w:val="24"/>
                <w:szCs w:val="24"/>
                <w:highlight w:val="none"/>
              </w:rPr>
              <w:t>）同一投标人未提交两个以上不同的投标文件，但招标文件要求提交备选投标的除外。</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hint="eastAsia" w:ascii="宋体" w:hAnsi="宋体"/>
                <w:color w:val="auto"/>
                <w:position w:val="0"/>
                <w:sz w:val="24"/>
                <w:szCs w:val="24"/>
                <w:highlight w:val="none"/>
                <w:lang w:val="en-US" w:eastAsia="zh-CN"/>
              </w:rPr>
              <w:t>7</w:t>
            </w:r>
            <w:r>
              <w:rPr>
                <w:rFonts w:hint="eastAsia" w:ascii="宋体" w:hAnsi="宋体"/>
                <w:color w:val="auto"/>
                <w:position w:val="0"/>
                <w:sz w:val="24"/>
                <w:szCs w:val="24"/>
                <w:highlight w:val="none"/>
              </w:rPr>
              <w:t>）投标文件中未出现有关投标报价的内容。</w:t>
            </w:r>
          </w:p>
          <w:p>
            <w:pPr>
              <w:spacing w:line="320" w:lineRule="exact"/>
              <w:ind w:firstLine="480" w:firstLineChars="200"/>
              <w:rPr>
                <w:rFonts w:hint="eastAsia"/>
                <w:color w:val="auto"/>
                <w:highlight w:val="none"/>
              </w:rPr>
            </w:pPr>
            <w:r>
              <w:rPr>
                <w:rFonts w:hint="eastAsia" w:ascii="宋体" w:hAnsi="宋体"/>
                <w:color w:val="auto"/>
                <w:position w:val="0"/>
                <w:sz w:val="24"/>
                <w:szCs w:val="24"/>
                <w:highlight w:val="none"/>
              </w:rPr>
              <w:t>（</w:t>
            </w:r>
            <w:r>
              <w:rPr>
                <w:rFonts w:hint="eastAsia" w:ascii="宋体" w:hAnsi="宋体"/>
                <w:color w:val="auto"/>
                <w:position w:val="0"/>
                <w:sz w:val="24"/>
                <w:szCs w:val="24"/>
                <w:highlight w:val="none"/>
                <w:lang w:val="en-US" w:eastAsia="zh-CN"/>
              </w:rPr>
              <w:t>8</w:t>
            </w:r>
            <w:r>
              <w:rPr>
                <w:rFonts w:hint="eastAsia" w:ascii="宋体" w:hAnsi="宋体"/>
                <w:color w:val="auto"/>
                <w:position w:val="0"/>
                <w:sz w:val="24"/>
                <w:szCs w:val="24"/>
                <w:highlight w:val="none"/>
              </w:rPr>
              <w:t>）投标文件载明的招标项目完成期限未超过招标文件规定的时限。</w:t>
            </w:r>
          </w:p>
          <w:p>
            <w:pPr>
              <w:spacing w:line="320" w:lineRule="exact"/>
              <w:ind w:firstLine="480" w:firstLineChars="200"/>
              <w:rPr>
                <w:rFonts w:hint="eastAsia" w:ascii="宋体" w:hAnsi="宋体" w:eastAsia="宋体" w:cs="Times New Roman"/>
                <w:color w:val="auto"/>
                <w:position w:val="0"/>
                <w:sz w:val="24"/>
                <w:szCs w:val="24"/>
                <w:highlight w:val="none"/>
              </w:rPr>
            </w:pPr>
            <w:r>
              <w:rPr>
                <w:rFonts w:hint="eastAsia" w:ascii="宋体" w:hAnsi="宋体" w:eastAsia="宋体" w:cs="Times New Roman"/>
                <w:color w:val="auto"/>
                <w:position w:val="0"/>
                <w:sz w:val="24"/>
                <w:szCs w:val="24"/>
                <w:highlight w:val="none"/>
              </w:rPr>
              <w:t>（</w:t>
            </w:r>
            <w:r>
              <w:rPr>
                <w:rFonts w:hint="eastAsia" w:ascii="宋体" w:hAnsi="宋体" w:eastAsia="宋体" w:cs="Times New Roman"/>
                <w:color w:val="auto"/>
                <w:position w:val="0"/>
                <w:sz w:val="24"/>
                <w:szCs w:val="24"/>
                <w:highlight w:val="none"/>
                <w:lang w:val="en-US" w:eastAsia="zh-CN"/>
              </w:rPr>
              <w:t>9</w:t>
            </w:r>
            <w:r>
              <w:rPr>
                <w:rFonts w:hint="eastAsia" w:ascii="宋体" w:hAnsi="宋体" w:eastAsia="宋体" w:cs="Times New Roman"/>
                <w:color w:val="auto"/>
                <w:position w:val="0"/>
                <w:sz w:val="24"/>
                <w:szCs w:val="24"/>
                <w:highlight w:val="none"/>
              </w:rPr>
              <w:t>）投标文件对招标文件的实质性要求和条件作出响应。</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1</w:t>
            </w:r>
            <w:r>
              <w:rPr>
                <w:rFonts w:hint="eastAsia" w:ascii="宋体" w:hAnsi="宋体"/>
                <w:color w:val="auto"/>
                <w:position w:val="0"/>
                <w:sz w:val="24"/>
                <w:szCs w:val="24"/>
                <w:highlight w:val="none"/>
                <w:lang w:val="en-US" w:eastAsia="zh-CN"/>
              </w:rPr>
              <w:t>0</w:t>
            </w:r>
            <w:r>
              <w:rPr>
                <w:rFonts w:hint="eastAsia" w:ascii="宋体" w:hAnsi="宋体"/>
                <w:color w:val="auto"/>
                <w:position w:val="0"/>
                <w:sz w:val="24"/>
                <w:szCs w:val="24"/>
                <w:highlight w:val="none"/>
              </w:rPr>
              <w:t>）权利义务符合招标文件规定：</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a.投标人应接受招标文件规定的风险划分原则，未提出新的风险划分办法；</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b.投标人未增加发包人的责任范围，或减少投标人义务；</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c.投标人未提出不同的支付办法；</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d.投标人对合同纠纷、事故处理办法未提出异议；</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e.投标人在投标活动中无欺诈行为；</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f.投标人未对合同条款有重要保留。</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hint="eastAsia" w:ascii="宋体" w:hAnsi="宋体"/>
                <w:color w:val="auto"/>
                <w:position w:val="0"/>
                <w:sz w:val="24"/>
                <w:szCs w:val="24"/>
                <w:highlight w:val="none"/>
                <w:lang w:val="en-US" w:eastAsia="zh-CN"/>
              </w:rPr>
              <w:t>11</w:t>
            </w:r>
            <w:r>
              <w:rPr>
                <w:rFonts w:hint="eastAsia" w:ascii="宋体" w:hAnsi="宋体"/>
                <w:color w:val="auto"/>
                <w:position w:val="0"/>
                <w:sz w:val="24"/>
                <w:szCs w:val="24"/>
                <w:highlight w:val="none"/>
              </w:rPr>
              <w:t>）投标文件提交符合招标文件第二章“投标人须知”4.2项规定。</w:t>
            </w:r>
          </w:p>
        </w:tc>
      </w:tr>
    </w:tbl>
    <w:p>
      <w:pPr>
        <w:spacing w:line="360" w:lineRule="auto"/>
        <w:jc w:val="both"/>
        <w:rPr>
          <w:rFonts w:hint="eastAsia" w:ascii="宋体" w:hAnsi="宋体"/>
          <w:color w:val="auto"/>
          <w:position w:val="0"/>
          <w:szCs w:val="21"/>
          <w:highlight w:val="none"/>
        </w:rPr>
      </w:pPr>
      <w:r>
        <w:rPr>
          <w:rFonts w:hint="eastAsia" w:ascii="宋体" w:hAnsi="宋体"/>
          <w:color w:val="auto"/>
          <w:position w:val="0"/>
          <w:szCs w:val="21"/>
          <w:highlight w:val="none"/>
        </w:rPr>
        <w:t>续上表</w:t>
      </w:r>
    </w:p>
    <w:tbl>
      <w:tblPr>
        <w:tblStyle w:val="6"/>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34"/>
        <w:gridCol w:w="1188"/>
        <w:gridCol w:w="6688"/>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01" w:hRule="atLeast"/>
          <w:jc w:val="center"/>
        </w:trPr>
        <w:tc>
          <w:tcPr>
            <w:tcW w:w="2122" w:type="dxa"/>
            <w:gridSpan w:val="2"/>
            <w:noWrap w:val="0"/>
            <w:vAlign w:val="center"/>
          </w:tcPr>
          <w:p>
            <w:pPr>
              <w:jc w:val="center"/>
              <w:rPr>
                <w:rFonts w:hint="eastAsia" w:ascii="黑体" w:hAnsi="黑体" w:eastAsia="黑体"/>
                <w:color w:val="auto"/>
                <w:position w:val="0"/>
                <w:sz w:val="24"/>
                <w:szCs w:val="24"/>
                <w:highlight w:val="none"/>
              </w:rPr>
            </w:pPr>
            <w:r>
              <w:rPr>
                <w:rFonts w:hint="eastAsia" w:ascii="黑体" w:hAnsi="黑体" w:eastAsia="黑体"/>
                <w:color w:val="auto"/>
                <w:position w:val="0"/>
                <w:sz w:val="24"/>
                <w:szCs w:val="24"/>
                <w:highlight w:val="none"/>
              </w:rPr>
              <w:t>条款号</w:t>
            </w:r>
          </w:p>
        </w:tc>
        <w:tc>
          <w:tcPr>
            <w:tcW w:w="6688" w:type="dxa"/>
            <w:noWrap w:val="0"/>
            <w:vAlign w:val="center"/>
          </w:tcPr>
          <w:p>
            <w:pPr>
              <w:ind w:firstLine="480" w:firstLineChars="200"/>
              <w:jc w:val="center"/>
              <w:rPr>
                <w:rFonts w:hint="eastAsia"/>
                <w:color w:val="auto"/>
                <w:position w:val="0"/>
                <w:sz w:val="24"/>
                <w:szCs w:val="24"/>
                <w:highlight w:val="none"/>
              </w:rPr>
            </w:pPr>
            <w:r>
              <w:rPr>
                <w:rFonts w:hint="eastAsia" w:ascii="黑体" w:hAnsi="黑体" w:eastAsia="黑体"/>
                <w:color w:val="auto"/>
                <w:position w:val="0"/>
                <w:sz w:val="24"/>
                <w:szCs w:val="24"/>
                <w:highlight w:val="none"/>
              </w:rPr>
              <w:t>评审因素与评审标准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451" w:hRule="atLeast"/>
          <w:jc w:val="center"/>
        </w:trPr>
        <w:tc>
          <w:tcPr>
            <w:tcW w:w="934" w:type="dxa"/>
            <w:noWrap w:val="0"/>
            <w:vAlign w:val="center"/>
          </w:tcPr>
          <w:p>
            <w:pPr>
              <w:jc w:val="cente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2.1.1</w:t>
            </w:r>
          </w:p>
          <w:p>
            <w:pPr>
              <w:jc w:val="cente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2.1.3</w:t>
            </w:r>
          </w:p>
        </w:tc>
        <w:tc>
          <w:tcPr>
            <w:tcW w:w="1188" w:type="dxa"/>
            <w:noWrap w:val="0"/>
            <w:vAlign w:val="center"/>
          </w:tcPr>
          <w:p>
            <w:pP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形式评审与响应性评审标准</w:t>
            </w:r>
          </w:p>
        </w:tc>
        <w:tc>
          <w:tcPr>
            <w:tcW w:w="6688" w:type="dxa"/>
            <w:noWrap w:val="0"/>
            <w:vAlign w:val="center"/>
          </w:tcPr>
          <w:p>
            <w:pPr>
              <w:spacing w:line="320" w:lineRule="exact"/>
              <w:ind w:firstLine="480" w:firstLineChars="200"/>
              <w:rPr>
                <w:rFonts w:hint="eastAsia" w:ascii="宋体" w:hAnsi="宋体"/>
                <w:color w:val="auto"/>
                <w:position w:val="0"/>
                <w:sz w:val="24"/>
                <w:szCs w:val="24"/>
                <w:highlight w:val="none"/>
              </w:rPr>
            </w:pPr>
          </w:p>
          <w:p>
            <w:pPr>
              <w:spacing w:line="320" w:lineRule="exact"/>
              <w:rPr>
                <w:rFonts w:ascii="宋体" w:hAnsi="宋体"/>
                <w:b/>
                <w:color w:val="auto"/>
                <w:position w:val="0"/>
                <w:sz w:val="24"/>
                <w:szCs w:val="24"/>
                <w:highlight w:val="none"/>
              </w:rPr>
            </w:pPr>
            <w:r>
              <w:rPr>
                <w:rFonts w:hint="eastAsia" w:ascii="宋体" w:hAnsi="宋体"/>
                <w:b/>
                <w:color w:val="auto"/>
                <w:position w:val="0"/>
                <w:sz w:val="24"/>
                <w:szCs w:val="24"/>
                <w:highlight w:val="none"/>
              </w:rPr>
              <w:t>第二个信封（报价文件）评审标准：</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1</w:t>
            </w:r>
            <w:r>
              <w:rPr>
                <w:rFonts w:hint="eastAsia" w:ascii="宋体" w:hAnsi="宋体"/>
                <w:color w:val="auto"/>
                <w:position w:val="0"/>
                <w:sz w:val="24"/>
                <w:szCs w:val="24"/>
                <w:highlight w:val="none"/>
              </w:rPr>
              <w:t>）投标文件按照招标文件规定的格式、内容填写，字迹清晰可辨，内容齐全完整；</w:t>
            </w:r>
          </w:p>
          <w:p>
            <w:pPr>
              <w:spacing w:line="320" w:lineRule="exact"/>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a.</w:t>
            </w:r>
            <w:r>
              <w:rPr>
                <w:rFonts w:hint="eastAsia" w:ascii="宋体" w:hAnsi="宋体"/>
                <w:color w:val="auto"/>
                <w:position w:val="0"/>
                <w:sz w:val="24"/>
                <w:szCs w:val="24"/>
                <w:highlight w:val="none"/>
              </w:rPr>
              <w:t>报价函按招标文件规定填写了项目名称、标段号、补遗书编号（如有）、投标价（包括大写金额和小写金额）；</w:t>
            </w:r>
          </w:p>
          <w:p>
            <w:pPr>
              <w:spacing w:line="320" w:lineRule="exact"/>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b.</w:t>
            </w:r>
            <w:r>
              <w:rPr>
                <w:rFonts w:hint="eastAsia" w:ascii="宋体" w:hAnsi="宋体"/>
                <w:color w:val="auto"/>
                <w:position w:val="0"/>
                <w:sz w:val="24"/>
                <w:szCs w:val="24"/>
                <w:highlight w:val="none"/>
              </w:rPr>
              <w:t>投标文件组成齐全完整，内容均按规定填写。</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2</w:t>
            </w:r>
            <w:r>
              <w:rPr>
                <w:rFonts w:hint="eastAsia" w:ascii="宋体" w:hAnsi="宋体"/>
                <w:color w:val="auto"/>
                <w:position w:val="0"/>
                <w:sz w:val="24"/>
                <w:szCs w:val="24"/>
                <w:highlight w:val="none"/>
              </w:rPr>
              <w:t>）投标文件上法定代表人或其授权代理人的签字、投标人的单位盖章齐全，符合招标文件规定。</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3</w:t>
            </w:r>
            <w:r>
              <w:rPr>
                <w:rFonts w:hint="eastAsia" w:ascii="宋体" w:hAnsi="宋体"/>
                <w:color w:val="auto"/>
                <w:position w:val="0"/>
                <w:sz w:val="24"/>
                <w:szCs w:val="24"/>
                <w:highlight w:val="none"/>
              </w:rPr>
              <w:t>）投标报价未超过招标文件设定的最高投标限价（如有）。</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4</w:t>
            </w:r>
            <w:r>
              <w:rPr>
                <w:rFonts w:hint="eastAsia" w:ascii="宋体" w:hAnsi="宋体"/>
                <w:color w:val="auto"/>
                <w:position w:val="0"/>
                <w:sz w:val="24"/>
                <w:szCs w:val="24"/>
                <w:highlight w:val="none"/>
              </w:rPr>
              <w:t>）投标报价的大写金额能够确定具体数值。</w:t>
            </w:r>
          </w:p>
          <w:p>
            <w:pPr>
              <w:spacing w:line="320" w:lineRule="exact"/>
              <w:ind w:firstLine="480" w:firstLineChars="200"/>
              <w:rPr>
                <w:rFonts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5</w:t>
            </w:r>
            <w:r>
              <w:rPr>
                <w:rFonts w:hint="eastAsia" w:ascii="宋体" w:hAnsi="宋体"/>
                <w:color w:val="auto"/>
                <w:position w:val="0"/>
                <w:sz w:val="24"/>
                <w:szCs w:val="24"/>
                <w:highlight w:val="none"/>
              </w:rPr>
              <w:t>）同一投标人未提交两个以上不同的投标报价，但招标文件要求提交备选投标的除外。</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（6）投标文件提交符合招标文件第二章“投标人须知”4.2项规定。</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120" w:hRule="atLeast"/>
          <w:jc w:val="center"/>
        </w:trPr>
        <w:tc>
          <w:tcPr>
            <w:tcW w:w="934" w:type="dxa"/>
            <w:noWrap w:val="0"/>
            <w:vAlign w:val="center"/>
          </w:tcPr>
          <w:p>
            <w:pPr>
              <w:jc w:val="cente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2.1.2</w:t>
            </w:r>
          </w:p>
        </w:tc>
        <w:tc>
          <w:tcPr>
            <w:tcW w:w="1188" w:type="dxa"/>
            <w:noWrap w:val="0"/>
            <w:vAlign w:val="center"/>
          </w:tcPr>
          <w:p>
            <w:pP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资格评审标准</w:t>
            </w:r>
          </w:p>
        </w:tc>
        <w:tc>
          <w:tcPr>
            <w:tcW w:w="6688" w:type="dxa"/>
            <w:noWrap w:val="0"/>
            <w:vAlign w:val="center"/>
          </w:tcPr>
          <w:p>
            <w:pPr>
              <w:spacing w:line="28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1</w:t>
            </w:r>
            <w:r>
              <w:rPr>
                <w:rFonts w:hint="eastAsia" w:ascii="宋体" w:hAnsi="宋体"/>
                <w:color w:val="auto"/>
                <w:position w:val="0"/>
                <w:sz w:val="24"/>
                <w:szCs w:val="24"/>
                <w:highlight w:val="none"/>
              </w:rPr>
              <w:t>）投标人具备有效的营业执照（或事业单位法人证书）、资格证明和基本账户开户许可证或基本存款账户信息；</w:t>
            </w:r>
          </w:p>
          <w:p>
            <w:pPr>
              <w:spacing w:line="28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2</w:t>
            </w:r>
            <w:r>
              <w:rPr>
                <w:rFonts w:hint="eastAsia" w:ascii="宋体" w:hAnsi="宋体"/>
                <w:color w:val="auto"/>
                <w:position w:val="0"/>
                <w:sz w:val="24"/>
                <w:szCs w:val="24"/>
                <w:highlight w:val="none"/>
              </w:rPr>
              <w:t>）投标人的资格备案有效且服务范围符合第二章“投标人须知前附表”附录</w:t>
            </w:r>
            <w:r>
              <w:rPr>
                <w:rFonts w:ascii="宋体" w:hAnsi="宋体"/>
                <w:color w:val="auto"/>
                <w:position w:val="0"/>
                <w:sz w:val="24"/>
                <w:szCs w:val="24"/>
                <w:highlight w:val="none"/>
              </w:rPr>
              <w:t>1</w:t>
            </w:r>
            <w:r>
              <w:rPr>
                <w:rFonts w:hint="eastAsia" w:ascii="宋体" w:hAnsi="宋体"/>
                <w:color w:val="auto"/>
                <w:position w:val="0"/>
                <w:sz w:val="24"/>
                <w:szCs w:val="24"/>
                <w:highlight w:val="none"/>
              </w:rPr>
              <w:t>的规定；</w:t>
            </w:r>
          </w:p>
          <w:p>
            <w:pPr>
              <w:spacing w:line="28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3</w:t>
            </w:r>
            <w:r>
              <w:rPr>
                <w:rFonts w:hint="eastAsia" w:ascii="宋体" w:hAnsi="宋体"/>
                <w:color w:val="auto"/>
                <w:position w:val="0"/>
                <w:sz w:val="24"/>
                <w:szCs w:val="24"/>
                <w:highlight w:val="none"/>
              </w:rPr>
              <w:t>）投标人的类似项目业绩符合第二章“投标人须知前附表”附录</w:t>
            </w:r>
            <w:r>
              <w:rPr>
                <w:rFonts w:ascii="宋体" w:hAnsi="宋体"/>
                <w:color w:val="auto"/>
                <w:position w:val="0"/>
                <w:sz w:val="24"/>
                <w:szCs w:val="24"/>
                <w:highlight w:val="none"/>
              </w:rPr>
              <w:t>2</w:t>
            </w:r>
            <w:r>
              <w:rPr>
                <w:rFonts w:hint="eastAsia" w:ascii="宋体" w:hAnsi="宋体"/>
                <w:color w:val="auto"/>
                <w:position w:val="0"/>
                <w:sz w:val="24"/>
                <w:szCs w:val="24"/>
                <w:highlight w:val="none"/>
              </w:rPr>
              <w:t>的规定；</w:t>
            </w:r>
          </w:p>
          <w:p>
            <w:pPr>
              <w:spacing w:line="30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4</w:t>
            </w:r>
            <w:r>
              <w:rPr>
                <w:rFonts w:hint="eastAsia" w:ascii="宋体" w:hAnsi="宋体"/>
                <w:color w:val="auto"/>
                <w:position w:val="0"/>
                <w:sz w:val="24"/>
                <w:szCs w:val="24"/>
                <w:highlight w:val="none"/>
              </w:rPr>
              <w:t>）投标人的信誉符合第二章“投标人须知前附表”附录</w:t>
            </w:r>
            <w:r>
              <w:rPr>
                <w:rFonts w:ascii="宋体" w:hAnsi="宋体"/>
                <w:color w:val="auto"/>
                <w:position w:val="0"/>
                <w:sz w:val="24"/>
                <w:szCs w:val="24"/>
                <w:highlight w:val="none"/>
              </w:rPr>
              <w:t>3</w:t>
            </w:r>
            <w:r>
              <w:rPr>
                <w:rFonts w:hint="eastAsia" w:ascii="宋体" w:hAnsi="宋体"/>
                <w:color w:val="auto"/>
                <w:position w:val="0"/>
                <w:sz w:val="24"/>
                <w:szCs w:val="24"/>
                <w:highlight w:val="none"/>
              </w:rPr>
              <w:t>的规定；</w:t>
            </w:r>
          </w:p>
          <w:p>
            <w:pPr>
              <w:spacing w:line="30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5</w:t>
            </w:r>
            <w:r>
              <w:rPr>
                <w:rFonts w:hint="eastAsia" w:ascii="宋体" w:hAnsi="宋体"/>
                <w:color w:val="auto"/>
                <w:position w:val="0"/>
                <w:sz w:val="24"/>
                <w:szCs w:val="24"/>
                <w:highlight w:val="none"/>
              </w:rPr>
              <w:t>）投标人的主要人员资格符合第二章“投标人须知前附表”附录</w:t>
            </w:r>
            <w:r>
              <w:rPr>
                <w:rFonts w:ascii="宋体" w:hAnsi="宋体"/>
                <w:color w:val="auto"/>
                <w:position w:val="0"/>
                <w:sz w:val="24"/>
                <w:szCs w:val="24"/>
                <w:highlight w:val="none"/>
              </w:rPr>
              <w:t>4</w:t>
            </w:r>
            <w:r>
              <w:rPr>
                <w:rFonts w:hint="eastAsia" w:ascii="宋体" w:hAnsi="宋体"/>
                <w:color w:val="auto"/>
                <w:position w:val="0"/>
                <w:sz w:val="24"/>
                <w:szCs w:val="24"/>
                <w:highlight w:val="none"/>
              </w:rPr>
              <w:t>的规定。</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6</w:t>
            </w:r>
            <w:r>
              <w:rPr>
                <w:rFonts w:hint="eastAsia" w:ascii="宋体" w:hAnsi="宋体"/>
                <w:color w:val="auto"/>
                <w:position w:val="0"/>
                <w:sz w:val="24"/>
                <w:szCs w:val="24"/>
                <w:highlight w:val="none"/>
              </w:rPr>
              <w:t>）投标人不存在第二章“投标人须知”第1.4.3项及第1.4.4项规定的任何一种情形。</w:t>
            </w:r>
          </w:p>
        </w:tc>
      </w:tr>
    </w:tbl>
    <w:p>
      <w:pPr>
        <w:spacing w:line="360" w:lineRule="auto"/>
        <w:ind w:firstLine="420" w:firstLineChars="200"/>
        <w:jc w:val="right"/>
        <w:rPr>
          <w:rFonts w:hint="eastAsia" w:ascii="宋体" w:hAnsi="宋体"/>
          <w:color w:val="auto"/>
          <w:position w:val="0"/>
          <w:szCs w:val="21"/>
          <w:highlight w:val="none"/>
        </w:rPr>
      </w:pPr>
      <w:r>
        <w:rPr>
          <w:color w:val="auto"/>
          <w:highlight w:val="none"/>
        </w:rPr>
        <w:br w:type="page"/>
      </w:r>
      <w:r>
        <w:rPr>
          <w:rFonts w:hint="eastAsia" w:ascii="宋体" w:hAnsi="宋体"/>
          <w:color w:val="auto"/>
          <w:position w:val="0"/>
          <w:szCs w:val="21"/>
          <w:highlight w:val="none"/>
        </w:rPr>
        <w:t>续上表</w:t>
      </w:r>
    </w:p>
    <w:tbl>
      <w:tblPr>
        <w:tblStyle w:val="6"/>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33"/>
        <w:gridCol w:w="1115"/>
        <w:gridCol w:w="6804"/>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01" w:hRule="atLeast"/>
          <w:jc w:val="center"/>
        </w:trPr>
        <w:tc>
          <w:tcPr>
            <w:tcW w:w="2148" w:type="dxa"/>
            <w:gridSpan w:val="2"/>
            <w:noWrap w:val="0"/>
            <w:vAlign w:val="center"/>
          </w:tcPr>
          <w:p>
            <w:pPr>
              <w:jc w:val="center"/>
              <w:rPr>
                <w:rFonts w:hint="eastAsia" w:ascii="黑体" w:hAnsi="黑体" w:eastAsia="黑体"/>
                <w:color w:val="auto"/>
                <w:position w:val="0"/>
                <w:sz w:val="24"/>
                <w:szCs w:val="24"/>
                <w:highlight w:val="none"/>
              </w:rPr>
            </w:pPr>
            <w:r>
              <w:rPr>
                <w:rFonts w:hint="eastAsia" w:ascii="黑体" w:hAnsi="黑体" w:eastAsia="黑体"/>
                <w:color w:val="auto"/>
                <w:position w:val="0"/>
                <w:sz w:val="24"/>
                <w:szCs w:val="24"/>
                <w:highlight w:val="none"/>
              </w:rPr>
              <w:t>条款号</w:t>
            </w:r>
          </w:p>
        </w:tc>
        <w:tc>
          <w:tcPr>
            <w:tcW w:w="6804" w:type="dxa"/>
            <w:noWrap w:val="0"/>
            <w:vAlign w:val="center"/>
          </w:tcPr>
          <w:p>
            <w:pPr>
              <w:ind w:firstLine="480" w:firstLineChars="200"/>
              <w:jc w:val="center"/>
              <w:rPr>
                <w:rFonts w:hint="eastAsia"/>
                <w:color w:val="auto"/>
                <w:position w:val="0"/>
                <w:sz w:val="24"/>
                <w:szCs w:val="24"/>
                <w:highlight w:val="none"/>
              </w:rPr>
            </w:pPr>
            <w:r>
              <w:rPr>
                <w:rFonts w:hint="eastAsia" w:ascii="黑体" w:hAnsi="黑体" w:eastAsia="黑体"/>
                <w:color w:val="auto"/>
                <w:position w:val="0"/>
                <w:sz w:val="24"/>
                <w:szCs w:val="24"/>
                <w:highlight w:val="none"/>
              </w:rPr>
              <w:t>评审因素与评审标准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1033" w:type="dxa"/>
            <w:noWrap w:val="0"/>
            <w:vAlign w:val="center"/>
          </w:tcPr>
          <w:p>
            <w:pPr>
              <w:jc w:val="center"/>
              <w:rPr>
                <w:rFonts w:hint="eastAsia" w:ascii="宋体" w:hAnsi="宋体"/>
                <w:color w:val="auto"/>
                <w:position w:val="0"/>
                <w:sz w:val="24"/>
                <w:szCs w:val="24"/>
                <w:highlight w:val="none"/>
              </w:rPr>
            </w:pPr>
            <w:bookmarkStart w:id="10" w:name="_Toc308163077"/>
            <w:bookmarkStart w:id="11" w:name="_Toc251224115"/>
            <w:bookmarkStart w:id="12" w:name="_Toc237061002"/>
            <w:bookmarkStart w:id="13" w:name="_Toc237230852"/>
            <w:bookmarkStart w:id="14" w:name="_Toc266451769"/>
            <w:bookmarkStart w:id="15" w:name="_Toc270058727"/>
            <w:bookmarkStart w:id="16" w:name="_Toc276999678"/>
            <w:bookmarkStart w:id="17" w:name="_Toc307048247"/>
            <w:r>
              <w:rPr>
                <w:rFonts w:hint="eastAsia" w:ascii="宋体" w:hAnsi="宋体"/>
                <w:color w:val="auto"/>
                <w:position w:val="0"/>
                <w:sz w:val="24"/>
                <w:szCs w:val="24"/>
                <w:highlight w:val="none"/>
              </w:rPr>
              <w:t>2.2.1</w:t>
            </w:r>
          </w:p>
        </w:tc>
        <w:tc>
          <w:tcPr>
            <w:tcW w:w="1115" w:type="dxa"/>
            <w:noWrap w:val="0"/>
            <w:vAlign w:val="center"/>
          </w:tcPr>
          <w:p>
            <w:pP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分值构成（总分100分）</w:t>
            </w:r>
          </w:p>
        </w:tc>
        <w:tc>
          <w:tcPr>
            <w:tcW w:w="6804" w:type="dxa"/>
            <w:noWrap w:val="0"/>
            <w:vAlign w:val="center"/>
          </w:tcPr>
          <w:p>
            <w:pPr>
              <w:rPr>
                <w:rFonts w:hint="eastAsia" w:ascii="宋体" w:hAnsi="宋体"/>
                <w:b/>
                <w:color w:val="auto"/>
                <w:position w:val="0"/>
                <w:sz w:val="24"/>
                <w:szCs w:val="24"/>
                <w:highlight w:val="none"/>
              </w:rPr>
            </w:pPr>
            <w:r>
              <w:rPr>
                <w:rFonts w:hint="eastAsia" w:ascii="宋体" w:hAnsi="宋体"/>
                <w:b/>
                <w:color w:val="auto"/>
                <w:position w:val="0"/>
                <w:sz w:val="24"/>
                <w:szCs w:val="24"/>
                <w:highlight w:val="none"/>
              </w:rPr>
              <w:t>第一个信封（商务及技术文件）评分分值构成：</w:t>
            </w: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技术建议书：</w:t>
            </w:r>
            <w:r>
              <w:rPr>
                <w:rFonts w:ascii="宋体" w:hAnsi="宋体"/>
                <w:color w:val="auto"/>
                <w:position w:val="0"/>
                <w:sz w:val="24"/>
                <w:szCs w:val="24"/>
                <w:highlight w:val="none"/>
                <w:u w:val="single"/>
              </w:rPr>
              <w:t>4</w:t>
            </w:r>
            <w:r>
              <w:rPr>
                <w:rFonts w:hint="eastAsia" w:ascii="宋体" w:hAnsi="宋体"/>
                <w:color w:val="auto"/>
                <w:position w:val="0"/>
                <w:sz w:val="24"/>
                <w:szCs w:val="24"/>
                <w:highlight w:val="none"/>
                <w:u w:val="single"/>
              </w:rPr>
              <w:t>0</w:t>
            </w:r>
            <w:r>
              <w:rPr>
                <w:rFonts w:hint="eastAsia" w:ascii="宋体" w:hAnsi="宋体"/>
                <w:color w:val="auto"/>
                <w:position w:val="0"/>
                <w:sz w:val="24"/>
                <w:szCs w:val="24"/>
                <w:highlight w:val="none"/>
              </w:rPr>
              <w:t>分</w:t>
            </w:r>
          </w:p>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拟投入本项目的人员资格和能力：</w:t>
            </w:r>
            <w:r>
              <w:rPr>
                <w:rFonts w:hint="eastAsia" w:ascii="宋体" w:hAnsi="宋体"/>
                <w:color w:val="auto"/>
                <w:position w:val="0"/>
                <w:sz w:val="24"/>
                <w:szCs w:val="24"/>
                <w:highlight w:val="none"/>
                <w:u w:val="single"/>
              </w:rPr>
              <w:t>20</w:t>
            </w:r>
            <w:r>
              <w:rPr>
                <w:rFonts w:hint="eastAsia" w:ascii="宋体" w:hAnsi="宋体"/>
                <w:color w:val="auto"/>
                <w:position w:val="0"/>
                <w:sz w:val="24"/>
                <w:szCs w:val="24"/>
                <w:highlight w:val="none"/>
              </w:rPr>
              <w:t>分</w:t>
            </w:r>
          </w:p>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其它因素：</w:t>
            </w:r>
            <w:r>
              <w:rPr>
                <w:rFonts w:ascii="宋体" w:hAnsi="宋体"/>
                <w:color w:val="auto"/>
                <w:position w:val="0"/>
                <w:sz w:val="24"/>
                <w:szCs w:val="24"/>
                <w:highlight w:val="none"/>
                <w:u w:val="single"/>
              </w:rPr>
              <w:t>30</w:t>
            </w:r>
            <w:r>
              <w:rPr>
                <w:rFonts w:hint="eastAsia" w:ascii="宋体" w:hAnsi="宋体"/>
                <w:color w:val="auto"/>
                <w:position w:val="0"/>
                <w:sz w:val="24"/>
                <w:szCs w:val="24"/>
                <w:highlight w:val="none"/>
              </w:rPr>
              <w:t>分</w:t>
            </w:r>
          </w:p>
          <w:p>
            <w:pPr>
              <w:spacing w:line="320" w:lineRule="exact"/>
              <w:rPr>
                <w:rFonts w:hint="eastAsia" w:ascii="宋体" w:hAnsi="宋体"/>
                <w:b/>
                <w:color w:val="auto"/>
                <w:position w:val="0"/>
                <w:sz w:val="24"/>
                <w:szCs w:val="24"/>
                <w:highlight w:val="none"/>
              </w:rPr>
            </w:pPr>
            <w:r>
              <w:rPr>
                <w:rFonts w:hint="eastAsia" w:ascii="宋体" w:hAnsi="宋体"/>
                <w:b/>
                <w:color w:val="auto"/>
                <w:position w:val="0"/>
                <w:sz w:val="24"/>
                <w:szCs w:val="24"/>
                <w:highlight w:val="none"/>
              </w:rPr>
              <w:t>第二个信封（报价文件）评分分值构成：</w:t>
            </w:r>
          </w:p>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评标价：</w:t>
            </w:r>
            <w:r>
              <w:rPr>
                <w:rFonts w:hint="eastAsia" w:ascii="宋体" w:hAnsi="宋体"/>
                <w:color w:val="auto"/>
                <w:position w:val="0"/>
                <w:sz w:val="24"/>
                <w:szCs w:val="24"/>
                <w:highlight w:val="none"/>
                <w:u w:val="single"/>
              </w:rPr>
              <w:t>10</w:t>
            </w:r>
            <w:r>
              <w:rPr>
                <w:rFonts w:hint="eastAsia" w:ascii="宋体" w:hAnsi="宋体"/>
                <w:color w:val="auto"/>
                <w:position w:val="0"/>
                <w:sz w:val="24"/>
                <w:szCs w:val="24"/>
                <w:highlight w:val="none"/>
              </w:rPr>
              <w:t xml:space="preserve"> 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1033" w:type="dxa"/>
            <w:noWrap w:val="0"/>
            <w:vAlign w:val="center"/>
          </w:tcPr>
          <w:p>
            <w:pPr>
              <w:jc w:val="cente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2.2.2</w:t>
            </w:r>
          </w:p>
        </w:tc>
        <w:tc>
          <w:tcPr>
            <w:tcW w:w="1115" w:type="dxa"/>
            <w:noWrap w:val="0"/>
            <w:vAlign w:val="center"/>
          </w:tcPr>
          <w:p>
            <w:pP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评标基准价计算方法</w:t>
            </w:r>
          </w:p>
        </w:tc>
        <w:tc>
          <w:tcPr>
            <w:tcW w:w="6804" w:type="dxa"/>
            <w:noWrap w:val="0"/>
            <w:vAlign w:val="center"/>
          </w:tcPr>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评标基准价的计算：</w:t>
            </w:r>
          </w:p>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（1）评标价的确定：</w:t>
            </w:r>
          </w:p>
          <w:p>
            <w:pPr>
              <w:ind w:firstLine="480" w:firstLineChars="200"/>
              <w:rPr>
                <w:rFonts w:hint="eastAsia" w:ascii="宋体" w:hAnsi="宋体" w:eastAsia="宋体"/>
                <w:color w:val="auto"/>
                <w:position w:val="0"/>
                <w:sz w:val="24"/>
                <w:szCs w:val="24"/>
                <w:highlight w:val="none"/>
                <w:lang w:eastAsia="zh-CN"/>
              </w:rPr>
            </w:pPr>
            <w:r>
              <w:rPr>
                <w:rFonts w:hint="eastAsia" w:ascii="宋体" w:hAnsi="宋体"/>
                <w:color w:val="auto"/>
                <w:position w:val="0"/>
                <w:sz w:val="24"/>
                <w:szCs w:val="24"/>
                <w:highlight w:val="none"/>
              </w:rPr>
              <w:t>评标价=报价函文字报价</w:t>
            </w:r>
            <w:r>
              <w:rPr>
                <w:rFonts w:hint="eastAsia" w:ascii="宋体" w:hAnsi="宋体"/>
                <w:color w:val="auto"/>
                <w:position w:val="0"/>
                <w:sz w:val="24"/>
                <w:szCs w:val="24"/>
                <w:highlight w:val="none"/>
                <w:lang w:eastAsia="zh-CN"/>
              </w:rPr>
              <w:t>（</w:t>
            </w:r>
            <w:r>
              <w:rPr>
                <w:rFonts w:hint="eastAsia" w:ascii="宋体" w:hAnsi="宋体"/>
                <w:color w:val="auto"/>
                <w:position w:val="0"/>
                <w:sz w:val="24"/>
                <w:szCs w:val="24"/>
                <w:highlight w:val="none"/>
                <w:lang w:val="en-US" w:eastAsia="zh-CN"/>
              </w:rPr>
              <w:t>总价</w:t>
            </w:r>
            <w:r>
              <w:rPr>
                <w:rFonts w:hint="eastAsia" w:ascii="宋体" w:hAnsi="宋体"/>
                <w:color w:val="auto"/>
                <w:position w:val="0"/>
                <w:sz w:val="24"/>
                <w:szCs w:val="24"/>
                <w:highlight w:val="none"/>
                <w:lang w:eastAsia="zh-CN"/>
              </w:rPr>
              <w:t>）</w:t>
            </w:r>
          </w:p>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（2）评标价平均值的计算：</w:t>
            </w:r>
          </w:p>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除按第二章“投标人须知”第</w:t>
            </w:r>
            <w:r>
              <w:rPr>
                <w:rFonts w:ascii="宋体" w:hAnsi="宋体"/>
                <w:color w:val="auto"/>
                <w:position w:val="0"/>
                <w:sz w:val="24"/>
                <w:szCs w:val="24"/>
                <w:highlight w:val="none"/>
              </w:rPr>
              <w:t>5.2.4</w:t>
            </w:r>
            <w:r>
              <w:rPr>
                <w:rFonts w:hint="eastAsia" w:ascii="宋体" w:hAnsi="宋体"/>
                <w:color w:val="auto"/>
                <w:position w:val="0"/>
                <w:sz w:val="24"/>
                <w:szCs w:val="24"/>
                <w:highlight w:val="none"/>
              </w:rPr>
              <w:t>项规定开标现场被宣布为不进入评标基准价计算的投标报价之外，所有投标人的评标价去掉一个最高值和一个最低值的算术平均值即为评标价平均值（如果参与评标价平均值计算的有效投标人少于</w:t>
            </w:r>
            <w:r>
              <w:rPr>
                <w:rFonts w:ascii="宋体" w:hAnsi="宋体"/>
                <w:color w:val="auto"/>
                <w:position w:val="0"/>
                <w:sz w:val="24"/>
                <w:szCs w:val="24"/>
                <w:highlight w:val="none"/>
              </w:rPr>
              <w:t>5</w:t>
            </w:r>
            <w:r>
              <w:rPr>
                <w:rFonts w:hint="eastAsia" w:ascii="宋体" w:hAnsi="宋体"/>
                <w:color w:val="auto"/>
                <w:position w:val="0"/>
                <w:sz w:val="24"/>
                <w:szCs w:val="24"/>
                <w:highlight w:val="none"/>
              </w:rPr>
              <w:t>家时，则计算评标价平均值时不去掉最高值和最低值）。</w:t>
            </w:r>
          </w:p>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3</w:t>
            </w:r>
            <w:r>
              <w:rPr>
                <w:rFonts w:hint="eastAsia" w:ascii="宋体" w:hAnsi="宋体"/>
                <w:color w:val="auto"/>
                <w:position w:val="0"/>
                <w:sz w:val="24"/>
                <w:szCs w:val="24"/>
                <w:highlight w:val="none"/>
              </w:rPr>
              <w:t>）评标基准价的确定：</w:t>
            </w:r>
          </w:p>
          <w:p>
            <w:pPr>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将评标价平均值直接作为评标基准价。</w:t>
            </w:r>
          </w:p>
          <w:p>
            <w:pPr>
              <w:ind w:firstLine="480" w:firstLineChars="200"/>
              <w:rPr>
                <w:rFonts w:hint="eastAsia" w:ascii="宋体" w:hAnsi="宋体"/>
                <w:b/>
                <w:color w:val="auto"/>
                <w:position w:val="0"/>
                <w:sz w:val="24"/>
                <w:szCs w:val="24"/>
                <w:highlight w:val="none"/>
              </w:rPr>
            </w:pPr>
            <w:r>
              <w:rPr>
                <w:rFonts w:hint="eastAsia" w:ascii="宋体" w:hAnsi="宋体"/>
                <w:color w:val="auto"/>
                <w:position w:val="0"/>
                <w:sz w:val="24"/>
                <w:szCs w:val="24"/>
                <w:highlight w:val="none"/>
              </w:rPr>
              <w:t>在评标过程中，评标委员会应对招标人计算的评标基准价进行复核，存在计算错误的应予以修正并在评标报告中作出说明。除此之外，评标基准价在整个评标期间保待不变，不随任何因素发生变化。</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1033" w:type="dxa"/>
            <w:noWrap w:val="0"/>
            <w:vAlign w:val="center"/>
          </w:tcPr>
          <w:p>
            <w:pPr>
              <w:jc w:val="center"/>
              <w:rPr>
                <w:rFonts w:hint="eastAsia" w:ascii="宋体" w:hAnsi="宋体"/>
                <w:color w:val="auto"/>
                <w:position w:val="0"/>
                <w:sz w:val="24"/>
                <w:szCs w:val="24"/>
                <w:highlight w:val="none"/>
              </w:rPr>
            </w:pPr>
            <w:r>
              <w:rPr>
                <w:rFonts w:hint="eastAsia" w:ascii="宋体" w:hAnsi="宋体"/>
                <w:color w:val="auto"/>
                <w:position w:val="0"/>
                <w:sz w:val="24"/>
                <w:szCs w:val="24"/>
                <w:highlight w:val="none"/>
              </w:rPr>
              <w:t>2.2.3</w:t>
            </w:r>
          </w:p>
        </w:tc>
        <w:tc>
          <w:tcPr>
            <w:tcW w:w="1115" w:type="dxa"/>
            <w:noWrap w:val="0"/>
            <w:vAlign w:val="center"/>
          </w:tcPr>
          <w:p>
            <w:pPr>
              <w:jc w:val="center"/>
              <w:rPr>
                <w:rFonts w:hint="eastAsia" w:ascii="宋体" w:hAnsi="宋体"/>
                <w:color w:val="auto"/>
                <w:position w:val="0"/>
                <w:highlight w:val="none"/>
              </w:rPr>
            </w:pPr>
            <w:r>
              <w:rPr>
                <w:rFonts w:hint="eastAsia" w:ascii="宋体" w:hAnsi="宋体"/>
                <w:color w:val="auto"/>
                <w:position w:val="0"/>
                <w:sz w:val="24"/>
                <w:szCs w:val="24"/>
                <w:highlight w:val="none"/>
              </w:rPr>
              <w:t>评标价的偏差率计算公式</w:t>
            </w:r>
          </w:p>
        </w:tc>
        <w:tc>
          <w:tcPr>
            <w:tcW w:w="6804" w:type="dxa"/>
            <w:noWrap w:val="0"/>
            <w:vAlign w:val="center"/>
          </w:tcPr>
          <w:p>
            <w:pPr>
              <w:spacing w:line="320" w:lineRule="exact"/>
              <w:ind w:firstLine="480" w:firstLineChars="200"/>
              <w:rPr>
                <w:rFonts w:ascii="宋体" w:hAnsi="宋体"/>
                <w:color w:val="auto"/>
                <w:position w:val="0"/>
                <w:sz w:val="24"/>
                <w:szCs w:val="24"/>
                <w:highlight w:val="none"/>
              </w:rPr>
            </w:pPr>
            <w:r>
              <w:rPr>
                <w:rFonts w:hint="eastAsia" w:ascii="宋体" w:hAnsi="宋体"/>
                <w:color w:val="auto"/>
                <w:position w:val="0"/>
                <w:sz w:val="24"/>
                <w:szCs w:val="24"/>
                <w:highlight w:val="none"/>
              </w:rPr>
              <w:t>偏差率=100％×（投标人评标价－评标基准价）÷评标基准价</w:t>
            </w:r>
          </w:p>
          <w:p>
            <w:pPr>
              <w:spacing w:line="320" w:lineRule="exact"/>
              <w:ind w:firstLine="480" w:firstLineChars="200"/>
              <w:rPr>
                <w:rFonts w:ascii="宋体" w:hAnsi="宋体"/>
                <w:color w:val="auto"/>
                <w:position w:val="0"/>
                <w:sz w:val="24"/>
                <w:szCs w:val="24"/>
                <w:highlight w:val="none"/>
              </w:rPr>
            </w:pPr>
          </w:p>
          <w:p>
            <w:pPr>
              <w:spacing w:line="320" w:lineRule="exact"/>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注：偏差率保留</w:t>
            </w:r>
            <w:r>
              <w:rPr>
                <w:rFonts w:hint="eastAsia" w:ascii="宋体" w:hAnsi="宋体"/>
                <w:color w:val="auto"/>
                <w:position w:val="0"/>
                <w:sz w:val="24"/>
                <w:szCs w:val="24"/>
                <w:highlight w:val="none"/>
                <w:u w:val="single"/>
              </w:rPr>
              <w:t>4</w:t>
            </w:r>
            <w:r>
              <w:rPr>
                <w:rFonts w:hint="eastAsia" w:ascii="宋体" w:hAnsi="宋体"/>
                <w:color w:val="auto"/>
                <w:position w:val="0"/>
                <w:sz w:val="24"/>
                <w:szCs w:val="24"/>
                <w:highlight w:val="none"/>
              </w:rPr>
              <w:t>位小数</w:t>
            </w:r>
          </w:p>
        </w:tc>
      </w:tr>
    </w:tbl>
    <w:p>
      <w:pPr>
        <w:tabs>
          <w:tab w:val="center" w:pos="4680"/>
          <w:tab w:val="left" w:pos="4750"/>
        </w:tabs>
        <w:spacing w:line="300" w:lineRule="exact"/>
        <w:ind w:left="315" w:right="99" w:hanging="315" w:hangingChars="150"/>
        <w:jc w:val="right"/>
        <w:rPr>
          <w:color w:val="auto"/>
          <w:highlight w:val="none"/>
        </w:rPr>
      </w:pPr>
      <w:r>
        <w:rPr>
          <w:rFonts w:ascii="宋体" w:hAnsi="宋体"/>
          <w:color w:val="auto"/>
          <w:position w:val="0"/>
          <w:szCs w:val="21"/>
          <w:highlight w:val="none"/>
        </w:rPr>
        <w:br w:type="page"/>
      </w:r>
      <w:r>
        <w:rPr>
          <w:rFonts w:hint="eastAsia" w:ascii="宋体" w:hAnsi="宋体"/>
          <w:color w:val="auto"/>
          <w:position w:val="0"/>
          <w:szCs w:val="21"/>
          <w:highlight w:val="none"/>
        </w:rPr>
        <w:t>续上表</w:t>
      </w:r>
    </w:p>
    <w:tbl>
      <w:tblPr>
        <w:tblStyle w:val="6"/>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4"/>
        <w:gridCol w:w="1314"/>
        <w:gridCol w:w="1708"/>
        <w:gridCol w:w="4942"/>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07" w:hRule="atLeast"/>
          <w:jc w:val="center"/>
        </w:trPr>
        <w:tc>
          <w:tcPr>
            <w:tcW w:w="8968" w:type="dxa"/>
            <w:gridSpan w:val="4"/>
            <w:noWrap w:val="0"/>
            <w:vAlign w:val="center"/>
          </w:tcPr>
          <w:p>
            <w:pPr>
              <w:jc w:val="center"/>
              <w:rPr>
                <w:rFonts w:ascii="黑体" w:eastAsia="黑体"/>
                <w:color w:val="auto"/>
                <w:highlight w:val="none"/>
              </w:rPr>
            </w:pPr>
            <w:r>
              <w:rPr>
                <w:rFonts w:hint="eastAsia" w:ascii="黑体" w:eastAsia="黑体"/>
                <w:color w:val="auto"/>
                <w:highlight w:val="none"/>
              </w:rPr>
              <w:t>评审因素与评分值</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28" w:hRule="atLeast"/>
          <w:jc w:val="center"/>
        </w:trPr>
        <w:tc>
          <w:tcPr>
            <w:tcW w:w="1004" w:type="dxa"/>
            <w:noWrap w:val="0"/>
            <w:vAlign w:val="center"/>
          </w:tcPr>
          <w:p>
            <w:pPr>
              <w:jc w:val="center"/>
              <w:rPr>
                <w:rFonts w:ascii="黑体" w:eastAsia="黑体"/>
                <w:color w:val="auto"/>
                <w:highlight w:val="none"/>
              </w:rPr>
            </w:pPr>
            <w:r>
              <w:rPr>
                <w:rFonts w:hint="eastAsia" w:ascii="黑体" w:eastAsia="黑体"/>
                <w:color w:val="auto"/>
                <w:highlight w:val="none"/>
              </w:rPr>
              <w:t>条款号</w:t>
            </w:r>
          </w:p>
        </w:tc>
        <w:tc>
          <w:tcPr>
            <w:tcW w:w="1314" w:type="dxa"/>
            <w:noWrap w:val="0"/>
            <w:vAlign w:val="center"/>
          </w:tcPr>
          <w:p>
            <w:pPr>
              <w:jc w:val="center"/>
              <w:rPr>
                <w:rFonts w:ascii="黑体" w:eastAsia="黑体"/>
                <w:color w:val="auto"/>
                <w:highlight w:val="none"/>
              </w:rPr>
            </w:pPr>
            <w:r>
              <w:rPr>
                <w:rFonts w:hint="eastAsia" w:ascii="黑体" w:eastAsia="黑体"/>
                <w:color w:val="auto"/>
                <w:highlight w:val="none"/>
              </w:rPr>
              <w:t>评分因素</w:t>
            </w:r>
          </w:p>
        </w:tc>
        <w:tc>
          <w:tcPr>
            <w:tcW w:w="1708" w:type="dxa"/>
            <w:noWrap w:val="0"/>
            <w:vAlign w:val="center"/>
          </w:tcPr>
          <w:p>
            <w:pPr>
              <w:jc w:val="center"/>
              <w:rPr>
                <w:rFonts w:ascii="黑体" w:eastAsia="黑体"/>
                <w:color w:val="auto"/>
                <w:highlight w:val="none"/>
              </w:rPr>
            </w:pPr>
            <w:r>
              <w:rPr>
                <w:rFonts w:hint="eastAsia" w:ascii="黑体" w:eastAsia="黑体"/>
                <w:color w:val="auto"/>
                <w:highlight w:val="none"/>
              </w:rPr>
              <w:t>评审因素及权重分值</w:t>
            </w:r>
          </w:p>
        </w:tc>
        <w:tc>
          <w:tcPr>
            <w:tcW w:w="4942" w:type="dxa"/>
            <w:noWrap w:val="0"/>
            <w:vAlign w:val="center"/>
          </w:tcPr>
          <w:p>
            <w:pPr>
              <w:jc w:val="center"/>
              <w:rPr>
                <w:rFonts w:ascii="黑体" w:eastAsia="黑体"/>
                <w:color w:val="auto"/>
                <w:highlight w:val="none"/>
              </w:rPr>
            </w:pPr>
            <w:r>
              <w:rPr>
                <w:rFonts w:hint="eastAsia" w:ascii="黑体" w:eastAsia="黑体"/>
                <w:color w:val="auto"/>
                <w:highlight w:val="none"/>
              </w:rPr>
              <w:t>评分标准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51" w:hRule="atLeast"/>
          <w:jc w:val="center"/>
        </w:trPr>
        <w:tc>
          <w:tcPr>
            <w:tcW w:w="1004" w:type="dxa"/>
            <w:vMerge w:val="restart"/>
            <w:noWrap w:val="0"/>
            <w:vAlign w:val="center"/>
          </w:tcPr>
          <w:p>
            <w:pPr>
              <w:spacing w:line="260" w:lineRule="exact"/>
              <w:rPr>
                <w:rFonts w:hint="eastAsia" w:ascii="宋体" w:hAnsi="宋体"/>
                <w:color w:val="auto"/>
                <w:position w:val="0"/>
                <w:szCs w:val="21"/>
                <w:highlight w:val="none"/>
              </w:rPr>
            </w:pPr>
            <w:r>
              <w:rPr>
                <w:rFonts w:ascii="宋体" w:hAnsi="宋体"/>
                <w:color w:val="auto"/>
                <w:position w:val="0"/>
                <w:szCs w:val="21"/>
                <w:highlight w:val="none"/>
              </w:rPr>
              <w:t>2.</w:t>
            </w:r>
            <w:r>
              <w:rPr>
                <w:rFonts w:hint="eastAsia" w:ascii="宋体" w:hAnsi="宋体"/>
                <w:color w:val="auto"/>
                <w:position w:val="0"/>
                <w:szCs w:val="21"/>
                <w:highlight w:val="none"/>
              </w:rPr>
              <w:t>2.4</w:t>
            </w:r>
            <w:r>
              <w:rPr>
                <w:rFonts w:ascii="宋体" w:hAnsi="宋体"/>
                <w:color w:val="auto"/>
                <w:position w:val="0"/>
                <w:szCs w:val="21"/>
                <w:highlight w:val="none"/>
              </w:rPr>
              <w:t>（</w:t>
            </w:r>
            <w:r>
              <w:rPr>
                <w:rFonts w:hint="eastAsia" w:ascii="宋体" w:hAnsi="宋体"/>
                <w:color w:val="auto"/>
                <w:position w:val="0"/>
                <w:szCs w:val="21"/>
                <w:highlight w:val="none"/>
              </w:rPr>
              <w:t>1）</w:t>
            </w:r>
          </w:p>
        </w:tc>
        <w:tc>
          <w:tcPr>
            <w:tcW w:w="1314" w:type="dxa"/>
            <w:vMerge w:val="restart"/>
            <w:noWrap w:val="0"/>
            <w:vAlign w:val="center"/>
          </w:tcPr>
          <w:p>
            <w:pPr>
              <w:spacing w:line="260" w:lineRule="exact"/>
              <w:rPr>
                <w:rFonts w:hint="eastAsia" w:ascii="宋体" w:hAnsi="宋体"/>
                <w:color w:val="auto"/>
                <w:position w:val="0"/>
                <w:szCs w:val="21"/>
                <w:highlight w:val="none"/>
              </w:rPr>
            </w:pPr>
            <w:r>
              <w:rPr>
                <w:rFonts w:hint="eastAsia" w:ascii="宋体" w:hAnsi="宋体"/>
                <w:color w:val="auto"/>
                <w:position w:val="0"/>
                <w:szCs w:val="21"/>
                <w:highlight w:val="none"/>
              </w:rPr>
              <w:t>技术建议书（</w:t>
            </w:r>
            <w:r>
              <w:rPr>
                <w:rFonts w:ascii="宋体" w:hAnsi="宋体"/>
                <w:color w:val="auto"/>
                <w:position w:val="0"/>
                <w:szCs w:val="21"/>
                <w:highlight w:val="none"/>
              </w:rPr>
              <w:t>4</w:t>
            </w:r>
            <w:r>
              <w:rPr>
                <w:rFonts w:hint="eastAsia" w:ascii="宋体" w:hAnsi="宋体"/>
                <w:color w:val="auto"/>
                <w:position w:val="0"/>
                <w:szCs w:val="21"/>
                <w:highlight w:val="none"/>
              </w:rPr>
              <w:t>0分）</w:t>
            </w:r>
          </w:p>
        </w:tc>
        <w:tc>
          <w:tcPr>
            <w:tcW w:w="1708" w:type="dxa"/>
            <w:noWrap w:val="0"/>
            <w:vAlign w:val="center"/>
          </w:tcPr>
          <w:p>
            <w:pPr>
              <w:spacing w:line="260" w:lineRule="exact"/>
              <w:jc w:val="left"/>
              <w:rPr>
                <w:rFonts w:ascii="宋体" w:hAnsi="宋体"/>
                <w:color w:val="auto"/>
                <w:position w:val="0"/>
                <w:szCs w:val="21"/>
                <w:highlight w:val="none"/>
              </w:rPr>
            </w:pPr>
            <w:r>
              <w:rPr>
                <w:rFonts w:hint="eastAsia" w:ascii="宋体" w:hAnsi="宋体"/>
                <w:color w:val="auto"/>
                <w:position w:val="0"/>
                <w:szCs w:val="21"/>
                <w:highlight w:val="none"/>
              </w:rPr>
              <w:t>对招标项目的理解和总体思路</w:t>
            </w:r>
          </w:p>
          <w:p>
            <w:pPr>
              <w:spacing w:line="260" w:lineRule="exact"/>
              <w:jc w:val="center"/>
              <w:rPr>
                <w:rFonts w:ascii="宋体" w:hAnsi="宋体"/>
                <w:color w:val="auto"/>
                <w:position w:val="0"/>
                <w:szCs w:val="21"/>
                <w:highlight w:val="none"/>
              </w:rPr>
            </w:pPr>
            <w:r>
              <w:rPr>
                <w:rFonts w:hint="eastAsia" w:ascii="宋体" w:hAnsi="宋体"/>
                <w:color w:val="auto"/>
                <w:position w:val="0"/>
                <w:szCs w:val="21"/>
                <w:highlight w:val="none"/>
              </w:rPr>
              <w:t>（10分）</w:t>
            </w:r>
          </w:p>
        </w:tc>
        <w:tc>
          <w:tcPr>
            <w:tcW w:w="4942" w:type="dxa"/>
            <w:noWrap w:val="0"/>
            <w:vAlign w:val="center"/>
          </w:tcPr>
          <w:p>
            <w:pPr>
              <w:spacing w:line="260" w:lineRule="exact"/>
              <w:ind w:left="210" w:hanging="210" w:hangingChars="100"/>
              <w:rPr>
                <w:rFonts w:ascii="宋体" w:hAnsi="宋体"/>
                <w:color w:val="auto"/>
                <w:position w:val="0"/>
                <w:szCs w:val="21"/>
                <w:highlight w:val="none"/>
              </w:rPr>
            </w:pPr>
            <w:r>
              <w:rPr>
                <w:rFonts w:hint="eastAsia" w:ascii="宋体" w:hAnsi="宋体"/>
                <w:color w:val="auto"/>
                <w:position w:val="0"/>
                <w:szCs w:val="21"/>
                <w:highlight w:val="none"/>
              </w:rPr>
              <w:t>a.对招标项目的理解到位，总体思路清晰，且具有针对性的，得（8，</w:t>
            </w:r>
            <w:r>
              <w:rPr>
                <w:rFonts w:ascii="宋体" w:hAnsi="宋体"/>
                <w:color w:val="auto"/>
                <w:position w:val="0"/>
                <w:szCs w:val="21"/>
                <w:highlight w:val="none"/>
              </w:rPr>
              <w:t>10</w:t>
            </w:r>
            <w:r>
              <w:rPr>
                <w:rFonts w:hint="eastAsia" w:ascii="宋体" w:hAnsi="宋体"/>
                <w:color w:val="auto"/>
                <w:position w:val="0"/>
                <w:szCs w:val="21"/>
                <w:highlight w:val="none"/>
              </w:rPr>
              <w:t>］分；</w:t>
            </w:r>
          </w:p>
          <w:p>
            <w:pPr>
              <w:spacing w:line="260" w:lineRule="exact"/>
              <w:ind w:left="210" w:hanging="210" w:hangingChars="100"/>
              <w:rPr>
                <w:rFonts w:ascii="宋体" w:hAnsi="宋体"/>
                <w:color w:val="auto"/>
                <w:position w:val="0"/>
                <w:szCs w:val="21"/>
                <w:highlight w:val="none"/>
              </w:rPr>
            </w:pPr>
            <w:r>
              <w:rPr>
                <w:rFonts w:hint="eastAsia" w:ascii="宋体" w:hAnsi="宋体"/>
                <w:color w:val="auto"/>
                <w:position w:val="0"/>
                <w:szCs w:val="21"/>
                <w:highlight w:val="none"/>
              </w:rPr>
              <w:t>b.对招标项目的理解一般，总体思路模糊，针对性一般的，得（</w:t>
            </w:r>
            <w:r>
              <w:rPr>
                <w:rFonts w:ascii="宋体" w:hAnsi="宋体"/>
                <w:color w:val="auto"/>
                <w:position w:val="0"/>
                <w:szCs w:val="21"/>
                <w:highlight w:val="none"/>
              </w:rPr>
              <w:t>6</w:t>
            </w:r>
            <w:r>
              <w:rPr>
                <w:rFonts w:hint="eastAsia" w:ascii="宋体" w:hAnsi="宋体"/>
                <w:color w:val="auto"/>
                <w:position w:val="0"/>
                <w:szCs w:val="21"/>
                <w:highlight w:val="none"/>
              </w:rPr>
              <w:t>，</w:t>
            </w:r>
            <w:r>
              <w:rPr>
                <w:rFonts w:ascii="宋体" w:hAnsi="宋体"/>
                <w:color w:val="auto"/>
                <w:position w:val="0"/>
                <w:szCs w:val="21"/>
                <w:highlight w:val="none"/>
              </w:rPr>
              <w:t>8</w:t>
            </w:r>
            <w:r>
              <w:rPr>
                <w:rFonts w:hint="eastAsia" w:ascii="宋体" w:hAnsi="宋体"/>
                <w:color w:val="auto"/>
                <w:position w:val="0"/>
                <w:szCs w:val="21"/>
                <w:highlight w:val="none"/>
              </w:rPr>
              <w:t>］分；</w:t>
            </w:r>
          </w:p>
          <w:p>
            <w:pPr>
              <w:spacing w:line="260" w:lineRule="exact"/>
              <w:ind w:left="210" w:hanging="210" w:hangingChars="100"/>
              <w:rPr>
                <w:rFonts w:ascii="宋体" w:hAnsi="宋体"/>
                <w:color w:val="auto"/>
                <w:position w:val="0"/>
                <w:szCs w:val="21"/>
                <w:highlight w:val="none"/>
              </w:rPr>
            </w:pPr>
            <w:r>
              <w:rPr>
                <w:rFonts w:hint="eastAsia" w:ascii="宋体" w:hAnsi="宋体"/>
                <w:color w:val="auto"/>
                <w:position w:val="0"/>
                <w:szCs w:val="21"/>
                <w:highlight w:val="none"/>
              </w:rPr>
              <w:t>c.对招标项目的理解空洞，总体思路混乱，无针对性的，得6分。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51" w:hRule="atLeast"/>
          <w:jc w:val="center"/>
        </w:trPr>
        <w:tc>
          <w:tcPr>
            <w:tcW w:w="1004" w:type="dxa"/>
            <w:vMerge w:val="continue"/>
            <w:noWrap w:val="0"/>
            <w:vAlign w:val="center"/>
          </w:tcPr>
          <w:p>
            <w:pPr>
              <w:spacing w:line="260" w:lineRule="exact"/>
              <w:rPr>
                <w:rFonts w:ascii="宋体" w:hAnsi="宋体"/>
                <w:color w:val="auto"/>
                <w:position w:val="0"/>
                <w:szCs w:val="21"/>
                <w:highlight w:val="none"/>
              </w:rPr>
            </w:pPr>
          </w:p>
        </w:tc>
        <w:tc>
          <w:tcPr>
            <w:tcW w:w="1314" w:type="dxa"/>
            <w:vMerge w:val="continue"/>
            <w:noWrap w:val="0"/>
            <w:vAlign w:val="center"/>
          </w:tcPr>
          <w:p>
            <w:pPr>
              <w:spacing w:line="260" w:lineRule="exact"/>
              <w:rPr>
                <w:rFonts w:hint="eastAsia" w:ascii="宋体" w:hAnsi="宋体"/>
                <w:color w:val="auto"/>
                <w:position w:val="0"/>
                <w:szCs w:val="21"/>
                <w:highlight w:val="none"/>
              </w:rPr>
            </w:pPr>
          </w:p>
        </w:tc>
        <w:tc>
          <w:tcPr>
            <w:tcW w:w="1708" w:type="dxa"/>
            <w:noWrap w:val="0"/>
            <w:vAlign w:val="center"/>
          </w:tcPr>
          <w:p>
            <w:pPr>
              <w:spacing w:line="260" w:lineRule="exact"/>
              <w:jc w:val="left"/>
              <w:rPr>
                <w:rFonts w:ascii="宋体" w:hAnsi="宋体"/>
                <w:color w:val="auto"/>
                <w:position w:val="0"/>
                <w:szCs w:val="21"/>
                <w:highlight w:val="none"/>
              </w:rPr>
            </w:pPr>
            <w:r>
              <w:rPr>
                <w:rFonts w:hint="eastAsia" w:ascii="宋体" w:hAnsi="宋体"/>
                <w:color w:val="auto"/>
                <w:position w:val="0"/>
                <w:szCs w:val="21"/>
                <w:highlight w:val="none"/>
              </w:rPr>
              <w:t>招标项目的特点（包括地形、地质、区域环境、路网结构等）、关键技术问题的认识及其对策措施</w:t>
            </w:r>
          </w:p>
          <w:p>
            <w:pPr>
              <w:spacing w:line="260" w:lineRule="exact"/>
              <w:jc w:val="center"/>
              <w:rPr>
                <w:rFonts w:ascii="宋体" w:hAnsi="宋体"/>
                <w:color w:val="auto"/>
                <w:position w:val="0"/>
                <w:szCs w:val="21"/>
                <w:highlight w:val="none"/>
              </w:rPr>
            </w:pPr>
            <w:r>
              <w:rPr>
                <w:rFonts w:hint="eastAsia" w:ascii="宋体" w:hAnsi="宋体"/>
                <w:color w:val="auto"/>
                <w:position w:val="0"/>
                <w:szCs w:val="21"/>
                <w:highlight w:val="none"/>
              </w:rPr>
              <w:t>（</w:t>
            </w:r>
            <w:r>
              <w:rPr>
                <w:rFonts w:ascii="宋体" w:hAnsi="宋体"/>
                <w:color w:val="auto"/>
                <w:position w:val="0"/>
                <w:szCs w:val="21"/>
                <w:highlight w:val="none"/>
              </w:rPr>
              <w:t>15</w:t>
            </w:r>
            <w:r>
              <w:rPr>
                <w:rFonts w:hint="eastAsia" w:ascii="宋体" w:hAnsi="宋体"/>
                <w:color w:val="auto"/>
                <w:position w:val="0"/>
                <w:szCs w:val="21"/>
                <w:highlight w:val="none"/>
              </w:rPr>
              <w:t>分）</w:t>
            </w:r>
          </w:p>
        </w:tc>
        <w:tc>
          <w:tcPr>
            <w:tcW w:w="4942" w:type="dxa"/>
            <w:noWrap w:val="0"/>
            <w:vAlign w:val="center"/>
          </w:tcPr>
          <w:p>
            <w:pPr>
              <w:spacing w:line="260" w:lineRule="exact"/>
              <w:ind w:left="210" w:hanging="210" w:hangingChars="100"/>
              <w:rPr>
                <w:rFonts w:ascii="宋体" w:hAnsi="宋体"/>
                <w:color w:val="auto"/>
                <w:position w:val="0"/>
                <w:szCs w:val="21"/>
                <w:highlight w:val="none"/>
              </w:rPr>
            </w:pPr>
            <w:r>
              <w:rPr>
                <w:rFonts w:hint="eastAsia" w:ascii="宋体" w:hAnsi="宋体"/>
                <w:color w:val="auto"/>
                <w:position w:val="0"/>
                <w:szCs w:val="21"/>
                <w:highlight w:val="none"/>
              </w:rPr>
              <w:t>a.对招标项目的特点认识清晰、对关键技术分析到位且其对策措施先进的，得（</w:t>
            </w:r>
            <w:r>
              <w:rPr>
                <w:rFonts w:ascii="宋体" w:hAnsi="宋体"/>
                <w:color w:val="auto"/>
                <w:position w:val="0"/>
                <w:szCs w:val="21"/>
                <w:highlight w:val="none"/>
              </w:rPr>
              <w:t>12</w:t>
            </w:r>
            <w:r>
              <w:rPr>
                <w:rFonts w:hint="eastAsia" w:ascii="宋体" w:hAnsi="宋体"/>
                <w:color w:val="auto"/>
                <w:position w:val="0"/>
                <w:szCs w:val="21"/>
                <w:highlight w:val="none"/>
              </w:rPr>
              <w:t>，</w:t>
            </w:r>
            <w:r>
              <w:rPr>
                <w:rFonts w:ascii="宋体" w:hAnsi="宋体"/>
                <w:color w:val="auto"/>
                <w:position w:val="0"/>
                <w:szCs w:val="21"/>
                <w:highlight w:val="none"/>
              </w:rPr>
              <w:t>15</w:t>
            </w:r>
            <w:r>
              <w:rPr>
                <w:rFonts w:hint="eastAsia" w:ascii="宋体" w:hAnsi="宋体"/>
                <w:color w:val="auto"/>
                <w:position w:val="0"/>
                <w:szCs w:val="21"/>
                <w:highlight w:val="none"/>
              </w:rPr>
              <w:t xml:space="preserve">］分； </w:t>
            </w:r>
          </w:p>
          <w:p>
            <w:pPr>
              <w:spacing w:line="260" w:lineRule="exact"/>
              <w:ind w:left="210" w:hanging="210" w:hangingChars="100"/>
              <w:rPr>
                <w:rFonts w:ascii="宋体" w:hAnsi="宋体"/>
                <w:color w:val="auto"/>
                <w:position w:val="0"/>
                <w:szCs w:val="21"/>
                <w:highlight w:val="none"/>
              </w:rPr>
            </w:pPr>
            <w:r>
              <w:rPr>
                <w:rFonts w:hint="eastAsia" w:ascii="宋体" w:hAnsi="宋体"/>
                <w:color w:val="auto"/>
                <w:position w:val="0"/>
                <w:szCs w:val="21"/>
                <w:highlight w:val="none"/>
              </w:rPr>
              <w:t>b.对招标项目的特点认识模糊、对关键技术分析一般且其对策措施基本适宜的，得（</w:t>
            </w:r>
            <w:r>
              <w:rPr>
                <w:rFonts w:ascii="宋体" w:hAnsi="宋体"/>
                <w:color w:val="auto"/>
                <w:position w:val="0"/>
                <w:szCs w:val="21"/>
                <w:highlight w:val="none"/>
              </w:rPr>
              <w:t>9</w:t>
            </w:r>
            <w:r>
              <w:rPr>
                <w:rFonts w:hint="eastAsia" w:ascii="宋体" w:hAnsi="宋体"/>
                <w:color w:val="auto"/>
                <w:position w:val="0"/>
                <w:szCs w:val="21"/>
                <w:highlight w:val="none"/>
              </w:rPr>
              <w:t>，</w:t>
            </w:r>
            <w:r>
              <w:rPr>
                <w:rFonts w:ascii="宋体" w:hAnsi="宋体"/>
                <w:color w:val="auto"/>
                <w:position w:val="0"/>
                <w:szCs w:val="21"/>
                <w:highlight w:val="none"/>
              </w:rPr>
              <w:t>12</w:t>
            </w:r>
            <w:r>
              <w:rPr>
                <w:rFonts w:hint="eastAsia" w:ascii="宋体" w:hAnsi="宋体"/>
                <w:color w:val="auto"/>
                <w:position w:val="0"/>
                <w:szCs w:val="21"/>
                <w:highlight w:val="none"/>
              </w:rPr>
              <w:t>］分；</w:t>
            </w:r>
          </w:p>
          <w:p>
            <w:pPr>
              <w:spacing w:line="260" w:lineRule="exact"/>
              <w:ind w:left="210" w:hanging="210" w:hangingChars="100"/>
              <w:rPr>
                <w:rFonts w:hint="eastAsia" w:ascii="宋体" w:hAnsi="宋体"/>
                <w:color w:val="auto"/>
                <w:position w:val="0"/>
                <w:szCs w:val="21"/>
                <w:highlight w:val="none"/>
              </w:rPr>
            </w:pPr>
            <w:r>
              <w:rPr>
                <w:rFonts w:hint="eastAsia" w:ascii="宋体" w:hAnsi="宋体"/>
                <w:color w:val="auto"/>
                <w:position w:val="0"/>
                <w:szCs w:val="21"/>
                <w:highlight w:val="none"/>
              </w:rPr>
              <w:t>c.对招标项目的特点认识空洞、对关键技术分析缺失且无对策措施的，得</w:t>
            </w:r>
            <w:r>
              <w:rPr>
                <w:rFonts w:ascii="宋体" w:hAnsi="宋体"/>
                <w:color w:val="auto"/>
                <w:position w:val="0"/>
                <w:szCs w:val="21"/>
                <w:highlight w:val="none"/>
              </w:rPr>
              <w:t>9</w:t>
            </w:r>
            <w:r>
              <w:rPr>
                <w:rFonts w:hint="eastAsia" w:ascii="宋体" w:hAnsi="宋体"/>
                <w:color w:val="auto"/>
                <w:position w:val="0"/>
                <w:szCs w:val="21"/>
                <w:highlight w:val="none"/>
              </w:rPr>
              <w:t>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51" w:hRule="atLeast"/>
          <w:jc w:val="center"/>
        </w:trPr>
        <w:tc>
          <w:tcPr>
            <w:tcW w:w="1004" w:type="dxa"/>
            <w:vMerge w:val="continue"/>
            <w:noWrap w:val="0"/>
            <w:vAlign w:val="center"/>
          </w:tcPr>
          <w:p>
            <w:pPr>
              <w:spacing w:line="260" w:lineRule="exact"/>
              <w:rPr>
                <w:rFonts w:ascii="宋体" w:hAnsi="宋体"/>
                <w:color w:val="auto"/>
                <w:position w:val="0"/>
                <w:szCs w:val="21"/>
                <w:highlight w:val="none"/>
              </w:rPr>
            </w:pPr>
          </w:p>
        </w:tc>
        <w:tc>
          <w:tcPr>
            <w:tcW w:w="1314" w:type="dxa"/>
            <w:vMerge w:val="continue"/>
            <w:noWrap w:val="0"/>
            <w:vAlign w:val="center"/>
          </w:tcPr>
          <w:p>
            <w:pPr>
              <w:spacing w:line="260" w:lineRule="exact"/>
              <w:rPr>
                <w:rFonts w:hint="eastAsia" w:ascii="宋体" w:hAnsi="宋体"/>
                <w:color w:val="auto"/>
                <w:position w:val="0"/>
                <w:szCs w:val="21"/>
                <w:highlight w:val="none"/>
              </w:rPr>
            </w:pPr>
          </w:p>
        </w:tc>
        <w:tc>
          <w:tcPr>
            <w:tcW w:w="1708" w:type="dxa"/>
            <w:noWrap w:val="0"/>
            <w:vAlign w:val="center"/>
          </w:tcPr>
          <w:p>
            <w:pPr>
              <w:spacing w:line="260" w:lineRule="exact"/>
              <w:jc w:val="left"/>
              <w:rPr>
                <w:rFonts w:ascii="宋体" w:hAnsi="宋体"/>
                <w:color w:val="auto"/>
                <w:position w:val="0"/>
                <w:szCs w:val="21"/>
                <w:highlight w:val="none"/>
              </w:rPr>
            </w:pPr>
            <w:r>
              <w:rPr>
                <w:rFonts w:hint="eastAsia" w:ascii="宋体" w:hAnsi="宋体"/>
                <w:color w:val="auto"/>
                <w:position w:val="0"/>
                <w:szCs w:val="21"/>
                <w:highlight w:val="none"/>
              </w:rPr>
              <w:t>可研编制的质量保证措施、进度保证措施、安全保障措施（</w:t>
            </w:r>
            <w:r>
              <w:rPr>
                <w:rFonts w:ascii="宋体" w:hAnsi="宋体"/>
                <w:color w:val="auto"/>
                <w:position w:val="0"/>
                <w:szCs w:val="21"/>
                <w:highlight w:val="none"/>
              </w:rPr>
              <w:t>10</w:t>
            </w:r>
            <w:r>
              <w:rPr>
                <w:rFonts w:hint="eastAsia" w:ascii="宋体" w:hAnsi="宋体"/>
                <w:color w:val="auto"/>
                <w:position w:val="0"/>
                <w:szCs w:val="21"/>
                <w:highlight w:val="none"/>
              </w:rPr>
              <w:t>分）</w:t>
            </w:r>
          </w:p>
        </w:tc>
        <w:tc>
          <w:tcPr>
            <w:tcW w:w="4942" w:type="dxa"/>
            <w:noWrap w:val="0"/>
            <w:vAlign w:val="center"/>
          </w:tcPr>
          <w:p>
            <w:pPr>
              <w:spacing w:line="260" w:lineRule="exact"/>
              <w:ind w:left="210" w:hanging="210" w:hangingChars="100"/>
              <w:rPr>
                <w:rFonts w:ascii="宋体" w:hAnsi="宋体"/>
                <w:color w:val="auto"/>
                <w:position w:val="0"/>
                <w:szCs w:val="21"/>
                <w:highlight w:val="none"/>
              </w:rPr>
            </w:pPr>
            <w:r>
              <w:rPr>
                <w:rFonts w:hint="eastAsia" w:ascii="宋体" w:hAnsi="宋体"/>
                <w:color w:val="auto"/>
                <w:position w:val="0"/>
                <w:szCs w:val="21"/>
                <w:highlight w:val="none"/>
              </w:rPr>
              <w:t>a.质量、进度、安全保证措施合理，且具有针对性的，得（</w:t>
            </w:r>
            <w:r>
              <w:rPr>
                <w:rFonts w:ascii="宋体" w:hAnsi="宋体"/>
                <w:color w:val="auto"/>
                <w:position w:val="0"/>
                <w:szCs w:val="21"/>
                <w:highlight w:val="none"/>
              </w:rPr>
              <w:t>8</w:t>
            </w:r>
            <w:r>
              <w:rPr>
                <w:rFonts w:hint="eastAsia" w:ascii="宋体" w:hAnsi="宋体"/>
                <w:color w:val="auto"/>
                <w:position w:val="0"/>
                <w:szCs w:val="21"/>
                <w:highlight w:val="none"/>
              </w:rPr>
              <w:t>，</w:t>
            </w:r>
            <w:r>
              <w:rPr>
                <w:rFonts w:ascii="宋体" w:hAnsi="宋体"/>
                <w:color w:val="auto"/>
                <w:position w:val="0"/>
                <w:szCs w:val="21"/>
                <w:highlight w:val="none"/>
              </w:rPr>
              <w:t>10</w:t>
            </w:r>
            <w:r>
              <w:rPr>
                <w:rFonts w:hint="eastAsia" w:ascii="宋体" w:hAnsi="宋体"/>
                <w:color w:val="auto"/>
                <w:position w:val="0"/>
                <w:szCs w:val="21"/>
                <w:highlight w:val="none"/>
              </w:rPr>
              <w:t>］分；</w:t>
            </w:r>
          </w:p>
          <w:p>
            <w:pPr>
              <w:spacing w:line="260" w:lineRule="exact"/>
              <w:ind w:left="210" w:hanging="210" w:hangingChars="100"/>
              <w:rPr>
                <w:rFonts w:ascii="宋体" w:hAnsi="宋体"/>
                <w:color w:val="auto"/>
                <w:position w:val="0"/>
                <w:szCs w:val="21"/>
                <w:highlight w:val="none"/>
              </w:rPr>
            </w:pPr>
            <w:r>
              <w:rPr>
                <w:rFonts w:hint="eastAsia" w:ascii="宋体" w:hAnsi="宋体"/>
                <w:color w:val="auto"/>
                <w:position w:val="0"/>
                <w:szCs w:val="21"/>
                <w:highlight w:val="none"/>
              </w:rPr>
              <w:t>b.质量、进度、安全保证措施基本可行，针对性一般的，得（</w:t>
            </w:r>
            <w:r>
              <w:rPr>
                <w:rFonts w:ascii="宋体" w:hAnsi="宋体"/>
                <w:color w:val="auto"/>
                <w:position w:val="0"/>
                <w:szCs w:val="21"/>
                <w:highlight w:val="none"/>
              </w:rPr>
              <w:t>6</w:t>
            </w:r>
            <w:r>
              <w:rPr>
                <w:rFonts w:hint="eastAsia" w:ascii="宋体" w:hAnsi="宋体"/>
                <w:color w:val="auto"/>
                <w:position w:val="0"/>
                <w:szCs w:val="21"/>
                <w:highlight w:val="none"/>
              </w:rPr>
              <w:t>，</w:t>
            </w:r>
            <w:r>
              <w:rPr>
                <w:rFonts w:ascii="宋体" w:hAnsi="宋体"/>
                <w:color w:val="auto"/>
                <w:position w:val="0"/>
                <w:szCs w:val="21"/>
                <w:highlight w:val="none"/>
              </w:rPr>
              <w:t>8</w:t>
            </w:r>
            <w:r>
              <w:rPr>
                <w:rFonts w:hint="eastAsia" w:ascii="宋体" w:hAnsi="宋体"/>
                <w:color w:val="auto"/>
                <w:position w:val="0"/>
                <w:szCs w:val="21"/>
                <w:highlight w:val="none"/>
              </w:rPr>
              <w:t>］分；</w:t>
            </w:r>
          </w:p>
          <w:p>
            <w:pPr>
              <w:spacing w:line="260" w:lineRule="exact"/>
              <w:ind w:left="210" w:hanging="210" w:hangingChars="100"/>
              <w:rPr>
                <w:rFonts w:ascii="宋体" w:hAnsi="宋体"/>
                <w:color w:val="auto"/>
                <w:position w:val="0"/>
                <w:szCs w:val="21"/>
                <w:highlight w:val="none"/>
              </w:rPr>
            </w:pPr>
            <w:r>
              <w:rPr>
                <w:rFonts w:hint="eastAsia" w:ascii="宋体" w:hAnsi="宋体"/>
                <w:color w:val="auto"/>
                <w:position w:val="0"/>
                <w:szCs w:val="21"/>
                <w:highlight w:val="none"/>
              </w:rPr>
              <w:t>c.质量、进度、安全保证措施空洞，无针对性的，得</w:t>
            </w:r>
            <w:r>
              <w:rPr>
                <w:rFonts w:ascii="宋体" w:hAnsi="宋体"/>
                <w:color w:val="auto"/>
                <w:position w:val="0"/>
                <w:szCs w:val="21"/>
                <w:highlight w:val="none"/>
              </w:rPr>
              <w:t>6</w:t>
            </w:r>
            <w:r>
              <w:rPr>
                <w:rFonts w:hint="eastAsia" w:ascii="宋体" w:hAnsi="宋体"/>
                <w:color w:val="auto"/>
                <w:position w:val="0"/>
                <w:szCs w:val="21"/>
                <w:highlight w:val="none"/>
              </w:rPr>
              <w:t>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51" w:hRule="atLeast"/>
          <w:jc w:val="center"/>
        </w:trPr>
        <w:tc>
          <w:tcPr>
            <w:tcW w:w="1004" w:type="dxa"/>
            <w:vMerge w:val="continue"/>
            <w:noWrap w:val="0"/>
            <w:vAlign w:val="center"/>
          </w:tcPr>
          <w:p>
            <w:pPr>
              <w:spacing w:line="260" w:lineRule="exact"/>
              <w:rPr>
                <w:rFonts w:ascii="宋体" w:hAnsi="宋体"/>
                <w:color w:val="auto"/>
                <w:position w:val="0"/>
                <w:szCs w:val="21"/>
                <w:highlight w:val="none"/>
              </w:rPr>
            </w:pPr>
          </w:p>
        </w:tc>
        <w:tc>
          <w:tcPr>
            <w:tcW w:w="1314" w:type="dxa"/>
            <w:vMerge w:val="continue"/>
            <w:noWrap w:val="0"/>
            <w:vAlign w:val="center"/>
          </w:tcPr>
          <w:p>
            <w:pPr>
              <w:spacing w:line="260" w:lineRule="exact"/>
              <w:rPr>
                <w:rFonts w:hint="eastAsia" w:ascii="宋体" w:hAnsi="宋体"/>
                <w:color w:val="auto"/>
                <w:position w:val="0"/>
                <w:szCs w:val="21"/>
                <w:highlight w:val="none"/>
              </w:rPr>
            </w:pPr>
          </w:p>
        </w:tc>
        <w:tc>
          <w:tcPr>
            <w:tcW w:w="1708" w:type="dxa"/>
            <w:noWrap w:val="0"/>
            <w:vAlign w:val="center"/>
          </w:tcPr>
          <w:p>
            <w:pPr>
              <w:spacing w:line="260" w:lineRule="exact"/>
              <w:jc w:val="left"/>
              <w:rPr>
                <w:rFonts w:hint="eastAsia" w:ascii="宋体" w:hAnsi="宋体"/>
                <w:color w:val="auto"/>
                <w:position w:val="0"/>
                <w:szCs w:val="21"/>
                <w:highlight w:val="none"/>
              </w:rPr>
            </w:pPr>
            <w:r>
              <w:rPr>
                <w:rFonts w:hint="eastAsia" w:ascii="宋体" w:hAnsi="宋体"/>
                <w:color w:val="auto"/>
                <w:position w:val="0"/>
                <w:szCs w:val="21"/>
                <w:highlight w:val="none"/>
              </w:rPr>
              <w:t>可研编制工作量及计划安排（5分）</w:t>
            </w:r>
          </w:p>
        </w:tc>
        <w:tc>
          <w:tcPr>
            <w:tcW w:w="4942" w:type="dxa"/>
            <w:noWrap w:val="0"/>
            <w:vAlign w:val="center"/>
          </w:tcPr>
          <w:p>
            <w:pPr>
              <w:spacing w:line="260" w:lineRule="exact"/>
              <w:ind w:left="210" w:hanging="210" w:hangingChars="100"/>
              <w:rPr>
                <w:rFonts w:ascii="宋体" w:hAnsi="宋体"/>
                <w:color w:val="auto"/>
                <w:position w:val="0"/>
                <w:szCs w:val="21"/>
                <w:highlight w:val="none"/>
              </w:rPr>
            </w:pPr>
            <w:r>
              <w:rPr>
                <w:rFonts w:hint="eastAsia" w:ascii="宋体" w:hAnsi="宋体"/>
                <w:color w:val="auto"/>
                <w:position w:val="0"/>
                <w:szCs w:val="21"/>
                <w:highlight w:val="none"/>
              </w:rPr>
              <w:t>a.可研编制工作量及计划安排合理，能切实指导工作进度的，（</w:t>
            </w:r>
            <w:r>
              <w:rPr>
                <w:rFonts w:ascii="宋体" w:hAnsi="宋体"/>
                <w:color w:val="auto"/>
                <w:position w:val="0"/>
                <w:szCs w:val="21"/>
                <w:highlight w:val="none"/>
              </w:rPr>
              <w:t>4</w:t>
            </w:r>
            <w:r>
              <w:rPr>
                <w:rFonts w:hint="eastAsia" w:ascii="宋体" w:hAnsi="宋体"/>
                <w:color w:val="auto"/>
                <w:position w:val="0"/>
                <w:szCs w:val="21"/>
                <w:highlight w:val="none"/>
              </w:rPr>
              <w:t>，</w:t>
            </w:r>
            <w:r>
              <w:rPr>
                <w:rFonts w:ascii="宋体" w:hAnsi="宋体"/>
                <w:color w:val="auto"/>
                <w:position w:val="0"/>
                <w:szCs w:val="21"/>
                <w:highlight w:val="none"/>
              </w:rPr>
              <w:t>5</w:t>
            </w:r>
            <w:r>
              <w:rPr>
                <w:rFonts w:hint="eastAsia" w:ascii="宋体" w:hAnsi="宋体"/>
                <w:color w:val="auto"/>
                <w:position w:val="0"/>
                <w:szCs w:val="21"/>
                <w:highlight w:val="none"/>
              </w:rPr>
              <w:t>］分；</w:t>
            </w:r>
          </w:p>
          <w:p>
            <w:pPr>
              <w:spacing w:line="260" w:lineRule="exact"/>
              <w:ind w:left="210" w:hanging="210" w:hangingChars="100"/>
              <w:rPr>
                <w:rFonts w:ascii="宋体" w:hAnsi="宋体"/>
                <w:color w:val="auto"/>
                <w:position w:val="0"/>
                <w:szCs w:val="21"/>
                <w:highlight w:val="none"/>
              </w:rPr>
            </w:pPr>
            <w:r>
              <w:rPr>
                <w:rFonts w:hint="eastAsia" w:ascii="宋体" w:hAnsi="宋体"/>
                <w:color w:val="auto"/>
                <w:position w:val="0"/>
                <w:szCs w:val="21"/>
                <w:highlight w:val="none"/>
              </w:rPr>
              <w:t>b.可研编制工作量及计划安排一般，基本能指导工作进度的，（</w:t>
            </w:r>
            <w:r>
              <w:rPr>
                <w:rFonts w:ascii="宋体" w:hAnsi="宋体"/>
                <w:color w:val="auto"/>
                <w:position w:val="0"/>
                <w:szCs w:val="21"/>
                <w:highlight w:val="none"/>
              </w:rPr>
              <w:t>3</w:t>
            </w:r>
            <w:r>
              <w:rPr>
                <w:rFonts w:hint="eastAsia" w:ascii="宋体" w:hAnsi="宋体"/>
                <w:color w:val="auto"/>
                <w:position w:val="0"/>
                <w:szCs w:val="21"/>
                <w:highlight w:val="none"/>
              </w:rPr>
              <w:t>，</w:t>
            </w:r>
            <w:r>
              <w:rPr>
                <w:rFonts w:ascii="宋体" w:hAnsi="宋体"/>
                <w:color w:val="auto"/>
                <w:position w:val="0"/>
                <w:szCs w:val="21"/>
                <w:highlight w:val="none"/>
              </w:rPr>
              <w:t>4</w:t>
            </w:r>
            <w:r>
              <w:rPr>
                <w:rFonts w:hint="eastAsia" w:ascii="宋体" w:hAnsi="宋体"/>
                <w:color w:val="auto"/>
                <w:position w:val="0"/>
                <w:szCs w:val="21"/>
                <w:highlight w:val="none"/>
              </w:rPr>
              <w:t>］分；</w:t>
            </w:r>
          </w:p>
          <w:p>
            <w:pPr>
              <w:spacing w:line="260" w:lineRule="exact"/>
              <w:ind w:left="210" w:hanging="210" w:hangingChars="100"/>
              <w:rPr>
                <w:rFonts w:hint="eastAsia" w:ascii="宋体" w:hAnsi="宋体"/>
                <w:color w:val="auto"/>
                <w:position w:val="0"/>
                <w:szCs w:val="21"/>
                <w:highlight w:val="none"/>
              </w:rPr>
            </w:pPr>
            <w:r>
              <w:rPr>
                <w:rFonts w:hint="eastAsia" w:ascii="宋体" w:hAnsi="宋体"/>
                <w:color w:val="auto"/>
                <w:position w:val="0"/>
                <w:szCs w:val="21"/>
                <w:highlight w:val="none"/>
              </w:rPr>
              <w:t>c.可研编制工作量及计划安排不合理，对工作进度无指导性的，3分。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84" w:hRule="atLeast"/>
          <w:jc w:val="center"/>
        </w:trPr>
        <w:tc>
          <w:tcPr>
            <w:tcW w:w="1004" w:type="dxa"/>
            <w:vMerge w:val="restart"/>
            <w:noWrap w:val="0"/>
            <w:vAlign w:val="center"/>
          </w:tcPr>
          <w:p>
            <w:pPr>
              <w:spacing w:line="260" w:lineRule="exact"/>
              <w:rPr>
                <w:rFonts w:hint="eastAsia" w:ascii="宋体" w:hAnsi="宋体"/>
                <w:color w:val="auto"/>
                <w:position w:val="0"/>
                <w:szCs w:val="21"/>
                <w:highlight w:val="none"/>
              </w:rPr>
            </w:pPr>
            <w:r>
              <w:rPr>
                <w:rFonts w:ascii="宋体" w:hAnsi="宋体"/>
                <w:color w:val="auto"/>
                <w:position w:val="0"/>
                <w:szCs w:val="21"/>
                <w:highlight w:val="none"/>
              </w:rPr>
              <w:t>2.</w:t>
            </w:r>
            <w:r>
              <w:rPr>
                <w:rFonts w:hint="eastAsia" w:ascii="宋体" w:hAnsi="宋体"/>
                <w:color w:val="auto"/>
                <w:position w:val="0"/>
                <w:szCs w:val="21"/>
                <w:highlight w:val="none"/>
              </w:rPr>
              <w:t>2.4</w:t>
            </w:r>
            <w:r>
              <w:rPr>
                <w:rFonts w:ascii="宋体" w:hAnsi="宋体"/>
                <w:color w:val="auto"/>
                <w:position w:val="0"/>
                <w:szCs w:val="21"/>
                <w:highlight w:val="none"/>
              </w:rPr>
              <w:t>（</w:t>
            </w:r>
            <w:r>
              <w:rPr>
                <w:rFonts w:hint="eastAsia" w:ascii="宋体" w:hAnsi="宋体"/>
                <w:color w:val="auto"/>
                <w:position w:val="0"/>
                <w:szCs w:val="21"/>
                <w:highlight w:val="none"/>
              </w:rPr>
              <w:t>2）</w:t>
            </w:r>
          </w:p>
        </w:tc>
        <w:tc>
          <w:tcPr>
            <w:tcW w:w="1314" w:type="dxa"/>
            <w:vMerge w:val="restart"/>
            <w:noWrap w:val="0"/>
            <w:vAlign w:val="center"/>
          </w:tcPr>
          <w:p>
            <w:pPr>
              <w:spacing w:line="260" w:lineRule="exact"/>
              <w:rPr>
                <w:rFonts w:ascii="宋体" w:hAnsi="宋体"/>
                <w:color w:val="auto"/>
                <w:position w:val="0"/>
                <w:szCs w:val="21"/>
                <w:highlight w:val="none"/>
              </w:rPr>
            </w:pPr>
            <w:r>
              <w:rPr>
                <w:rFonts w:hint="eastAsia" w:ascii="宋体" w:hAnsi="宋体"/>
                <w:color w:val="auto"/>
                <w:position w:val="0"/>
                <w:szCs w:val="21"/>
                <w:highlight w:val="none"/>
              </w:rPr>
              <w:t>拟投入本项目的人员资格和能力   （20分）</w:t>
            </w:r>
          </w:p>
        </w:tc>
        <w:tc>
          <w:tcPr>
            <w:tcW w:w="1708" w:type="dxa"/>
            <w:vMerge w:val="restart"/>
            <w:noWrap w:val="0"/>
            <w:vAlign w:val="center"/>
          </w:tcPr>
          <w:p>
            <w:pPr>
              <w:spacing w:line="260" w:lineRule="exact"/>
              <w:jc w:val="center"/>
              <w:rPr>
                <w:rFonts w:ascii="宋体" w:hAnsi="宋体"/>
                <w:color w:val="auto"/>
                <w:position w:val="0"/>
                <w:szCs w:val="21"/>
                <w:highlight w:val="none"/>
              </w:rPr>
            </w:pPr>
            <w:r>
              <w:rPr>
                <w:rFonts w:hint="eastAsia" w:ascii="宋体" w:hAnsi="宋体"/>
                <w:color w:val="auto"/>
                <w:position w:val="0"/>
                <w:szCs w:val="21"/>
                <w:highlight w:val="none"/>
              </w:rPr>
              <w:t>项目负责人</w:t>
            </w:r>
          </w:p>
          <w:p>
            <w:pPr>
              <w:spacing w:line="260" w:lineRule="exact"/>
              <w:jc w:val="center"/>
              <w:rPr>
                <w:rFonts w:ascii="宋体" w:hAnsi="宋体"/>
                <w:color w:val="auto"/>
                <w:position w:val="0"/>
                <w:szCs w:val="21"/>
                <w:highlight w:val="none"/>
              </w:rPr>
            </w:pPr>
            <w:r>
              <w:rPr>
                <w:rFonts w:hint="eastAsia" w:ascii="宋体" w:hAnsi="宋体"/>
                <w:color w:val="auto"/>
                <w:position w:val="0"/>
                <w:szCs w:val="21"/>
                <w:highlight w:val="none"/>
              </w:rPr>
              <w:t>（</w:t>
            </w:r>
            <w:r>
              <w:rPr>
                <w:rFonts w:ascii="宋体" w:hAnsi="宋体"/>
                <w:color w:val="auto"/>
                <w:position w:val="0"/>
                <w:szCs w:val="21"/>
                <w:highlight w:val="none"/>
              </w:rPr>
              <w:t>10</w:t>
            </w:r>
            <w:r>
              <w:rPr>
                <w:rFonts w:hint="eastAsia" w:ascii="宋体" w:hAnsi="宋体"/>
                <w:color w:val="auto"/>
                <w:position w:val="0"/>
                <w:szCs w:val="21"/>
                <w:highlight w:val="none"/>
              </w:rPr>
              <w:t>分）</w:t>
            </w:r>
          </w:p>
        </w:tc>
        <w:tc>
          <w:tcPr>
            <w:tcW w:w="4942" w:type="dxa"/>
            <w:noWrap w:val="0"/>
            <w:vAlign w:val="center"/>
          </w:tcPr>
          <w:p>
            <w:pPr>
              <w:spacing w:line="260" w:lineRule="exact"/>
              <w:jc w:val="left"/>
              <w:rPr>
                <w:rFonts w:hint="eastAsia" w:ascii="宋体" w:hAnsi="宋体"/>
                <w:color w:val="auto"/>
                <w:position w:val="0"/>
                <w:szCs w:val="21"/>
                <w:highlight w:val="none"/>
              </w:rPr>
            </w:pPr>
            <w:r>
              <w:rPr>
                <w:rFonts w:hint="eastAsia" w:ascii="宋体" w:hAnsi="宋体"/>
                <w:b/>
                <w:color w:val="auto"/>
                <w:position w:val="0"/>
                <w:szCs w:val="21"/>
                <w:highlight w:val="none"/>
              </w:rPr>
              <w:t>基本得分，</w:t>
            </w:r>
            <w:r>
              <w:rPr>
                <w:rFonts w:ascii="宋体" w:hAnsi="宋体"/>
                <w:b/>
                <w:color w:val="auto"/>
                <w:position w:val="0"/>
                <w:szCs w:val="21"/>
                <w:highlight w:val="none"/>
              </w:rPr>
              <w:t>6</w:t>
            </w:r>
            <w:r>
              <w:rPr>
                <w:rFonts w:hint="eastAsia" w:ascii="宋体" w:hAnsi="宋体"/>
                <w:b/>
                <w:color w:val="auto"/>
                <w:position w:val="0"/>
                <w:szCs w:val="21"/>
                <w:highlight w:val="none"/>
              </w:rPr>
              <w:t>分：</w:t>
            </w:r>
            <w:r>
              <w:rPr>
                <w:rFonts w:hint="eastAsia" w:ascii="宋体" w:hAnsi="宋体"/>
                <w:color w:val="auto"/>
                <w:position w:val="0"/>
                <w:szCs w:val="21"/>
                <w:highlight w:val="none"/>
              </w:rPr>
              <w:t>项目负责人资格满足附录</w:t>
            </w:r>
            <w:r>
              <w:rPr>
                <w:rFonts w:ascii="宋体" w:hAnsi="宋体"/>
                <w:color w:val="auto"/>
                <w:position w:val="0"/>
                <w:szCs w:val="21"/>
                <w:highlight w:val="none"/>
              </w:rPr>
              <w:t>4</w:t>
            </w:r>
            <w:r>
              <w:rPr>
                <w:rFonts w:hint="eastAsia" w:ascii="宋体" w:hAnsi="宋体"/>
                <w:color w:val="auto"/>
                <w:position w:val="0"/>
                <w:szCs w:val="21"/>
                <w:highlight w:val="none"/>
              </w:rPr>
              <w:t>要求的，得基本分</w:t>
            </w:r>
            <w:r>
              <w:rPr>
                <w:rFonts w:ascii="宋体" w:hAnsi="宋体"/>
                <w:color w:val="auto"/>
                <w:position w:val="0"/>
                <w:szCs w:val="21"/>
                <w:highlight w:val="none"/>
              </w:rPr>
              <w:t>6</w:t>
            </w:r>
            <w:r>
              <w:rPr>
                <w:rFonts w:hint="eastAsia" w:ascii="宋体" w:hAnsi="宋体"/>
                <w:color w:val="auto"/>
                <w:position w:val="0"/>
                <w:szCs w:val="21"/>
                <w:highlight w:val="none"/>
              </w:rPr>
              <w:t>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50" w:hRule="atLeast"/>
          <w:jc w:val="center"/>
        </w:trPr>
        <w:tc>
          <w:tcPr>
            <w:tcW w:w="1004" w:type="dxa"/>
            <w:vMerge w:val="continue"/>
            <w:noWrap w:val="0"/>
            <w:vAlign w:val="center"/>
          </w:tcPr>
          <w:p>
            <w:pPr>
              <w:spacing w:line="260" w:lineRule="exact"/>
              <w:jc w:val="center"/>
              <w:rPr>
                <w:rFonts w:ascii="宋体" w:hAnsi="宋体" w:cs="宋体"/>
                <w:color w:val="auto"/>
                <w:szCs w:val="21"/>
                <w:highlight w:val="none"/>
              </w:rPr>
            </w:pPr>
          </w:p>
        </w:tc>
        <w:tc>
          <w:tcPr>
            <w:tcW w:w="1314" w:type="dxa"/>
            <w:vMerge w:val="continue"/>
            <w:noWrap w:val="0"/>
            <w:vAlign w:val="center"/>
          </w:tcPr>
          <w:p>
            <w:pPr>
              <w:spacing w:line="260" w:lineRule="exact"/>
              <w:rPr>
                <w:rFonts w:hint="eastAsia" w:ascii="宋体" w:hAnsi="宋体" w:cs="宋体"/>
                <w:color w:val="auto"/>
                <w:szCs w:val="21"/>
                <w:highlight w:val="none"/>
              </w:rPr>
            </w:pPr>
          </w:p>
        </w:tc>
        <w:tc>
          <w:tcPr>
            <w:tcW w:w="1708" w:type="dxa"/>
            <w:vMerge w:val="continue"/>
            <w:noWrap w:val="0"/>
            <w:vAlign w:val="center"/>
          </w:tcPr>
          <w:p>
            <w:pPr>
              <w:spacing w:line="260" w:lineRule="exact"/>
              <w:jc w:val="center"/>
              <w:rPr>
                <w:rFonts w:hint="eastAsia" w:ascii="宋体" w:hAnsi="宋体"/>
                <w:color w:val="auto"/>
                <w:position w:val="0"/>
                <w:szCs w:val="21"/>
                <w:highlight w:val="none"/>
              </w:rPr>
            </w:pPr>
          </w:p>
        </w:tc>
        <w:tc>
          <w:tcPr>
            <w:tcW w:w="4942" w:type="dxa"/>
            <w:noWrap w:val="0"/>
            <w:vAlign w:val="center"/>
          </w:tcPr>
          <w:p>
            <w:pPr>
              <w:spacing w:line="260" w:lineRule="exact"/>
              <w:jc w:val="left"/>
              <w:rPr>
                <w:rFonts w:hint="eastAsia" w:ascii="宋体" w:hAnsi="宋体"/>
                <w:b/>
                <w:color w:val="auto"/>
                <w:position w:val="0"/>
                <w:szCs w:val="21"/>
                <w:highlight w:val="none"/>
              </w:rPr>
            </w:pPr>
            <w:r>
              <w:rPr>
                <w:rFonts w:hint="eastAsia" w:ascii="宋体" w:hAnsi="宋体"/>
                <w:b/>
                <w:color w:val="auto"/>
                <w:position w:val="0"/>
                <w:szCs w:val="21"/>
                <w:highlight w:val="none"/>
              </w:rPr>
              <w:t>职称加分，1分：</w:t>
            </w:r>
            <w:r>
              <w:rPr>
                <w:rFonts w:hint="eastAsia" w:ascii="宋体" w:hAnsi="宋体"/>
                <w:bCs/>
                <w:color w:val="auto"/>
                <w:position w:val="0"/>
                <w:szCs w:val="21"/>
                <w:highlight w:val="none"/>
              </w:rPr>
              <w:t>项目负责人有正高级（教授级高级、研究员级等）</w:t>
            </w:r>
            <w:r>
              <w:rPr>
                <w:rFonts w:hint="eastAsia" w:ascii="宋体" w:hAnsi="宋体"/>
                <w:bCs/>
                <w:color w:val="auto"/>
                <w:position w:val="0"/>
                <w:highlight w:val="none"/>
              </w:rPr>
              <w:t>或相当职称的</w:t>
            </w:r>
            <w:r>
              <w:rPr>
                <w:rFonts w:hint="eastAsia" w:ascii="宋体" w:hAnsi="宋体"/>
                <w:bCs/>
                <w:color w:val="auto"/>
                <w:position w:val="0"/>
                <w:szCs w:val="21"/>
                <w:highlight w:val="none"/>
              </w:rPr>
              <w:t>，加1分。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1004" w:type="dxa"/>
            <w:vMerge w:val="continue"/>
            <w:noWrap w:val="0"/>
            <w:vAlign w:val="center"/>
          </w:tcPr>
          <w:p>
            <w:pPr>
              <w:spacing w:line="260" w:lineRule="exact"/>
              <w:jc w:val="center"/>
              <w:rPr>
                <w:rFonts w:ascii="宋体" w:hAnsi="宋体" w:cs="宋体"/>
                <w:color w:val="auto"/>
                <w:szCs w:val="21"/>
                <w:highlight w:val="none"/>
              </w:rPr>
            </w:pPr>
          </w:p>
        </w:tc>
        <w:tc>
          <w:tcPr>
            <w:tcW w:w="1314" w:type="dxa"/>
            <w:vMerge w:val="continue"/>
            <w:noWrap w:val="0"/>
            <w:vAlign w:val="center"/>
          </w:tcPr>
          <w:p>
            <w:pPr>
              <w:spacing w:line="260" w:lineRule="exact"/>
              <w:rPr>
                <w:rFonts w:hint="eastAsia" w:ascii="宋体" w:hAnsi="宋体" w:cs="宋体"/>
                <w:color w:val="auto"/>
                <w:szCs w:val="21"/>
                <w:highlight w:val="none"/>
              </w:rPr>
            </w:pPr>
          </w:p>
        </w:tc>
        <w:tc>
          <w:tcPr>
            <w:tcW w:w="1708" w:type="dxa"/>
            <w:vMerge w:val="continue"/>
            <w:noWrap w:val="0"/>
            <w:vAlign w:val="center"/>
          </w:tcPr>
          <w:p>
            <w:pPr>
              <w:spacing w:line="260" w:lineRule="exact"/>
              <w:jc w:val="center"/>
              <w:rPr>
                <w:rFonts w:hint="eastAsia" w:ascii="宋体" w:hAnsi="宋体"/>
                <w:color w:val="auto"/>
                <w:position w:val="0"/>
                <w:szCs w:val="21"/>
                <w:highlight w:val="none"/>
              </w:rPr>
            </w:pPr>
          </w:p>
        </w:tc>
        <w:tc>
          <w:tcPr>
            <w:tcW w:w="4942" w:type="dxa"/>
            <w:noWrap w:val="0"/>
            <w:vAlign w:val="center"/>
          </w:tcPr>
          <w:p>
            <w:pPr>
              <w:spacing w:line="260" w:lineRule="exact"/>
              <w:jc w:val="left"/>
              <w:rPr>
                <w:rFonts w:hint="eastAsia" w:ascii="宋体" w:hAnsi="宋体"/>
                <w:bCs/>
                <w:color w:val="auto"/>
                <w:position w:val="0"/>
                <w:szCs w:val="21"/>
                <w:highlight w:val="none"/>
              </w:rPr>
            </w:pPr>
            <w:r>
              <w:rPr>
                <w:rFonts w:hint="eastAsia" w:ascii="宋体" w:hAnsi="宋体"/>
                <w:b/>
                <w:color w:val="auto"/>
                <w:position w:val="0"/>
                <w:szCs w:val="21"/>
                <w:highlight w:val="none"/>
              </w:rPr>
              <w:t>担任项目负责人加分，</w:t>
            </w:r>
            <w:r>
              <w:rPr>
                <w:rFonts w:ascii="宋体" w:hAnsi="宋体"/>
                <w:b/>
                <w:color w:val="auto"/>
                <w:position w:val="0"/>
                <w:szCs w:val="21"/>
                <w:highlight w:val="none"/>
              </w:rPr>
              <w:t>3</w:t>
            </w:r>
            <w:r>
              <w:rPr>
                <w:rFonts w:hint="eastAsia" w:ascii="宋体" w:hAnsi="宋体"/>
                <w:b/>
                <w:color w:val="auto"/>
                <w:position w:val="0"/>
                <w:szCs w:val="21"/>
                <w:highlight w:val="none"/>
              </w:rPr>
              <w:t>分：</w:t>
            </w:r>
            <w:r>
              <w:rPr>
                <w:rFonts w:hint="eastAsia" w:ascii="宋体" w:hAnsi="宋体"/>
                <w:bCs/>
                <w:color w:val="auto"/>
                <w:position w:val="0"/>
                <w:szCs w:val="21"/>
                <w:highlight w:val="none"/>
              </w:rPr>
              <w:t>项目负责人业绩满足最低要求后，</w:t>
            </w:r>
            <w:r>
              <w:rPr>
                <w:rFonts w:ascii="宋体" w:hAnsi="宋体"/>
                <w:bCs/>
                <w:color w:val="auto"/>
                <w:position w:val="0"/>
                <w:szCs w:val="21"/>
                <w:highlight w:val="none"/>
              </w:rPr>
              <w:t>近</w:t>
            </w:r>
            <w:r>
              <w:rPr>
                <w:rFonts w:hint="eastAsia" w:ascii="宋体" w:hAnsi="宋体"/>
                <w:bCs/>
                <w:color w:val="auto"/>
                <w:position w:val="0"/>
                <w:szCs w:val="21"/>
                <w:highlight w:val="none"/>
              </w:rPr>
              <w:t>五</w:t>
            </w:r>
            <w:r>
              <w:rPr>
                <w:rFonts w:ascii="宋体" w:hAnsi="宋体"/>
                <w:bCs/>
                <w:color w:val="auto"/>
                <w:position w:val="0"/>
                <w:szCs w:val="21"/>
                <w:highlight w:val="none"/>
              </w:rPr>
              <w:t>年</w:t>
            </w:r>
            <w:r>
              <w:rPr>
                <w:rFonts w:hint="eastAsia" w:ascii="宋体" w:hAnsi="宋体"/>
                <w:bCs/>
                <w:color w:val="auto"/>
                <w:position w:val="0"/>
                <w:szCs w:val="21"/>
                <w:highlight w:val="none"/>
              </w:rPr>
              <w:t>（201</w:t>
            </w:r>
            <w:r>
              <w:rPr>
                <w:rFonts w:ascii="宋体" w:hAnsi="宋体"/>
                <w:bCs/>
                <w:color w:val="auto"/>
                <w:position w:val="0"/>
                <w:szCs w:val="21"/>
                <w:highlight w:val="none"/>
              </w:rPr>
              <w:t>7</w:t>
            </w:r>
            <w:r>
              <w:rPr>
                <w:rFonts w:hint="eastAsia" w:ascii="宋体" w:hAnsi="宋体"/>
                <w:bCs/>
                <w:color w:val="auto"/>
                <w:position w:val="0"/>
                <w:szCs w:val="21"/>
                <w:highlight w:val="none"/>
              </w:rPr>
              <w:t>年1月1日至今）每增加</w:t>
            </w:r>
            <w:r>
              <w:rPr>
                <w:rFonts w:ascii="宋体" w:hAnsi="宋体"/>
                <w:bCs/>
                <w:color w:val="auto"/>
                <w:position w:val="0"/>
                <w:szCs w:val="21"/>
                <w:highlight w:val="none"/>
              </w:rPr>
              <w:t>1</w:t>
            </w:r>
            <w:r>
              <w:rPr>
                <w:rFonts w:hint="eastAsia" w:ascii="宋体" w:hAnsi="宋体"/>
                <w:bCs/>
                <w:color w:val="auto"/>
                <w:position w:val="0"/>
                <w:szCs w:val="21"/>
                <w:highlight w:val="none"/>
              </w:rPr>
              <w:t>项担任过</w:t>
            </w:r>
            <w:r>
              <w:rPr>
                <w:rFonts w:hint="eastAsia" w:ascii="宋体" w:hAnsi="宋体"/>
                <w:bCs/>
                <w:color w:val="auto"/>
                <w:position w:val="0"/>
                <w:szCs w:val="21"/>
                <w:highlight w:val="none"/>
                <w:lang w:eastAsia="zh-CN"/>
              </w:rPr>
              <w:t>高速</w:t>
            </w:r>
            <w:r>
              <w:rPr>
                <w:rFonts w:hint="eastAsia" w:ascii="宋体" w:hAnsi="宋体"/>
                <w:bCs/>
                <w:color w:val="auto"/>
                <w:position w:val="0"/>
                <w:szCs w:val="21"/>
                <w:highlight w:val="none"/>
              </w:rPr>
              <w:t>公路工程项目工程可行性研究报告编制项目负责人的加</w:t>
            </w:r>
            <w:r>
              <w:rPr>
                <w:rFonts w:ascii="宋体" w:hAnsi="宋体"/>
                <w:bCs/>
                <w:color w:val="auto"/>
                <w:position w:val="0"/>
                <w:szCs w:val="21"/>
                <w:highlight w:val="none"/>
              </w:rPr>
              <w:t>1</w:t>
            </w:r>
            <w:r>
              <w:rPr>
                <w:rFonts w:hint="eastAsia" w:ascii="宋体" w:hAnsi="宋体"/>
                <w:bCs/>
                <w:color w:val="auto"/>
                <w:position w:val="0"/>
                <w:szCs w:val="21"/>
                <w:highlight w:val="none"/>
              </w:rPr>
              <w:t>分，最多加</w:t>
            </w:r>
            <w:r>
              <w:rPr>
                <w:rFonts w:ascii="宋体" w:hAnsi="宋体"/>
                <w:bCs/>
                <w:color w:val="auto"/>
                <w:position w:val="0"/>
                <w:szCs w:val="21"/>
                <w:highlight w:val="none"/>
              </w:rPr>
              <w:t>3</w:t>
            </w:r>
            <w:r>
              <w:rPr>
                <w:rFonts w:hint="eastAsia" w:ascii="宋体" w:hAnsi="宋体"/>
                <w:bCs/>
                <w:color w:val="auto"/>
                <w:position w:val="0"/>
                <w:szCs w:val="21"/>
                <w:highlight w:val="none"/>
              </w:rPr>
              <w:t>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1004" w:type="dxa"/>
            <w:vMerge w:val="continue"/>
            <w:noWrap w:val="0"/>
            <w:vAlign w:val="center"/>
          </w:tcPr>
          <w:p>
            <w:pPr>
              <w:spacing w:line="260" w:lineRule="exact"/>
              <w:jc w:val="center"/>
              <w:rPr>
                <w:rFonts w:ascii="宋体" w:hAnsi="宋体" w:cs="宋体"/>
                <w:color w:val="auto"/>
                <w:szCs w:val="21"/>
                <w:highlight w:val="none"/>
              </w:rPr>
            </w:pPr>
          </w:p>
        </w:tc>
        <w:tc>
          <w:tcPr>
            <w:tcW w:w="1314" w:type="dxa"/>
            <w:vMerge w:val="continue"/>
            <w:noWrap w:val="0"/>
            <w:vAlign w:val="center"/>
          </w:tcPr>
          <w:p>
            <w:pPr>
              <w:spacing w:line="260" w:lineRule="exact"/>
              <w:rPr>
                <w:rFonts w:hint="eastAsia" w:ascii="宋体" w:hAnsi="宋体" w:cs="宋体"/>
                <w:color w:val="auto"/>
                <w:szCs w:val="21"/>
                <w:highlight w:val="none"/>
              </w:rPr>
            </w:pPr>
          </w:p>
        </w:tc>
        <w:tc>
          <w:tcPr>
            <w:tcW w:w="1708" w:type="dxa"/>
            <w:vMerge w:val="restart"/>
            <w:noWrap w:val="0"/>
            <w:vAlign w:val="center"/>
          </w:tcPr>
          <w:p>
            <w:pPr>
              <w:spacing w:line="280" w:lineRule="exact"/>
              <w:jc w:val="center"/>
              <w:rPr>
                <w:rFonts w:ascii="宋体" w:hAnsi="宋体"/>
                <w:color w:val="auto"/>
                <w:position w:val="0"/>
                <w:szCs w:val="21"/>
                <w:highlight w:val="none"/>
              </w:rPr>
            </w:pPr>
            <w:r>
              <w:rPr>
                <w:rFonts w:hint="eastAsia" w:ascii="宋体" w:hAnsi="宋体"/>
                <w:color w:val="auto"/>
                <w:position w:val="0"/>
                <w:szCs w:val="21"/>
                <w:highlight w:val="none"/>
              </w:rPr>
              <w:t>其他主要人员</w:t>
            </w:r>
          </w:p>
          <w:p>
            <w:pPr>
              <w:spacing w:line="260" w:lineRule="exact"/>
              <w:jc w:val="center"/>
              <w:rPr>
                <w:rFonts w:hint="eastAsia" w:ascii="宋体" w:hAnsi="宋体"/>
                <w:color w:val="auto"/>
                <w:position w:val="0"/>
                <w:szCs w:val="21"/>
                <w:highlight w:val="none"/>
              </w:rPr>
            </w:pPr>
            <w:r>
              <w:rPr>
                <w:rFonts w:hint="eastAsia" w:ascii="宋体" w:hAnsi="宋体"/>
                <w:color w:val="auto"/>
                <w:position w:val="0"/>
                <w:szCs w:val="21"/>
                <w:highlight w:val="none"/>
              </w:rPr>
              <w:t>（10分）</w:t>
            </w:r>
          </w:p>
        </w:tc>
        <w:tc>
          <w:tcPr>
            <w:tcW w:w="4942" w:type="dxa"/>
            <w:noWrap w:val="0"/>
            <w:vAlign w:val="center"/>
          </w:tcPr>
          <w:p>
            <w:pPr>
              <w:spacing w:line="260" w:lineRule="exact"/>
              <w:jc w:val="left"/>
              <w:rPr>
                <w:rFonts w:hint="eastAsia" w:ascii="宋体" w:hAnsi="宋体"/>
                <w:b/>
                <w:color w:val="auto"/>
                <w:position w:val="0"/>
                <w:szCs w:val="21"/>
                <w:highlight w:val="none"/>
              </w:rPr>
            </w:pPr>
            <w:r>
              <w:rPr>
                <w:rFonts w:hint="eastAsia" w:ascii="宋体" w:hAnsi="宋体"/>
                <w:b/>
                <w:color w:val="auto"/>
                <w:position w:val="0"/>
                <w:szCs w:val="21"/>
                <w:highlight w:val="none"/>
              </w:rPr>
              <w:t>基本得分，6分：</w:t>
            </w:r>
            <w:r>
              <w:rPr>
                <w:rFonts w:hint="eastAsia" w:ascii="宋体" w:hAnsi="宋体"/>
                <w:color w:val="auto"/>
                <w:position w:val="0"/>
                <w:szCs w:val="21"/>
                <w:highlight w:val="none"/>
              </w:rPr>
              <w:t>其他主要人员资格满足附录</w:t>
            </w:r>
            <w:r>
              <w:rPr>
                <w:rFonts w:ascii="宋体" w:hAnsi="宋体"/>
                <w:color w:val="auto"/>
                <w:position w:val="0"/>
                <w:szCs w:val="21"/>
                <w:highlight w:val="none"/>
              </w:rPr>
              <w:t>4</w:t>
            </w:r>
            <w:r>
              <w:rPr>
                <w:rFonts w:hint="eastAsia" w:ascii="宋体" w:hAnsi="宋体"/>
                <w:color w:val="auto"/>
                <w:position w:val="0"/>
                <w:szCs w:val="21"/>
                <w:highlight w:val="none"/>
              </w:rPr>
              <w:t>最低要求的，得基本分6分。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1004" w:type="dxa"/>
            <w:vMerge w:val="continue"/>
            <w:noWrap w:val="0"/>
            <w:vAlign w:val="center"/>
          </w:tcPr>
          <w:p>
            <w:pPr>
              <w:spacing w:line="260" w:lineRule="exact"/>
              <w:jc w:val="center"/>
              <w:rPr>
                <w:rFonts w:ascii="宋体" w:hAnsi="宋体" w:cs="宋体"/>
                <w:color w:val="auto"/>
                <w:szCs w:val="21"/>
                <w:highlight w:val="none"/>
              </w:rPr>
            </w:pPr>
          </w:p>
        </w:tc>
        <w:tc>
          <w:tcPr>
            <w:tcW w:w="1314" w:type="dxa"/>
            <w:vMerge w:val="continue"/>
            <w:noWrap w:val="0"/>
            <w:vAlign w:val="center"/>
          </w:tcPr>
          <w:p>
            <w:pPr>
              <w:spacing w:line="260" w:lineRule="exact"/>
              <w:rPr>
                <w:rFonts w:hint="eastAsia" w:ascii="宋体" w:hAnsi="宋体" w:cs="宋体"/>
                <w:color w:val="auto"/>
                <w:szCs w:val="21"/>
                <w:highlight w:val="none"/>
              </w:rPr>
            </w:pPr>
          </w:p>
        </w:tc>
        <w:tc>
          <w:tcPr>
            <w:tcW w:w="1708" w:type="dxa"/>
            <w:vMerge w:val="continue"/>
            <w:noWrap w:val="0"/>
            <w:vAlign w:val="center"/>
          </w:tcPr>
          <w:p>
            <w:pPr>
              <w:spacing w:line="260" w:lineRule="exact"/>
              <w:jc w:val="center"/>
              <w:rPr>
                <w:rFonts w:hint="eastAsia" w:ascii="宋体" w:hAnsi="宋体"/>
                <w:color w:val="auto"/>
                <w:position w:val="0"/>
                <w:szCs w:val="21"/>
                <w:highlight w:val="none"/>
              </w:rPr>
            </w:pPr>
          </w:p>
        </w:tc>
        <w:tc>
          <w:tcPr>
            <w:tcW w:w="4942" w:type="dxa"/>
            <w:noWrap w:val="0"/>
            <w:vAlign w:val="center"/>
          </w:tcPr>
          <w:p>
            <w:pPr>
              <w:spacing w:line="240" w:lineRule="exact"/>
              <w:jc w:val="left"/>
              <w:rPr>
                <w:rFonts w:ascii="宋体" w:hAnsi="宋体"/>
                <w:b/>
                <w:color w:val="auto"/>
                <w:position w:val="0"/>
                <w:szCs w:val="21"/>
                <w:highlight w:val="none"/>
              </w:rPr>
            </w:pPr>
            <w:r>
              <w:rPr>
                <w:rFonts w:hint="eastAsia" w:ascii="宋体" w:hAnsi="宋体"/>
                <w:b/>
                <w:color w:val="auto"/>
                <w:position w:val="0"/>
                <w:szCs w:val="21"/>
                <w:highlight w:val="none"/>
              </w:rPr>
              <w:t>职称加分，</w:t>
            </w:r>
            <w:r>
              <w:rPr>
                <w:rFonts w:ascii="宋体" w:hAnsi="宋体"/>
                <w:b/>
                <w:color w:val="auto"/>
                <w:position w:val="0"/>
                <w:szCs w:val="21"/>
                <w:highlight w:val="none"/>
              </w:rPr>
              <w:t>4</w:t>
            </w:r>
            <w:r>
              <w:rPr>
                <w:rFonts w:hint="eastAsia" w:ascii="宋体" w:hAnsi="宋体"/>
                <w:b/>
                <w:color w:val="auto"/>
                <w:position w:val="0"/>
                <w:szCs w:val="21"/>
                <w:highlight w:val="none"/>
              </w:rPr>
              <w:t>分：</w:t>
            </w:r>
          </w:p>
          <w:p>
            <w:pPr>
              <w:spacing w:line="240" w:lineRule="exact"/>
              <w:jc w:val="left"/>
              <w:rPr>
                <w:rFonts w:ascii="宋体" w:hAnsi="宋体"/>
                <w:color w:val="auto"/>
                <w:position w:val="0"/>
                <w:szCs w:val="21"/>
                <w:highlight w:val="none"/>
              </w:rPr>
            </w:pPr>
            <w:bookmarkStart w:id="18" w:name="_Hlk91537924"/>
            <w:r>
              <w:rPr>
                <w:rFonts w:hint="eastAsia" w:ascii="宋体" w:hAnsi="宋体"/>
                <w:color w:val="auto"/>
                <w:position w:val="0"/>
                <w:szCs w:val="21"/>
                <w:highlight w:val="none"/>
              </w:rPr>
              <w:t>（1）其他主要人员持有注册咨询工程师资格的，每人加</w:t>
            </w:r>
            <w:r>
              <w:rPr>
                <w:rFonts w:ascii="宋体" w:hAnsi="宋体"/>
                <w:color w:val="auto"/>
                <w:position w:val="0"/>
                <w:szCs w:val="21"/>
                <w:highlight w:val="none"/>
              </w:rPr>
              <w:t>1</w:t>
            </w:r>
            <w:r>
              <w:rPr>
                <w:rFonts w:hint="eastAsia" w:ascii="宋体" w:hAnsi="宋体"/>
                <w:color w:val="auto"/>
                <w:position w:val="0"/>
                <w:szCs w:val="21"/>
                <w:highlight w:val="none"/>
              </w:rPr>
              <w:t>分，最多加</w:t>
            </w:r>
            <w:r>
              <w:rPr>
                <w:rFonts w:ascii="宋体" w:hAnsi="宋体"/>
                <w:color w:val="auto"/>
                <w:position w:val="0"/>
                <w:szCs w:val="21"/>
                <w:highlight w:val="none"/>
              </w:rPr>
              <w:t>2</w:t>
            </w:r>
            <w:r>
              <w:rPr>
                <w:rFonts w:hint="eastAsia" w:ascii="宋体" w:hAnsi="宋体"/>
                <w:color w:val="auto"/>
                <w:position w:val="0"/>
                <w:szCs w:val="21"/>
                <w:highlight w:val="none"/>
              </w:rPr>
              <w:t>分。</w:t>
            </w:r>
          </w:p>
          <w:p>
            <w:pPr>
              <w:spacing w:line="260" w:lineRule="exact"/>
              <w:jc w:val="left"/>
              <w:rPr>
                <w:rFonts w:hint="eastAsia" w:ascii="宋体" w:hAnsi="宋体"/>
                <w:b/>
                <w:color w:val="auto"/>
                <w:position w:val="0"/>
                <w:szCs w:val="21"/>
                <w:highlight w:val="none"/>
              </w:rPr>
            </w:pPr>
            <w:r>
              <w:rPr>
                <w:rFonts w:hint="eastAsia" w:ascii="宋体" w:hAnsi="宋体"/>
                <w:color w:val="auto"/>
                <w:position w:val="0"/>
                <w:szCs w:val="21"/>
                <w:highlight w:val="none"/>
              </w:rPr>
              <w:t>（2）其他主要人员有高级职称的每人加</w:t>
            </w:r>
            <w:r>
              <w:rPr>
                <w:rFonts w:ascii="宋体" w:hAnsi="宋体"/>
                <w:color w:val="auto"/>
                <w:position w:val="0"/>
                <w:szCs w:val="21"/>
                <w:highlight w:val="none"/>
              </w:rPr>
              <w:t>1</w:t>
            </w:r>
            <w:r>
              <w:rPr>
                <w:rFonts w:hint="eastAsia" w:ascii="宋体" w:hAnsi="宋体"/>
                <w:color w:val="auto"/>
                <w:position w:val="0"/>
                <w:szCs w:val="21"/>
                <w:highlight w:val="none"/>
              </w:rPr>
              <w:t>分，最多加</w:t>
            </w:r>
            <w:r>
              <w:rPr>
                <w:rFonts w:ascii="宋体" w:hAnsi="宋体"/>
                <w:color w:val="auto"/>
                <w:position w:val="0"/>
                <w:szCs w:val="21"/>
                <w:highlight w:val="none"/>
              </w:rPr>
              <w:t>2</w:t>
            </w:r>
            <w:r>
              <w:rPr>
                <w:rFonts w:hint="eastAsia" w:ascii="宋体" w:hAnsi="宋体"/>
                <w:color w:val="auto"/>
                <w:position w:val="0"/>
                <w:szCs w:val="21"/>
                <w:highlight w:val="none"/>
              </w:rPr>
              <w:t>分。</w:t>
            </w:r>
            <w:bookmarkEnd w:id="18"/>
          </w:p>
        </w:tc>
      </w:tr>
    </w:tbl>
    <w:p>
      <w:pPr>
        <w:tabs>
          <w:tab w:val="center" w:pos="4680"/>
          <w:tab w:val="left" w:pos="4750"/>
        </w:tabs>
        <w:spacing w:line="300" w:lineRule="exact"/>
        <w:ind w:left="315" w:right="99" w:hanging="315" w:hangingChars="150"/>
        <w:jc w:val="right"/>
        <w:rPr>
          <w:color w:val="auto"/>
          <w:highlight w:val="none"/>
        </w:rPr>
      </w:pPr>
      <w:r>
        <w:rPr>
          <w:rFonts w:ascii="宋体" w:hAnsi="宋体"/>
          <w:color w:val="auto"/>
          <w:position w:val="0"/>
          <w:szCs w:val="21"/>
          <w:highlight w:val="none"/>
        </w:rPr>
        <w:br w:type="page"/>
      </w:r>
      <w:r>
        <w:rPr>
          <w:rFonts w:hint="eastAsia" w:ascii="宋体" w:hAnsi="宋体"/>
          <w:color w:val="auto"/>
          <w:position w:val="0"/>
          <w:szCs w:val="21"/>
          <w:highlight w:val="none"/>
        </w:rPr>
        <w:t>续上表</w:t>
      </w:r>
    </w:p>
    <w:tbl>
      <w:tblPr>
        <w:tblStyle w:val="6"/>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33"/>
        <w:gridCol w:w="1115"/>
        <w:gridCol w:w="1275"/>
        <w:gridCol w:w="5378"/>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08" w:hRule="atLeast"/>
          <w:jc w:val="center"/>
        </w:trPr>
        <w:tc>
          <w:tcPr>
            <w:tcW w:w="8801" w:type="dxa"/>
            <w:gridSpan w:val="4"/>
            <w:noWrap w:val="0"/>
            <w:vAlign w:val="center"/>
          </w:tcPr>
          <w:p>
            <w:pPr>
              <w:jc w:val="center"/>
              <w:rPr>
                <w:rFonts w:ascii="黑体" w:eastAsia="黑体"/>
                <w:color w:val="auto"/>
                <w:highlight w:val="none"/>
              </w:rPr>
            </w:pPr>
            <w:r>
              <w:rPr>
                <w:rFonts w:hint="eastAsia" w:ascii="黑体" w:eastAsia="黑体"/>
                <w:color w:val="auto"/>
                <w:highlight w:val="none"/>
              </w:rPr>
              <w:t>评审因素与评分值</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033" w:type="dxa"/>
            <w:noWrap w:val="0"/>
            <w:vAlign w:val="center"/>
          </w:tcPr>
          <w:p>
            <w:pPr>
              <w:jc w:val="center"/>
              <w:rPr>
                <w:rFonts w:ascii="黑体" w:eastAsia="黑体"/>
                <w:color w:val="auto"/>
                <w:highlight w:val="none"/>
              </w:rPr>
            </w:pPr>
            <w:r>
              <w:rPr>
                <w:rFonts w:hint="eastAsia" w:ascii="黑体" w:eastAsia="黑体"/>
                <w:color w:val="auto"/>
                <w:highlight w:val="none"/>
              </w:rPr>
              <w:t>条款号</w:t>
            </w:r>
          </w:p>
        </w:tc>
        <w:tc>
          <w:tcPr>
            <w:tcW w:w="1115" w:type="dxa"/>
            <w:noWrap w:val="0"/>
            <w:vAlign w:val="center"/>
          </w:tcPr>
          <w:p>
            <w:pPr>
              <w:jc w:val="center"/>
              <w:rPr>
                <w:rFonts w:ascii="黑体" w:eastAsia="黑体"/>
                <w:color w:val="auto"/>
                <w:highlight w:val="none"/>
              </w:rPr>
            </w:pPr>
            <w:r>
              <w:rPr>
                <w:rFonts w:hint="eastAsia" w:ascii="黑体" w:eastAsia="黑体"/>
                <w:color w:val="auto"/>
                <w:highlight w:val="none"/>
              </w:rPr>
              <w:t>评分因素</w:t>
            </w:r>
          </w:p>
        </w:tc>
        <w:tc>
          <w:tcPr>
            <w:tcW w:w="1275" w:type="dxa"/>
            <w:noWrap w:val="0"/>
            <w:vAlign w:val="center"/>
          </w:tcPr>
          <w:p>
            <w:pPr>
              <w:jc w:val="center"/>
              <w:rPr>
                <w:rFonts w:ascii="黑体" w:eastAsia="黑体"/>
                <w:color w:val="auto"/>
                <w:highlight w:val="none"/>
              </w:rPr>
            </w:pPr>
            <w:r>
              <w:rPr>
                <w:rFonts w:hint="eastAsia" w:ascii="黑体" w:eastAsia="黑体"/>
                <w:color w:val="auto"/>
                <w:highlight w:val="none"/>
              </w:rPr>
              <w:t>评审因素及权重分值</w:t>
            </w:r>
          </w:p>
        </w:tc>
        <w:tc>
          <w:tcPr>
            <w:tcW w:w="5378" w:type="dxa"/>
            <w:noWrap w:val="0"/>
            <w:vAlign w:val="center"/>
          </w:tcPr>
          <w:p>
            <w:pPr>
              <w:jc w:val="center"/>
              <w:rPr>
                <w:rFonts w:ascii="黑体" w:eastAsia="黑体"/>
                <w:color w:val="auto"/>
                <w:highlight w:val="none"/>
              </w:rPr>
            </w:pPr>
            <w:r>
              <w:rPr>
                <w:rFonts w:hint="eastAsia" w:ascii="黑体" w:eastAsia="黑体"/>
                <w:color w:val="auto"/>
                <w:highlight w:val="none"/>
              </w:rPr>
              <w:t>评分标准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53" w:hRule="atLeast"/>
          <w:jc w:val="center"/>
        </w:trPr>
        <w:tc>
          <w:tcPr>
            <w:tcW w:w="1033" w:type="dxa"/>
            <w:noWrap w:val="0"/>
            <w:vAlign w:val="center"/>
          </w:tcPr>
          <w:p>
            <w:pPr>
              <w:jc w:val="center"/>
              <w:rPr>
                <w:rFonts w:hint="eastAsia" w:ascii="宋体" w:hAnsi="宋体"/>
                <w:color w:val="auto"/>
                <w:position w:val="0"/>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2.4</w:t>
            </w:r>
            <w:r>
              <w:rPr>
                <w:rFonts w:ascii="宋体" w:hAnsi="宋体" w:cs="宋体"/>
                <w:color w:val="auto"/>
                <w:szCs w:val="21"/>
                <w:highlight w:val="none"/>
              </w:rPr>
              <w:t>（</w:t>
            </w:r>
            <w:r>
              <w:rPr>
                <w:rFonts w:hint="eastAsia" w:ascii="宋体" w:hAnsi="宋体" w:cs="宋体"/>
                <w:color w:val="auto"/>
                <w:szCs w:val="21"/>
                <w:highlight w:val="none"/>
              </w:rPr>
              <w:t>3）</w:t>
            </w:r>
          </w:p>
        </w:tc>
        <w:tc>
          <w:tcPr>
            <w:tcW w:w="1115" w:type="dxa"/>
            <w:noWrap w:val="0"/>
            <w:vAlign w:val="center"/>
          </w:tcPr>
          <w:p>
            <w:pPr>
              <w:jc w:val="center"/>
              <w:rPr>
                <w:rFonts w:hint="eastAsia" w:ascii="宋体" w:hAnsi="宋体"/>
                <w:color w:val="auto"/>
                <w:highlight w:val="none"/>
              </w:rPr>
            </w:pPr>
            <w:r>
              <w:rPr>
                <w:rFonts w:hint="eastAsia" w:ascii="宋体" w:hAnsi="宋体" w:cs="宋体"/>
                <w:color w:val="auto"/>
                <w:szCs w:val="21"/>
                <w:highlight w:val="none"/>
              </w:rPr>
              <w:t>评标价</w:t>
            </w:r>
          </w:p>
        </w:tc>
        <w:tc>
          <w:tcPr>
            <w:tcW w:w="1275" w:type="dxa"/>
            <w:noWrap w:val="0"/>
            <w:vAlign w:val="center"/>
          </w:tcPr>
          <w:p>
            <w:pPr>
              <w:spacing w:line="280" w:lineRule="exact"/>
              <w:jc w:val="center"/>
              <w:rPr>
                <w:rFonts w:hint="eastAsia" w:ascii="宋体" w:hAnsi="宋体"/>
                <w:color w:val="auto"/>
                <w:position w:val="0"/>
                <w:szCs w:val="21"/>
                <w:highlight w:val="none"/>
              </w:rPr>
            </w:pPr>
            <w:r>
              <w:rPr>
                <w:rFonts w:hint="eastAsia" w:ascii="宋体" w:hAnsi="宋体"/>
                <w:color w:val="auto"/>
                <w:position w:val="0"/>
                <w:szCs w:val="21"/>
                <w:highlight w:val="none"/>
              </w:rPr>
              <w:t>10分</w:t>
            </w:r>
          </w:p>
        </w:tc>
        <w:tc>
          <w:tcPr>
            <w:tcW w:w="5378" w:type="dxa"/>
            <w:noWrap w:val="0"/>
            <w:vAlign w:val="center"/>
          </w:tcPr>
          <w:p>
            <w:pPr>
              <w:spacing w:line="240" w:lineRule="exact"/>
              <w:jc w:val="left"/>
              <w:rPr>
                <w:rFonts w:hint="eastAsia" w:ascii="宋体" w:hAnsi="宋体"/>
                <w:color w:val="auto"/>
                <w:position w:val="0"/>
                <w:szCs w:val="24"/>
                <w:highlight w:val="none"/>
              </w:rPr>
            </w:pPr>
            <w:r>
              <w:rPr>
                <w:rFonts w:hint="eastAsia" w:ascii="宋体" w:hAnsi="宋体"/>
                <w:color w:val="auto"/>
                <w:position w:val="0"/>
                <w:szCs w:val="24"/>
                <w:highlight w:val="none"/>
              </w:rPr>
              <w:t>评标价得分计算公式：</w:t>
            </w:r>
          </w:p>
          <w:p>
            <w:pPr>
              <w:spacing w:line="240" w:lineRule="exact"/>
              <w:jc w:val="left"/>
              <w:rPr>
                <w:rFonts w:hint="eastAsia" w:ascii="宋体" w:hAnsi="宋体"/>
                <w:color w:val="auto"/>
                <w:position w:val="0"/>
                <w:szCs w:val="24"/>
                <w:highlight w:val="none"/>
              </w:rPr>
            </w:pPr>
            <w:r>
              <w:rPr>
                <w:rFonts w:hint="eastAsia" w:ascii="宋体" w:hAnsi="宋体"/>
                <w:color w:val="auto"/>
                <w:position w:val="0"/>
                <w:szCs w:val="24"/>
                <w:highlight w:val="none"/>
              </w:rPr>
              <w:t>（1）如果投标人的评标价＞评标基准价，则评标价得分=10－偏差率×100×E1；</w:t>
            </w:r>
          </w:p>
          <w:p>
            <w:pPr>
              <w:spacing w:line="240" w:lineRule="exact"/>
              <w:jc w:val="left"/>
              <w:rPr>
                <w:rFonts w:hint="eastAsia" w:ascii="宋体" w:hAnsi="宋体"/>
                <w:color w:val="auto"/>
                <w:position w:val="0"/>
                <w:szCs w:val="24"/>
                <w:highlight w:val="none"/>
              </w:rPr>
            </w:pPr>
            <w:r>
              <w:rPr>
                <w:rFonts w:hint="eastAsia" w:ascii="宋体" w:hAnsi="宋体"/>
                <w:color w:val="auto"/>
                <w:position w:val="0"/>
                <w:szCs w:val="24"/>
                <w:highlight w:val="none"/>
              </w:rPr>
              <w:t>（2）如果投标人的评标价≤评标基准价，则评标价得分=10+偏差率×100×E2。</w:t>
            </w:r>
          </w:p>
          <w:p>
            <w:pPr>
              <w:spacing w:line="240" w:lineRule="exact"/>
              <w:jc w:val="left"/>
              <w:rPr>
                <w:rFonts w:ascii="宋体" w:hAnsi="宋体"/>
                <w:color w:val="auto"/>
                <w:position w:val="0"/>
                <w:szCs w:val="21"/>
                <w:highlight w:val="none"/>
              </w:rPr>
            </w:pPr>
            <w:r>
              <w:rPr>
                <w:rFonts w:hint="eastAsia" w:ascii="宋体" w:hAnsi="宋体"/>
                <w:color w:val="auto"/>
                <w:position w:val="0"/>
                <w:szCs w:val="24"/>
                <w:highlight w:val="none"/>
              </w:rPr>
              <w:t>其中：E1是评标价每高于评标基准价一个百分点的扣分值；E2是评标价每低于评标基准价一个百分点的扣分值。E1=0.2、E2=0.</w:t>
            </w:r>
            <w:r>
              <w:rPr>
                <w:rFonts w:ascii="宋体" w:hAnsi="宋体"/>
                <w:color w:val="auto"/>
                <w:position w:val="0"/>
                <w:szCs w:val="24"/>
                <w:highlight w:val="none"/>
              </w:rPr>
              <w:t>1</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66" w:hRule="atLeast"/>
          <w:jc w:val="center"/>
        </w:trPr>
        <w:tc>
          <w:tcPr>
            <w:tcW w:w="1033" w:type="dxa"/>
            <w:vMerge w:val="restart"/>
            <w:noWrap w:val="0"/>
            <w:vAlign w:val="center"/>
          </w:tcPr>
          <w:p>
            <w:pPr>
              <w:jc w:val="center"/>
              <w:rPr>
                <w:rFonts w:ascii="宋体" w:hAnsi="宋体" w:cs="宋体"/>
                <w:color w:val="auto"/>
                <w:szCs w:val="21"/>
                <w:highlight w:val="none"/>
              </w:rPr>
            </w:pPr>
            <w:r>
              <w:rPr>
                <w:rFonts w:hint="eastAsia" w:ascii="宋体" w:hAnsi="宋体" w:cs="宋体"/>
                <w:color w:val="auto"/>
                <w:szCs w:val="21"/>
                <w:highlight w:val="none"/>
              </w:rPr>
              <w:t>2.2.4（4）</w:t>
            </w:r>
          </w:p>
        </w:tc>
        <w:tc>
          <w:tcPr>
            <w:tcW w:w="1115" w:type="dxa"/>
            <w:vMerge w:val="restart"/>
            <w:noWrap w:val="0"/>
            <w:vAlign w:val="center"/>
          </w:tcPr>
          <w:p>
            <w:pPr>
              <w:jc w:val="center"/>
              <w:rPr>
                <w:rFonts w:hint="eastAsia" w:ascii="宋体" w:hAnsi="宋体" w:cs="宋体"/>
                <w:color w:val="auto"/>
                <w:szCs w:val="21"/>
                <w:highlight w:val="none"/>
              </w:rPr>
            </w:pPr>
            <w:r>
              <w:rPr>
                <w:rFonts w:hint="eastAsia" w:ascii="宋体" w:hAnsi="宋体" w:cs="宋体"/>
                <w:color w:val="auto"/>
                <w:szCs w:val="21"/>
                <w:highlight w:val="none"/>
              </w:rPr>
              <w:t>其他因素</w:t>
            </w:r>
          </w:p>
          <w:p>
            <w:pPr>
              <w:jc w:val="center"/>
              <w:rPr>
                <w:rFonts w:hint="eastAsia"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30</w:t>
            </w:r>
            <w:r>
              <w:rPr>
                <w:rFonts w:hint="eastAsia" w:ascii="宋体" w:hAnsi="宋体" w:cs="宋体"/>
                <w:color w:val="auto"/>
                <w:szCs w:val="21"/>
                <w:highlight w:val="none"/>
              </w:rPr>
              <w:t>分）</w:t>
            </w:r>
          </w:p>
        </w:tc>
        <w:tc>
          <w:tcPr>
            <w:tcW w:w="1275" w:type="dxa"/>
            <w:vMerge w:val="restart"/>
            <w:noWrap w:val="0"/>
            <w:vAlign w:val="center"/>
          </w:tcPr>
          <w:p>
            <w:pPr>
              <w:spacing w:line="280" w:lineRule="exact"/>
              <w:jc w:val="center"/>
              <w:rPr>
                <w:rFonts w:hint="eastAsia" w:ascii="宋体" w:hAnsi="宋体"/>
                <w:color w:val="auto"/>
                <w:position w:val="0"/>
                <w:szCs w:val="21"/>
                <w:highlight w:val="none"/>
              </w:rPr>
            </w:pPr>
            <w:r>
              <w:rPr>
                <w:rFonts w:hint="eastAsia" w:ascii="宋体" w:hAnsi="宋体"/>
                <w:color w:val="auto"/>
                <w:position w:val="0"/>
                <w:szCs w:val="21"/>
                <w:highlight w:val="none"/>
              </w:rPr>
              <w:t>业绩</w:t>
            </w:r>
          </w:p>
          <w:p>
            <w:pPr>
              <w:spacing w:line="280" w:lineRule="exact"/>
              <w:jc w:val="center"/>
              <w:rPr>
                <w:rFonts w:hint="eastAsia" w:ascii="宋体" w:hAnsi="宋体"/>
                <w:color w:val="auto"/>
                <w:position w:val="0"/>
                <w:szCs w:val="21"/>
                <w:highlight w:val="none"/>
              </w:rPr>
            </w:pPr>
            <w:r>
              <w:rPr>
                <w:rFonts w:hint="eastAsia" w:ascii="宋体" w:hAnsi="宋体"/>
                <w:color w:val="auto"/>
                <w:position w:val="0"/>
                <w:szCs w:val="21"/>
                <w:highlight w:val="none"/>
              </w:rPr>
              <w:t>（</w:t>
            </w:r>
            <w:r>
              <w:rPr>
                <w:rFonts w:ascii="宋体" w:hAnsi="宋体"/>
                <w:color w:val="auto"/>
                <w:position w:val="0"/>
                <w:szCs w:val="21"/>
                <w:highlight w:val="none"/>
              </w:rPr>
              <w:t>25</w:t>
            </w:r>
            <w:r>
              <w:rPr>
                <w:rFonts w:hint="eastAsia" w:ascii="宋体" w:hAnsi="宋体"/>
                <w:color w:val="auto"/>
                <w:position w:val="0"/>
                <w:szCs w:val="21"/>
                <w:highlight w:val="none"/>
              </w:rPr>
              <w:t>分）</w:t>
            </w:r>
          </w:p>
        </w:tc>
        <w:tc>
          <w:tcPr>
            <w:tcW w:w="5378" w:type="dxa"/>
            <w:noWrap w:val="0"/>
            <w:vAlign w:val="center"/>
          </w:tcPr>
          <w:p>
            <w:pPr>
              <w:spacing w:line="240" w:lineRule="exact"/>
              <w:jc w:val="left"/>
              <w:rPr>
                <w:rFonts w:hint="eastAsia" w:ascii="宋体" w:hAnsi="宋体"/>
                <w:color w:val="auto"/>
                <w:position w:val="0"/>
                <w:szCs w:val="21"/>
                <w:highlight w:val="none"/>
              </w:rPr>
            </w:pPr>
            <w:r>
              <w:rPr>
                <w:rFonts w:hint="eastAsia" w:ascii="宋体" w:hAnsi="宋体"/>
                <w:b/>
                <w:color w:val="auto"/>
                <w:position w:val="0"/>
                <w:szCs w:val="21"/>
                <w:highlight w:val="none"/>
              </w:rPr>
              <w:t>基本得分，</w:t>
            </w:r>
            <w:r>
              <w:rPr>
                <w:rFonts w:ascii="宋体" w:hAnsi="宋体"/>
                <w:b/>
                <w:color w:val="auto"/>
                <w:position w:val="0"/>
                <w:szCs w:val="21"/>
                <w:highlight w:val="none"/>
              </w:rPr>
              <w:t>15</w:t>
            </w:r>
            <w:r>
              <w:rPr>
                <w:rFonts w:hint="eastAsia" w:ascii="宋体" w:hAnsi="宋体"/>
                <w:b/>
                <w:color w:val="auto"/>
                <w:position w:val="0"/>
                <w:szCs w:val="21"/>
                <w:highlight w:val="none"/>
              </w:rPr>
              <w:t>分：</w:t>
            </w:r>
            <w:r>
              <w:rPr>
                <w:rFonts w:hint="eastAsia" w:ascii="宋体" w:hAnsi="宋体"/>
                <w:color w:val="auto"/>
                <w:position w:val="0"/>
                <w:szCs w:val="21"/>
                <w:highlight w:val="none"/>
              </w:rPr>
              <w:t>投标人</w:t>
            </w:r>
            <w:r>
              <w:rPr>
                <w:rFonts w:hint="eastAsia" w:ascii="宋体" w:hAnsi="宋体"/>
                <w:color w:val="auto"/>
                <w:position w:val="0"/>
                <w:szCs w:val="21"/>
                <w:highlight w:val="none"/>
                <w:lang w:val="en-US" w:eastAsia="zh-CN"/>
              </w:rPr>
              <w:t>近5年（2017年1月1日至今）完成过一项里程长度不少于50公里的高速公路建设项目工程可行性研究报告编制工作</w:t>
            </w:r>
            <w:r>
              <w:rPr>
                <w:rFonts w:hint="eastAsia" w:ascii="宋体" w:hAnsi="宋体"/>
                <w:color w:val="auto"/>
                <w:position w:val="0"/>
                <w:szCs w:val="21"/>
                <w:highlight w:val="none"/>
              </w:rPr>
              <w:t>的得基本分</w:t>
            </w:r>
            <w:r>
              <w:rPr>
                <w:rFonts w:ascii="宋体" w:hAnsi="宋体"/>
                <w:color w:val="auto"/>
                <w:position w:val="0"/>
                <w:szCs w:val="21"/>
                <w:highlight w:val="none"/>
              </w:rPr>
              <w:t>15</w:t>
            </w:r>
            <w:r>
              <w:rPr>
                <w:rFonts w:hint="eastAsia" w:ascii="宋体" w:hAnsi="宋体"/>
                <w:color w:val="auto"/>
                <w:position w:val="0"/>
                <w:szCs w:val="21"/>
                <w:highlight w:val="none"/>
              </w:rPr>
              <w:t>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022" w:hRule="atLeast"/>
          <w:jc w:val="center"/>
        </w:trPr>
        <w:tc>
          <w:tcPr>
            <w:tcW w:w="1033" w:type="dxa"/>
            <w:vMerge w:val="continue"/>
            <w:noWrap w:val="0"/>
            <w:vAlign w:val="center"/>
          </w:tcPr>
          <w:p>
            <w:pPr>
              <w:jc w:val="center"/>
              <w:rPr>
                <w:rFonts w:hint="eastAsia" w:ascii="宋体" w:hAnsi="宋体" w:cs="宋体"/>
                <w:color w:val="auto"/>
                <w:szCs w:val="21"/>
                <w:highlight w:val="none"/>
              </w:rPr>
            </w:pPr>
          </w:p>
        </w:tc>
        <w:tc>
          <w:tcPr>
            <w:tcW w:w="1115" w:type="dxa"/>
            <w:vMerge w:val="continue"/>
            <w:noWrap w:val="0"/>
            <w:vAlign w:val="center"/>
          </w:tcPr>
          <w:p>
            <w:pPr>
              <w:rPr>
                <w:rFonts w:hint="eastAsia" w:ascii="宋体" w:hAnsi="宋体" w:cs="宋体"/>
                <w:color w:val="auto"/>
                <w:szCs w:val="21"/>
                <w:highlight w:val="none"/>
              </w:rPr>
            </w:pPr>
          </w:p>
        </w:tc>
        <w:tc>
          <w:tcPr>
            <w:tcW w:w="1275" w:type="dxa"/>
            <w:vMerge w:val="continue"/>
            <w:noWrap w:val="0"/>
            <w:vAlign w:val="center"/>
          </w:tcPr>
          <w:p>
            <w:pPr>
              <w:spacing w:line="280" w:lineRule="exact"/>
              <w:jc w:val="center"/>
              <w:rPr>
                <w:rFonts w:hint="eastAsia" w:ascii="宋体" w:hAnsi="宋体"/>
                <w:color w:val="auto"/>
                <w:position w:val="0"/>
                <w:szCs w:val="21"/>
                <w:highlight w:val="none"/>
              </w:rPr>
            </w:pPr>
          </w:p>
        </w:tc>
        <w:tc>
          <w:tcPr>
            <w:tcW w:w="5378" w:type="dxa"/>
            <w:noWrap w:val="0"/>
            <w:vAlign w:val="center"/>
          </w:tcPr>
          <w:p>
            <w:pPr>
              <w:spacing w:line="240" w:lineRule="exact"/>
              <w:jc w:val="left"/>
              <w:rPr>
                <w:rFonts w:ascii="宋体" w:hAnsi="宋体"/>
                <w:b/>
                <w:color w:val="auto"/>
                <w:position w:val="0"/>
                <w:szCs w:val="21"/>
                <w:highlight w:val="none"/>
              </w:rPr>
            </w:pPr>
            <w:r>
              <w:rPr>
                <w:rFonts w:hint="eastAsia" w:ascii="宋体" w:hAnsi="宋体"/>
                <w:b/>
                <w:color w:val="auto"/>
                <w:position w:val="0"/>
                <w:szCs w:val="21"/>
                <w:highlight w:val="none"/>
              </w:rPr>
              <w:t>业绩加分，</w:t>
            </w:r>
            <w:r>
              <w:rPr>
                <w:rFonts w:ascii="宋体" w:hAnsi="宋体"/>
                <w:b/>
                <w:color w:val="auto"/>
                <w:position w:val="0"/>
                <w:szCs w:val="21"/>
                <w:highlight w:val="none"/>
              </w:rPr>
              <w:t>10</w:t>
            </w:r>
            <w:r>
              <w:rPr>
                <w:rFonts w:hint="eastAsia" w:ascii="宋体" w:hAnsi="宋体"/>
                <w:b/>
                <w:color w:val="auto"/>
                <w:position w:val="0"/>
                <w:szCs w:val="21"/>
                <w:highlight w:val="none"/>
              </w:rPr>
              <w:t>分：</w:t>
            </w:r>
          </w:p>
          <w:p>
            <w:pPr>
              <w:spacing w:line="240" w:lineRule="exact"/>
              <w:jc w:val="left"/>
              <w:rPr>
                <w:rFonts w:hint="eastAsia" w:ascii="宋体" w:hAnsi="宋体"/>
                <w:color w:val="auto"/>
                <w:position w:val="0"/>
                <w:szCs w:val="21"/>
                <w:highlight w:val="none"/>
              </w:rPr>
            </w:pPr>
            <w:r>
              <w:rPr>
                <w:rFonts w:hint="eastAsia" w:ascii="宋体" w:hAnsi="宋体"/>
                <w:color w:val="auto"/>
                <w:position w:val="0"/>
                <w:szCs w:val="21"/>
                <w:highlight w:val="none"/>
              </w:rPr>
              <w:t>投标人每增加1项</w:t>
            </w:r>
            <w:r>
              <w:rPr>
                <w:rFonts w:hint="eastAsia" w:ascii="宋体" w:hAnsi="宋体"/>
                <w:color w:val="auto"/>
                <w:position w:val="0"/>
                <w:szCs w:val="21"/>
                <w:highlight w:val="none"/>
                <w:lang w:val="en-US" w:eastAsia="zh-CN"/>
              </w:rPr>
              <w:t>里程长度不少于50公里的高速公路建设项目工程可行性研究报告编制工作</w:t>
            </w:r>
            <w:r>
              <w:rPr>
                <w:rFonts w:hint="eastAsia" w:ascii="宋体" w:hAnsi="宋体"/>
                <w:color w:val="auto"/>
                <w:position w:val="0"/>
                <w:szCs w:val="21"/>
                <w:highlight w:val="none"/>
              </w:rPr>
              <w:t>业绩的，每项业绩加</w:t>
            </w:r>
            <w:r>
              <w:rPr>
                <w:rFonts w:ascii="宋体" w:hAnsi="宋体"/>
                <w:color w:val="auto"/>
                <w:position w:val="0"/>
                <w:szCs w:val="21"/>
                <w:highlight w:val="none"/>
              </w:rPr>
              <w:t>2</w:t>
            </w:r>
            <w:r>
              <w:rPr>
                <w:rFonts w:hint="eastAsia" w:ascii="宋体" w:hAnsi="宋体"/>
                <w:color w:val="auto"/>
                <w:position w:val="0"/>
                <w:szCs w:val="21"/>
                <w:highlight w:val="none"/>
              </w:rPr>
              <w:t>分，此项最多加</w:t>
            </w:r>
            <w:r>
              <w:rPr>
                <w:rFonts w:ascii="宋体" w:hAnsi="宋体"/>
                <w:color w:val="auto"/>
                <w:position w:val="0"/>
                <w:szCs w:val="21"/>
                <w:highlight w:val="none"/>
              </w:rPr>
              <w:t>10</w:t>
            </w:r>
            <w:r>
              <w:rPr>
                <w:rFonts w:hint="eastAsia" w:ascii="宋体" w:hAnsi="宋体"/>
                <w:color w:val="auto"/>
                <w:position w:val="0"/>
                <w:szCs w:val="21"/>
                <w:highlight w:val="none"/>
              </w:rPr>
              <w:t>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1033" w:type="dxa"/>
            <w:vMerge w:val="continue"/>
            <w:noWrap w:val="0"/>
            <w:vAlign w:val="center"/>
          </w:tcPr>
          <w:p>
            <w:pPr>
              <w:jc w:val="center"/>
              <w:rPr>
                <w:rFonts w:hint="eastAsia" w:ascii="宋体" w:hAnsi="宋体" w:cs="宋体"/>
                <w:color w:val="auto"/>
                <w:szCs w:val="21"/>
                <w:highlight w:val="none"/>
              </w:rPr>
            </w:pPr>
          </w:p>
        </w:tc>
        <w:tc>
          <w:tcPr>
            <w:tcW w:w="1115" w:type="dxa"/>
            <w:vMerge w:val="continue"/>
            <w:noWrap w:val="0"/>
            <w:vAlign w:val="center"/>
          </w:tcPr>
          <w:p>
            <w:pPr>
              <w:rPr>
                <w:rFonts w:hint="eastAsia" w:ascii="宋体" w:hAnsi="宋体" w:cs="宋体"/>
                <w:color w:val="auto"/>
                <w:szCs w:val="21"/>
                <w:highlight w:val="none"/>
              </w:rPr>
            </w:pPr>
          </w:p>
        </w:tc>
        <w:tc>
          <w:tcPr>
            <w:tcW w:w="1275" w:type="dxa"/>
            <w:vMerge w:val="restart"/>
            <w:noWrap w:val="0"/>
            <w:vAlign w:val="center"/>
          </w:tcPr>
          <w:p>
            <w:pPr>
              <w:spacing w:line="280" w:lineRule="exact"/>
              <w:jc w:val="center"/>
              <w:rPr>
                <w:rFonts w:hint="eastAsia" w:ascii="宋体" w:hAnsi="宋体"/>
                <w:color w:val="auto"/>
                <w:position w:val="0"/>
                <w:szCs w:val="21"/>
                <w:highlight w:val="none"/>
              </w:rPr>
            </w:pPr>
            <w:r>
              <w:rPr>
                <w:rFonts w:hint="eastAsia" w:ascii="宋体" w:hAnsi="宋体"/>
                <w:color w:val="auto"/>
                <w:position w:val="0"/>
                <w:szCs w:val="21"/>
                <w:highlight w:val="none"/>
              </w:rPr>
              <w:t>履约信誉</w:t>
            </w:r>
          </w:p>
          <w:p>
            <w:pPr>
              <w:spacing w:line="280" w:lineRule="exact"/>
              <w:jc w:val="center"/>
              <w:rPr>
                <w:rFonts w:hint="eastAsia" w:ascii="宋体" w:hAnsi="宋体"/>
                <w:color w:val="auto"/>
                <w:position w:val="0"/>
                <w:szCs w:val="21"/>
                <w:highlight w:val="none"/>
              </w:rPr>
            </w:pPr>
            <w:r>
              <w:rPr>
                <w:rFonts w:hint="eastAsia" w:ascii="宋体" w:hAnsi="宋体"/>
                <w:color w:val="auto"/>
                <w:position w:val="0"/>
                <w:szCs w:val="21"/>
                <w:highlight w:val="none"/>
              </w:rPr>
              <w:t>（</w:t>
            </w:r>
            <w:r>
              <w:rPr>
                <w:rFonts w:ascii="宋体" w:hAnsi="宋体"/>
                <w:color w:val="auto"/>
                <w:position w:val="0"/>
                <w:szCs w:val="21"/>
                <w:highlight w:val="none"/>
              </w:rPr>
              <w:t>5</w:t>
            </w:r>
            <w:r>
              <w:rPr>
                <w:rFonts w:hint="eastAsia" w:ascii="宋体" w:hAnsi="宋体"/>
                <w:color w:val="auto"/>
                <w:position w:val="0"/>
                <w:szCs w:val="21"/>
                <w:highlight w:val="none"/>
              </w:rPr>
              <w:t>分）</w:t>
            </w:r>
          </w:p>
        </w:tc>
        <w:tc>
          <w:tcPr>
            <w:tcW w:w="5378" w:type="dxa"/>
            <w:noWrap w:val="0"/>
            <w:vAlign w:val="center"/>
          </w:tcPr>
          <w:p>
            <w:pPr>
              <w:spacing w:line="240" w:lineRule="exact"/>
              <w:jc w:val="left"/>
              <w:rPr>
                <w:rFonts w:hint="eastAsia" w:ascii="宋体" w:hAnsi="宋体"/>
                <w:color w:val="auto"/>
                <w:position w:val="0"/>
                <w:szCs w:val="21"/>
                <w:highlight w:val="none"/>
              </w:rPr>
            </w:pPr>
            <w:r>
              <w:rPr>
                <w:rFonts w:hint="eastAsia" w:ascii="宋体" w:hAnsi="宋体"/>
                <w:b/>
                <w:color w:val="auto"/>
                <w:position w:val="0"/>
                <w:szCs w:val="21"/>
                <w:highlight w:val="none"/>
              </w:rPr>
              <w:t>基本得分，3分：</w:t>
            </w:r>
            <w:r>
              <w:rPr>
                <w:rFonts w:hint="eastAsia" w:ascii="宋体" w:hAnsi="宋体"/>
                <w:color w:val="auto"/>
                <w:position w:val="0"/>
                <w:szCs w:val="21"/>
                <w:highlight w:val="none"/>
              </w:rPr>
              <w:t>投标人信誉满足“附录</w:t>
            </w:r>
            <w:r>
              <w:rPr>
                <w:rFonts w:ascii="宋体" w:hAnsi="宋体"/>
                <w:color w:val="auto"/>
                <w:position w:val="0"/>
                <w:szCs w:val="21"/>
                <w:highlight w:val="none"/>
              </w:rPr>
              <w:t>3</w:t>
            </w:r>
            <w:r>
              <w:rPr>
                <w:rFonts w:hint="eastAsia" w:ascii="宋体" w:hAnsi="宋体"/>
                <w:color w:val="auto"/>
                <w:position w:val="0"/>
                <w:szCs w:val="21"/>
                <w:highlight w:val="none"/>
              </w:rPr>
              <w:t>资格审查条件”的得基本分</w:t>
            </w:r>
            <w:r>
              <w:rPr>
                <w:rFonts w:ascii="宋体" w:hAnsi="宋体"/>
                <w:color w:val="auto"/>
                <w:position w:val="0"/>
                <w:szCs w:val="21"/>
                <w:highlight w:val="none"/>
              </w:rPr>
              <w:t>3</w:t>
            </w:r>
            <w:r>
              <w:rPr>
                <w:rFonts w:hint="eastAsia" w:ascii="宋体" w:hAnsi="宋体"/>
                <w:color w:val="auto"/>
                <w:position w:val="0"/>
                <w:szCs w:val="21"/>
                <w:highlight w:val="none"/>
              </w:rPr>
              <w:t>分。</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1033" w:type="dxa"/>
            <w:vMerge w:val="continue"/>
            <w:noWrap w:val="0"/>
            <w:vAlign w:val="center"/>
          </w:tcPr>
          <w:p>
            <w:pPr>
              <w:jc w:val="center"/>
              <w:rPr>
                <w:rFonts w:hint="eastAsia" w:ascii="宋体" w:hAnsi="宋体" w:cs="宋体"/>
                <w:color w:val="auto"/>
                <w:szCs w:val="21"/>
                <w:highlight w:val="none"/>
              </w:rPr>
            </w:pPr>
          </w:p>
        </w:tc>
        <w:tc>
          <w:tcPr>
            <w:tcW w:w="1115" w:type="dxa"/>
            <w:vMerge w:val="continue"/>
            <w:noWrap w:val="0"/>
            <w:vAlign w:val="center"/>
          </w:tcPr>
          <w:p>
            <w:pPr>
              <w:rPr>
                <w:rFonts w:hint="eastAsia" w:ascii="宋体" w:hAnsi="宋体" w:cs="宋体"/>
                <w:color w:val="auto"/>
                <w:szCs w:val="21"/>
                <w:highlight w:val="none"/>
              </w:rPr>
            </w:pPr>
          </w:p>
        </w:tc>
        <w:tc>
          <w:tcPr>
            <w:tcW w:w="1275" w:type="dxa"/>
            <w:vMerge w:val="continue"/>
            <w:noWrap w:val="0"/>
            <w:vAlign w:val="center"/>
          </w:tcPr>
          <w:p>
            <w:pPr>
              <w:spacing w:line="280" w:lineRule="exact"/>
              <w:jc w:val="center"/>
              <w:rPr>
                <w:rFonts w:hint="eastAsia" w:ascii="宋体" w:hAnsi="宋体"/>
                <w:color w:val="auto"/>
                <w:position w:val="0"/>
                <w:szCs w:val="21"/>
                <w:highlight w:val="none"/>
              </w:rPr>
            </w:pPr>
          </w:p>
        </w:tc>
        <w:tc>
          <w:tcPr>
            <w:tcW w:w="5378" w:type="dxa"/>
            <w:noWrap w:val="0"/>
            <w:vAlign w:val="center"/>
          </w:tcPr>
          <w:p>
            <w:pPr>
              <w:spacing w:line="240" w:lineRule="exact"/>
              <w:jc w:val="left"/>
              <w:rPr>
                <w:rFonts w:ascii="宋体" w:hAnsi="宋体"/>
                <w:b/>
                <w:color w:val="auto"/>
                <w:position w:val="0"/>
                <w:szCs w:val="21"/>
                <w:highlight w:val="none"/>
              </w:rPr>
            </w:pPr>
            <w:r>
              <w:rPr>
                <w:rFonts w:hint="eastAsia" w:ascii="宋体" w:hAnsi="宋体"/>
                <w:b/>
                <w:color w:val="auto"/>
                <w:position w:val="0"/>
                <w:szCs w:val="21"/>
                <w:highlight w:val="none"/>
              </w:rPr>
              <w:t>加分，</w:t>
            </w:r>
            <w:r>
              <w:rPr>
                <w:rFonts w:ascii="宋体" w:hAnsi="宋体"/>
                <w:b/>
                <w:color w:val="auto"/>
                <w:position w:val="0"/>
                <w:szCs w:val="21"/>
                <w:highlight w:val="none"/>
              </w:rPr>
              <w:t>2</w:t>
            </w:r>
            <w:r>
              <w:rPr>
                <w:rFonts w:hint="eastAsia" w:ascii="宋体" w:hAnsi="宋体"/>
                <w:b/>
                <w:color w:val="auto"/>
                <w:position w:val="0"/>
                <w:szCs w:val="21"/>
                <w:highlight w:val="none"/>
              </w:rPr>
              <w:t>分</w:t>
            </w:r>
          </w:p>
          <w:p>
            <w:pPr>
              <w:spacing w:line="240" w:lineRule="exact"/>
              <w:jc w:val="left"/>
              <w:rPr>
                <w:rFonts w:hint="eastAsia" w:ascii="宋体" w:hAnsi="宋体"/>
                <w:color w:val="auto"/>
                <w:position w:val="0"/>
                <w:szCs w:val="21"/>
                <w:highlight w:val="none"/>
              </w:rPr>
            </w:pPr>
            <w:bookmarkStart w:id="19" w:name="_Hlk91537462"/>
            <w:r>
              <w:rPr>
                <w:rFonts w:hint="eastAsia" w:ascii="宋体" w:hAnsi="宋体"/>
                <w:color w:val="auto"/>
                <w:position w:val="0"/>
                <w:szCs w:val="21"/>
                <w:highlight w:val="none"/>
              </w:rPr>
              <w:t>投标人具有工程咨询单位甲级资信证书（专业资信需包含“公路专业”或为综合资信）的加</w:t>
            </w:r>
            <w:r>
              <w:rPr>
                <w:rFonts w:ascii="宋体" w:hAnsi="宋体"/>
                <w:color w:val="auto"/>
                <w:position w:val="0"/>
                <w:szCs w:val="21"/>
                <w:highlight w:val="none"/>
              </w:rPr>
              <w:t>2</w:t>
            </w:r>
            <w:r>
              <w:rPr>
                <w:rFonts w:hint="eastAsia" w:ascii="宋体" w:hAnsi="宋体"/>
                <w:color w:val="auto"/>
                <w:position w:val="0"/>
                <w:szCs w:val="21"/>
                <w:highlight w:val="none"/>
              </w:rPr>
              <w:t>分，具有工程咨询单位乙级资信证书（专业资信需包含“公路专业”）的加</w:t>
            </w:r>
            <w:r>
              <w:rPr>
                <w:rFonts w:ascii="宋体" w:hAnsi="宋体"/>
                <w:color w:val="auto"/>
                <w:position w:val="0"/>
                <w:szCs w:val="21"/>
                <w:highlight w:val="none"/>
              </w:rPr>
              <w:t>1</w:t>
            </w:r>
            <w:r>
              <w:rPr>
                <w:rFonts w:hint="eastAsia" w:ascii="宋体" w:hAnsi="宋体"/>
                <w:color w:val="auto"/>
                <w:position w:val="0"/>
                <w:szCs w:val="21"/>
                <w:highlight w:val="none"/>
              </w:rPr>
              <w:t>分。</w:t>
            </w:r>
            <w:bookmarkEnd w:id="19"/>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8801" w:type="dxa"/>
            <w:gridSpan w:val="4"/>
            <w:noWrap w:val="0"/>
            <w:vAlign w:val="center"/>
          </w:tcPr>
          <w:p>
            <w:pPr>
              <w:ind w:firstLine="72" w:firstLineChars="30"/>
              <w:rPr>
                <w:rFonts w:ascii="宋体" w:hAnsi="宋体"/>
                <w:color w:val="auto"/>
                <w:position w:val="0"/>
                <w:sz w:val="24"/>
                <w:szCs w:val="24"/>
                <w:highlight w:val="none"/>
              </w:rPr>
            </w:pPr>
            <w:r>
              <w:rPr>
                <w:rFonts w:hint="eastAsia" w:ascii="宋体" w:hAnsi="宋体"/>
                <w:color w:val="auto"/>
                <w:position w:val="0"/>
                <w:sz w:val="24"/>
                <w:szCs w:val="24"/>
                <w:highlight w:val="none"/>
              </w:rPr>
              <w:t>补充的其他内容：</w:t>
            </w:r>
          </w:p>
          <w:p>
            <w:pPr>
              <w:snapToGrid w:val="0"/>
              <w:ind w:firstLine="420" w:firstLineChars="2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w:t>
            </w:r>
            <w:r>
              <w:rPr>
                <w:rFonts w:hint="eastAsia" w:ascii="宋体" w:hAnsi="宋体"/>
                <w:color w:val="auto"/>
                <w:szCs w:val="21"/>
                <w:highlight w:val="none"/>
              </w:rPr>
              <w:t>各评分因素（评标价除外）得分一般不得低于其权重分值的</w:t>
            </w:r>
            <w:r>
              <w:rPr>
                <w:rFonts w:ascii="宋体" w:hAnsi="宋体"/>
                <w:color w:val="auto"/>
                <w:szCs w:val="21"/>
                <w:highlight w:val="none"/>
              </w:rPr>
              <w:t>60%</w:t>
            </w:r>
            <w:r>
              <w:rPr>
                <w:rFonts w:hint="eastAsia" w:ascii="宋体" w:hAnsi="宋体"/>
                <w:color w:val="auto"/>
                <w:szCs w:val="21"/>
                <w:highlight w:val="none"/>
              </w:rPr>
              <w:t>，且各评分因素得分应以评标委员会各成员的打分平均值确定，评标委员会成员总数为七人及以上时，该平均值以去掉一个最高分和一个最低分后计算。评标委员会成员对某一项评分因素的评分低于权重分值</w:t>
            </w:r>
            <w:r>
              <w:rPr>
                <w:rFonts w:ascii="宋体" w:hAnsi="宋体"/>
                <w:color w:val="auto"/>
                <w:szCs w:val="21"/>
                <w:highlight w:val="none"/>
              </w:rPr>
              <w:t>60%</w:t>
            </w:r>
            <w:r>
              <w:rPr>
                <w:rFonts w:hint="eastAsia" w:ascii="宋体" w:hAnsi="宋体"/>
                <w:color w:val="auto"/>
                <w:szCs w:val="21"/>
                <w:highlight w:val="none"/>
              </w:rPr>
              <w:t>的，应在评标报告中作出说明。</w:t>
            </w:r>
          </w:p>
          <w:p>
            <w:pPr>
              <w:snapToGrid w:val="0"/>
              <w:ind w:firstLine="420" w:firstLineChars="200"/>
              <w:rPr>
                <w:rFonts w:hint="eastAsia" w:ascii="宋体" w:hAnsi="宋体"/>
                <w:color w:val="auto"/>
                <w:position w:val="0"/>
                <w:sz w:val="24"/>
                <w:szCs w:val="24"/>
                <w:highlight w:val="non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评标委员会对第一个信封进行评审后，因有效投标不足3个使得投标明显缺乏竞争的，可以否决全部投标。若评标委员会认为投标具有竞争性的，可不否决全部投标；评标委员会对第二个信封进行评审后，因有效投标不足3个使得投标明显缺乏竞争的，可以否决全部投标。若评标委员会认为投标具有竞争性的，可不否决全部投标，并推荐中标候选人。</w:t>
            </w:r>
          </w:p>
        </w:tc>
      </w:tr>
    </w:tbl>
    <w:p>
      <w:pPr>
        <w:spacing w:line="360" w:lineRule="auto"/>
        <w:ind w:firstLine="420" w:firstLineChars="200"/>
        <w:jc w:val="right"/>
        <w:rPr>
          <w:color w:val="auto"/>
          <w:highlight w:val="none"/>
        </w:rPr>
      </w:pPr>
    </w:p>
    <w:p>
      <w:pPr>
        <w:spacing w:line="360" w:lineRule="auto"/>
        <w:ind w:firstLine="420" w:firstLineChars="200"/>
        <w:jc w:val="right"/>
        <w:rPr>
          <w:rFonts w:hint="eastAsia"/>
          <w:color w:val="auto"/>
          <w:highlight w:val="none"/>
        </w:rPr>
      </w:pPr>
      <w:r>
        <w:rPr>
          <w:color w:val="auto"/>
          <w:highlight w:val="none"/>
        </w:rPr>
        <w:br w:type="page"/>
      </w:r>
    </w:p>
    <w:bookmarkEnd w:id="10"/>
    <w:bookmarkEnd w:id="11"/>
    <w:bookmarkEnd w:id="12"/>
    <w:bookmarkEnd w:id="13"/>
    <w:bookmarkEnd w:id="14"/>
    <w:bookmarkEnd w:id="15"/>
    <w:bookmarkEnd w:id="16"/>
    <w:bookmarkEnd w:id="17"/>
    <w:p>
      <w:pPr>
        <w:pStyle w:val="3"/>
        <w:spacing w:before="60" w:beforeLines="25" w:after="60" w:afterLines="25" w:line="300" w:lineRule="auto"/>
        <w:ind w:firstLine="480"/>
        <w:rPr>
          <w:rFonts w:hint="eastAsia" w:ascii="黑体" w:eastAsia="黑体"/>
          <w:b w:val="0"/>
          <w:bCs w:val="0"/>
          <w:caps/>
          <w:color w:val="auto"/>
          <w:position w:val="0"/>
          <w:sz w:val="24"/>
          <w:szCs w:val="24"/>
          <w:highlight w:val="none"/>
        </w:rPr>
      </w:pPr>
      <w:bookmarkStart w:id="20" w:name="_Toc17707"/>
      <w:bookmarkStart w:id="21" w:name="_Toc89075559"/>
      <w:r>
        <w:rPr>
          <w:rFonts w:hint="eastAsia" w:ascii="黑体" w:eastAsia="黑体"/>
          <w:b w:val="0"/>
          <w:bCs w:val="0"/>
          <w:caps/>
          <w:color w:val="auto"/>
          <w:position w:val="0"/>
          <w:sz w:val="24"/>
          <w:szCs w:val="24"/>
          <w:highlight w:val="none"/>
        </w:rPr>
        <w:t>1．评标方法</w:t>
      </w:r>
      <w:bookmarkEnd w:id="20"/>
      <w:bookmarkEnd w:id="21"/>
    </w:p>
    <w:p>
      <w:pPr>
        <w:spacing w:line="360" w:lineRule="auto"/>
        <w:ind w:firstLine="480" w:firstLineChars="200"/>
        <w:rPr>
          <w:rFonts w:hint="eastAsia"/>
          <w:color w:val="auto"/>
          <w:sz w:val="24"/>
          <w:highlight w:val="none"/>
        </w:rPr>
      </w:pPr>
      <w:r>
        <w:rPr>
          <w:rFonts w:hint="eastAsia" w:ascii="宋体" w:hAnsi="宋体"/>
          <w:color w:val="auto"/>
          <w:sz w:val="24"/>
          <w:highlight w:val="none"/>
        </w:rPr>
        <w:t>本次评标采用综合评估法。评标委员会对满足招标文件实质性要求的投标文件，按照本章第</w:t>
      </w:r>
      <w:r>
        <w:rPr>
          <w:rFonts w:ascii="宋体" w:hAnsi="宋体"/>
          <w:color w:val="auto"/>
          <w:sz w:val="24"/>
          <w:highlight w:val="none"/>
        </w:rPr>
        <w:t>2.2</w:t>
      </w:r>
      <w:r>
        <w:rPr>
          <w:rFonts w:hint="eastAsia" w:ascii="宋体" w:hAnsi="宋体"/>
          <w:color w:val="auto"/>
          <w:sz w:val="24"/>
          <w:highlight w:val="none"/>
        </w:rPr>
        <w:t>款规定的评分标准进行打分，并按得分由高到低顺序推荐中标候选人，但投标报价低于其成本的除外。综合评分相等时，评标委员会应按照评标办法前附表规定的优先次序推荐中标候选人或确定中标人</w:t>
      </w:r>
      <w:r>
        <w:rPr>
          <w:rFonts w:hint="eastAsia"/>
          <w:color w:val="auto"/>
          <w:sz w:val="24"/>
          <w:highlight w:val="none"/>
        </w:rPr>
        <w:t>。</w:t>
      </w:r>
    </w:p>
    <w:p>
      <w:pPr>
        <w:pStyle w:val="3"/>
        <w:spacing w:before="60" w:beforeLines="25" w:after="60" w:afterLines="25" w:line="300" w:lineRule="auto"/>
        <w:ind w:firstLine="480"/>
        <w:rPr>
          <w:rFonts w:hint="eastAsia" w:ascii="黑体" w:eastAsia="黑体"/>
          <w:b w:val="0"/>
          <w:bCs w:val="0"/>
          <w:caps/>
          <w:color w:val="auto"/>
          <w:position w:val="0"/>
          <w:sz w:val="24"/>
          <w:szCs w:val="24"/>
          <w:highlight w:val="none"/>
        </w:rPr>
      </w:pPr>
      <w:bookmarkStart w:id="22" w:name="_Toc366312376"/>
      <w:bookmarkStart w:id="23" w:name="_Toc6964"/>
      <w:bookmarkStart w:id="24" w:name="_Toc237230853"/>
      <w:bookmarkStart w:id="25" w:name="_Toc251224116"/>
      <w:bookmarkStart w:id="26" w:name="_Toc266451770"/>
      <w:bookmarkStart w:id="27" w:name="_Toc504144566"/>
      <w:bookmarkStart w:id="28" w:name="_Toc89075560"/>
      <w:bookmarkStart w:id="29" w:name="_Toc307048248"/>
      <w:bookmarkStart w:id="30" w:name="_Toc276999679"/>
      <w:bookmarkStart w:id="31" w:name="_Toc510531358"/>
      <w:bookmarkStart w:id="32" w:name="_Toc445300951"/>
      <w:bookmarkStart w:id="33" w:name="_Toc237061003"/>
      <w:bookmarkStart w:id="34" w:name="_Toc270058728"/>
      <w:bookmarkStart w:id="35" w:name="_Toc445303826"/>
      <w:bookmarkStart w:id="36" w:name="_Toc502824726"/>
      <w:bookmarkStart w:id="37" w:name="_Toc458267201"/>
      <w:r>
        <w:rPr>
          <w:rFonts w:hint="eastAsia" w:ascii="黑体" w:eastAsia="黑体"/>
          <w:b w:val="0"/>
          <w:bCs w:val="0"/>
          <w:caps/>
          <w:color w:val="auto"/>
          <w:position w:val="0"/>
          <w:sz w:val="24"/>
          <w:szCs w:val="24"/>
          <w:highlight w:val="none"/>
        </w:rPr>
        <w:t>2．评审标准</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pPr>
        <w:pStyle w:val="4"/>
        <w:spacing w:before="60" w:beforeLines="25" w:after="60" w:afterLines="25" w:line="300" w:lineRule="auto"/>
        <w:rPr>
          <w:rFonts w:hint="eastAsia"/>
          <w:color w:val="auto"/>
          <w:szCs w:val="24"/>
          <w:highlight w:val="none"/>
        </w:rPr>
      </w:pPr>
      <w:bookmarkStart w:id="38" w:name="_Toc504144567"/>
      <w:bookmarkStart w:id="39" w:name="_Toc349313229"/>
      <w:bookmarkStart w:id="40" w:name="_Toc354743958"/>
      <w:bookmarkStart w:id="41" w:name="_Toc510531359"/>
      <w:bookmarkStart w:id="42" w:name="_Toc484939711"/>
      <w:bookmarkStart w:id="43" w:name="_Toc366312377"/>
      <w:bookmarkStart w:id="44" w:name="_Toc458267202"/>
      <w:bookmarkStart w:id="45" w:name="_Toc374349184"/>
      <w:bookmarkStart w:id="46" w:name="_Toc502824727"/>
      <w:bookmarkStart w:id="47" w:name="_Toc445303827"/>
      <w:bookmarkStart w:id="48" w:name="_Toc503978654"/>
      <w:bookmarkStart w:id="49" w:name="_Toc307048249"/>
      <w:bookmarkStart w:id="50" w:name="_Toc457893050"/>
      <w:bookmarkStart w:id="51" w:name="_Toc445300952"/>
      <w:bookmarkStart w:id="52" w:name="_Toc457906715"/>
      <w:bookmarkStart w:id="53" w:name="_Toc371166428"/>
      <w:bookmarkStart w:id="54" w:name="_Toc354824968"/>
      <w:bookmarkStart w:id="55" w:name="_Toc314489260"/>
      <w:bookmarkStart w:id="56" w:name="_Toc276999680"/>
      <w:bookmarkStart w:id="57" w:name="_Toc343685877"/>
      <w:r>
        <w:rPr>
          <w:rFonts w:hint="eastAsia"/>
          <w:color w:val="auto"/>
          <w:szCs w:val="24"/>
          <w:highlight w:val="none"/>
        </w:rPr>
        <w:t>2.1 初步评审标准</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2.1.1</w:t>
      </w:r>
      <w:r>
        <w:rPr>
          <w:rFonts w:hint="eastAsia" w:ascii="宋体" w:hAnsi="宋体"/>
          <w:color w:val="auto"/>
          <w:position w:val="0"/>
          <w:sz w:val="24"/>
          <w:szCs w:val="24"/>
          <w:highlight w:val="none"/>
        </w:rPr>
        <w:t xml:space="preserve">形式评审标准：见评标办法前附表。 </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2.1.2</w:t>
      </w:r>
      <w:r>
        <w:rPr>
          <w:rFonts w:hint="eastAsia" w:ascii="宋体" w:hAnsi="宋体"/>
          <w:color w:val="auto"/>
          <w:position w:val="0"/>
          <w:sz w:val="24"/>
          <w:szCs w:val="24"/>
          <w:highlight w:val="none"/>
        </w:rPr>
        <w:t>资格评审标准：见评标办法前附表。</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2.1.3</w:t>
      </w:r>
      <w:r>
        <w:rPr>
          <w:rFonts w:hint="eastAsia" w:ascii="宋体" w:hAnsi="宋体"/>
          <w:color w:val="auto"/>
          <w:position w:val="0"/>
          <w:sz w:val="24"/>
          <w:szCs w:val="24"/>
          <w:highlight w:val="none"/>
        </w:rPr>
        <w:t>响应性评审标准：见评标办法前附表。</w:t>
      </w:r>
    </w:p>
    <w:p>
      <w:pPr>
        <w:pStyle w:val="4"/>
        <w:spacing w:before="60" w:beforeLines="25" w:after="60" w:afterLines="25" w:line="300" w:lineRule="auto"/>
        <w:rPr>
          <w:color w:val="auto"/>
          <w:szCs w:val="24"/>
          <w:highlight w:val="none"/>
        </w:rPr>
      </w:pPr>
      <w:bookmarkStart w:id="58" w:name="_Toc354824969"/>
      <w:bookmarkStart w:id="59" w:name="_Toc502824728"/>
      <w:bookmarkStart w:id="60" w:name="_Toc445303828"/>
      <w:bookmarkStart w:id="61" w:name="_Toc457893051"/>
      <w:bookmarkStart w:id="62" w:name="_Toc458267203"/>
      <w:bookmarkStart w:id="63" w:name="_Toc457906716"/>
      <w:bookmarkStart w:id="64" w:name="_Toc510531360"/>
      <w:bookmarkStart w:id="65" w:name="_Toc371166429"/>
      <w:bookmarkStart w:id="66" w:name="_Toc354743959"/>
      <w:bookmarkStart w:id="67" w:name="_Toc503978655"/>
      <w:bookmarkStart w:id="68" w:name="_Toc307048250"/>
      <w:bookmarkStart w:id="69" w:name="_Toc366312378"/>
      <w:bookmarkStart w:id="70" w:name="_Toc374349185"/>
      <w:bookmarkStart w:id="71" w:name="_Toc484939712"/>
      <w:bookmarkStart w:id="72" w:name="_Toc314489261"/>
      <w:bookmarkStart w:id="73" w:name="_Toc343685878"/>
      <w:bookmarkStart w:id="74" w:name="_Toc445300953"/>
      <w:bookmarkStart w:id="75" w:name="_Toc349313230"/>
      <w:bookmarkStart w:id="76" w:name="_Toc504144568"/>
      <w:bookmarkStart w:id="77" w:name="_Toc276999681"/>
      <w:r>
        <w:rPr>
          <w:rFonts w:hint="eastAsia"/>
          <w:color w:val="auto"/>
          <w:szCs w:val="24"/>
          <w:highlight w:val="none"/>
        </w:rPr>
        <w:t>2.2 分值构成与评分标准</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2.2.1 </w:t>
      </w:r>
      <w:r>
        <w:rPr>
          <w:rFonts w:hint="eastAsia" w:ascii="宋体" w:hAnsi="宋体"/>
          <w:color w:val="auto"/>
          <w:position w:val="0"/>
          <w:sz w:val="24"/>
          <w:szCs w:val="24"/>
          <w:highlight w:val="none"/>
        </w:rPr>
        <w:t>分值构成</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1</w:t>
      </w:r>
      <w:r>
        <w:rPr>
          <w:rFonts w:hint="eastAsia" w:ascii="宋体" w:hAnsi="宋体"/>
          <w:color w:val="auto"/>
          <w:position w:val="0"/>
          <w:sz w:val="24"/>
          <w:szCs w:val="24"/>
          <w:highlight w:val="none"/>
        </w:rPr>
        <w:t>）技术建议书：见评标办法前附表；</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2</w:t>
      </w:r>
      <w:r>
        <w:rPr>
          <w:rFonts w:hint="eastAsia" w:ascii="宋体" w:hAnsi="宋体"/>
          <w:color w:val="auto"/>
          <w:position w:val="0"/>
          <w:sz w:val="24"/>
          <w:szCs w:val="24"/>
          <w:highlight w:val="none"/>
        </w:rPr>
        <w:t>）拟投入本项目的人员资格和能力：见评标办法前附表；</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3</w:t>
      </w:r>
      <w:r>
        <w:rPr>
          <w:rFonts w:hint="eastAsia" w:ascii="宋体" w:hAnsi="宋体"/>
          <w:color w:val="auto"/>
          <w:position w:val="0"/>
          <w:sz w:val="24"/>
          <w:szCs w:val="24"/>
          <w:highlight w:val="none"/>
        </w:rPr>
        <w:t>）评标价：见评标办法前附表。</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4</w:t>
      </w:r>
      <w:r>
        <w:rPr>
          <w:rFonts w:hint="eastAsia" w:ascii="宋体" w:hAnsi="宋体"/>
          <w:color w:val="auto"/>
          <w:position w:val="0"/>
          <w:sz w:val="24"/>
          <w:szCs w:val="24"/>
          <w:highlight w:val="none"/>
        </w:rPr>
        <w:t>）其他评分因素：见评标办法前附表。</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2.2.2</w:t>
      </w:r>
      <w:r>
        <w:rPr>
          <w:rFonts w:hint="eastAsia" w:ascii="宋体" w:hAnsi="宋体"/>
          <w:color w:val="auto"/>
          <w:position w:val="0"/>
          <w:sz w:val="24"/>
          <w:szCs w:val="24"/>
          <w:highlight w:val="none"/>
        </w:rPr>
        <w:t>评标基准价计算。</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2.2.3 </w:t>
      </w:r>
      <w:r>
        <w:rPr>
          <w:rFonts w:hint="eastAsia" w:ascii="宋体" w:hAnsi="宋体"/>
          <w:color w:val="auto"/>
          <w:position w:val="0"/>
          <w:sz w:val="24"/>
          <w:szCs w:val="24"/>
          <w:highlight w:val="none"/>
        </w:rPr>
        <w:t>评标价的偏差率计算</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2.2.4 </w:t>
      </w:r>
      <w:r>
        <w:rPr>
          <w:rFonts w:hint="eastAsia" w:ascii="宋体" w:hAnsi="宋体"/>
          <w:color w:val="auto"/>
          <w:position w:val="0"/>
          <w:sz w:val="24"/>
          <w:szCs w:val="24"/>
          <w:highlight w:val="none"/>
        </w:rPr>
        <w:t>评分标准</w:t>
      </w:r>
    </w:p>
    <w:p>
      <w:pPr>
        <w:spacing w:before="60" w:beforeLines="25" w:after="60" w:afterLines="25" w:line="300" w:lineRule="auto"/>
        <w:ind w:firstLine="480" w:firstLineChars="200"/>
        <w:rPr>
          <w:rFonts w:hint="eastAsia" w:ascii="宋体" w:hAnsi="宋体"/>
          <w:color w:val="auto"/>
          <w:position w:val="0"/>
          <w:sz w:val="24"/>
          <w:szCs w:val="24"/>
          <w:highlight w:val="none"/>
        </w:rPr>
      </w:pPr>
      <w:bookmarkStart w:id="78" w:name="_Toc307048251"/>
      <w:bookmarkStart w:id="79" w:name="_Toc237230854"/>
      <w:bookmarkStart w:id="80" w:name="_Toc266451773"/>
      <w:bookmarkStart w:id="81" w:name="_Toc504144569"/>
      <w:bookmarkStart w:id="82" w:name="_Toc237061004"/>
      <w:bookmarkStart w:id="83" w:name="_Toc458267204"/>
      <w:bookmarkStart w:id="84" w:name="_Toc502824729"/>
      <w:bookmarkStart w:id="85" w:name="_Toc270058729"/>
      <w:bookmarkStart w:id="86" w:name="_Toc276999682"/>
      <w:bookmarkStart w:id="87" w:name="_Toc510531361"/>
      <w:bookmarkStart w:id="88" w:name="_Toc251224117"/>
      <w:bookmarkStart w:id="89" w:name="_Toc445303829"/>
      <w:bookmarkStart w:id="90" w:name="_Toc366312379"/>
      <w:bookmarkStart w:id="91" w:name="_Toc445300954"/>
      <w:r>
        <w:rPr>
          <w:rFonts w:hint="eastAsia" w:ascii="宋体" w:hAnsi="宋体"/>
          <w:color w:val="auto"/>
          <w:position w:val="0"/>
          <w:sz w:val="24"/>
          <w:szCs w:val="24"/>
          <w:highlight w:val="none"/>
        </w:rPr>
        <w:t>（</w:t>
      </w:r>
      <w:r>
        <w:rPr>
          <w:rFonts w:ascii="宋体" w:hAnsi="宋体"/>
          <w:color w:val="auto"/>
          <w:position w:val="0"/>
          <w:sz w:val="24"/>
          <w:szCs w:val="24"/>
          <w:highlight w:val="none"/>
        </w:rPr>
        <w:t>1</w:t>
      </w:r>
      <w:r>
        <w:rPr>
          <w:rFonts w:hint="eastAsia" w:ascii="宋体" w:hAnsi="宋体"/>
          <w:color w:val="auto"/>
          <w:position w:val="0"/>
          <w:sz w:val="24"/>
          <w:szCs w:val="24"/>
          <w:highlight w:val="none"/>
        </w:rPr>
        <w:t>）技术建议书评分标准：见评标办法前附表；</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2</w:t>
      </w:r>
      <w:r>
        <w:rPr>
          <w:rFonts w:hint="eastAsia" w:ascii="宋体" w:hAnsi="宋体"/>
          <w:color w:val="auto"/>
          <w:position w:val="0"/>
          <w:sz w:val="24"/>
          <w:szCs w:val="24"/>
          <w:highlight w:val="none"/>
        </w:rPr>
        <w:t>）拟投入本项目的人员资格和能力评分标准：见评标办法前附表；</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3</w:t>
      </w:r>
      <w:r>
        <w:rPr>
          <w:rFonts w:hint="eastAsia" w:ascii="宋体" w:hAnsi="宋体"/>
          <w:color w:val="auto"/>
          <w:position w:val="0"/>
          <w:sz w:val="24"/>
          <w:szCs w:val="24"/>
          <w:highlight w:val="none"/>
        </w:rPr>
        <w:t>）评标评分标准：见评标办法前附表；</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4</w:t>
      </w:r>
      <w:r>
        <w:rPr>
          <w:rFonts w:hint="eastAsia" w:ascii="宋体" w:hAnsi="宋体"/>
          <w:color w:val="auto"/>
          <w:position w:val="0"/>
          <w:sz w:val="24"/>
          <w:szCs w:val="24"/>
          <w:highlight w:val="none"/>
        </w:rPr>
        <w:t>）其他因素评分标准：见评标办法前附表。</w:t>
      </w:r>
    </w:p>
    <w:p>
      <w:pPr>
        <w:pStyle w:val="3"/>
        <w:spacing w:before="60" w:beforeLines="25" w:after="60" w:afterLines="25" w:line="300" w:lineRule="auto"/>
        <w:ind w:firstLine="480"/>
        <w:rPr>
          <w:rFonts w:hint="eastAsia" w:ascii="黑体" w:eastAsia="黑体"/>
          <w:b w:val="0"/>
          <w:bCs w:val="0"/>
          <w:caps/>
          <w:color w:val="auto"/>
          <w:position w:val="0"/>
          <w:sz w:val="24"/>
          <w:szCs w:val="24"/>
          <w:highlight w:val="none"/>
        </w:rPr>
      </w:pPr>
      <w:bookmarkStart w:id="92" w:name="_Toc89075561"/>
      <w:bookmarkStart w:id="93" w:name="_Toc15131"/>
      <w:r>
        <w:rPr>
          <w:rFonts w:hint="eastAsia" w:ascii="黑体" w:eastAsia="黑体"/>
          <w:b w:val="0"/>
          <w:bCs w:val="0"/>
          <w:caps/>
          <w:color w:val="auto"/>
          <w:position w:val="0"/>
          <w:sz w:val="24"/>
          <w:szCs w:val="24"/>
          <w:highlight w:val="none"/>
        </w:rPr>
        <w:t>3．评标程序</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pPr>
        <w:pStyle w:val="4"/>
        <w:spacing w:before="60" w:beforeLines="25" w:after="60" w:afterLines="25" w:line="300" w:lineRule="auto"/>
        <w:rPr>
          <w:rFonts w:hint="eastAsia"/>
          <w:color w:val="auto"/>
          <w:szCs w:val="24"/>
          <w:highlight w:val="none"/>
        </w:rPr>
      </w:pPr>
      <w:bookmarkStart w:id="94" w:name="_Toc510531362"/>
      <w:bookmarkStart w:id="95" w:name="_Toc349313232"/>
      <w:bookmarkStart w:id="96" w:name="_Toc354743961"/>
      <w:bookmarkStart w:id="97" w:name="_Toc457893053"/>
      <w:bookmarkStart w:id="98" w:name="_Toc366312380"/>
      <w:bookmarkStart w:id="99" w:name="_Toc307048252"/>
      <w:bookmarkStart w:id="100" w:name="_Toc266451774"/>
      <w:bookmarkStart w:id="101" w:name="_Toc502824730"/>
      <w:bookmarkStart w:id="102" w:name="_Toc458267205"/>
      <w:bookmarkStart w:id="103" w:name="_Toc371166431"/>
      <w:bookmarkStart w:id="104" w:name="_Toc374349187"/>
      <w:bookmarkStart w:id="105" w:name="_Toc504144570"/>
      <w:bookmarkStart w:id="106" w:name="_Toc484939714"/>
      <w:bookmarkStart w:id="107" w:name="_Toc503978657"/>
      <w:bookmarkStart w:id="108" w:name="_Toc445303830"/>
      <w:bookmarkStart w:id="109" w:name="_Toc445300955"/>
      <w:bookmarkStart w:id="110" w:name="_Toc314489263"/>
      <w:bookmarkStart w:id="111" w:name="_Toc354824971"/>
      <w:bookmarkStart w:id="112" w:name="_Toc276999683"/>
      <w:bookmarkStart w:id="113" w:name="_Toc343685880"/>
      <w:bookmarkStart w:id="114" w:name="_Toc457906718"/>
      <w:r>
        <w:rPr>
          <w:rFonts w:hint="eastAsia"/>
          <w:color w:val="auto"/>
          <w:szCs w:val="24"/>
          <w:highlight w:val="none"/>
        </w:rPr>
        <w:t>3.1 第一个信封初步评审</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3.1.1</w:t>
      </w:r>
      <w:r>
        <w:rPr>
          <w:rFonts w:hint="eastAsia" w:ascii="宋体" w:hAnsi="宋体"/>
          <w:color w:val="auto"/>
          <w:position w:val="0"/>
          <w:sz w:val="24"/>
          <w:szCs w:val="24"/>
          <w:highlight w:val="none"/>
        </w:rPr>
        <w:t>评标委员会可以要求投标人提交第二章“投标人须知”第</w:t>
      </w:r>
      <w:r>
        <w:rPr>
          <w:rFonts w:ascii="宋体" w:hAnsi="宋体"/>
          <w:color w:val="auto"/>
          <w:position w:val="0"/>
          <w:sz w:val="24"/>
          <w:szCs w:val="24"/>
          <w:highlight w:val="none"/>
        </w:rPr>
        <w:t>3.5</w:t>
      </w:r>
      <w:r>
        <w:rPr>
          <w:rFonts w:hint="eastAsia" w:ascii="宋体" w:hAnsi="宋体"/>
          <w:color w:val="auto"/>
          <w:position w:val="0"/>
          <w:sz w:val="24"/>
          <w:szCs w:val="24"/>
          <w:highlight w:val="none"/>
        </w:rPr>
        <w:t>项规定的有关证明和证件的原件，以便核验。评标委员会依据本章第</w:t>
      </w:r>
      <w:r>
        <w:rPr>
          <w:rFonts w:ascii="宋体" w:hAnsi="宋体"/>
          <w:color w:val="auto"/>
          <w:position w:val="0"/>
          <w:sz w:val="24"/>
          <w:szCs w:val="24"/>
          <w:highlight w:val="none"/>
        </w:rPr>
        <w:t>2.1</w:t>
      </w:r>
      <w:r>
        <w:rPr>
          <w:rFonts w:hint="eastAsia" w:ascii="宋体" w:hAnsi="宋体"/>
          <w:color w:val="auto"/>
          <w:position w:val="0"/>
          <w:sz w:val="24"/>
          <w:szCs w:val="24"/>
          <w:highlight w:val="none"/>
        </w:rPr>
        <w:t>款规定的标准对投标文件第一个信封（商务及技术文件）进行初步评审。有一项不符合评审标准的评标委员会应否决其投标。</w:t>
      </w:r>
    </w:p>
    <w:p>
      <w:pPr>
        <w:pStyle w:val="4"/>
        <w:spacing w:before="60" w:beforeLines="25" w:after="60" w:afterLines="25" w:line="300" w:lineRule="auto"/>
        <w:rPr>
          <w:rFonts w:hint="eastAsia"/>
          <w:color w:val="auto"/>
          <w:szCs w:val="24"/>
          <w:highlight w:val="none"/>
        </w:rPr>
      </w:pPr>
      <w:bookmarkStart w:id="115" w:name="_Toc510531363"/>
      <w:r>
        <w:rPr>
          <w:rFonts w:hint="eastAsia"/>
          <w:color w:val="auto"/>
          <w:szCs w:val="24"/>
          <w:highlight w:val="none"/>
        </w:rPr>
        <w:t>3.2第一个信封详细评审</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3.2.1</w:t>
      </w:r>
      <w:r>
        <w:rPr>
          <w:rFonts w:hint="eastAsia" w:ascii="宋体" w:hAnsi="宋体"/>
          <w:color w:val="auto"/>
          <w:position w:val="0"/>
          <w:sz w:val="24"/>
          <w:szCs w:val="24"/>
          <w:highlight w:val="none"/>
        </w:rPr>
        <w:t>评标委员会按本章第</w:t>
      </w:r>
      <w:r>
        <w:rPr>
          <w:rFonts w:ascii="宋体" w:hAnsi="宋体"/>
          <w:color w:val="auto"/>
          <w:position w:val="0"/>
          <w:sz w:val="24"/>
          <w:szCs w:val="24"/>
          <w:highlight w:val="none"/>
        </w:rPr>
        <w:t>2.2</w:t>
      </w:r>
      <w:r>
        <w:rPr>
          <w:rFonts w:hint="eastAsia" w:ascii="宋体" w:hAnsi="宋体"/>
          <w:color w:val="auto"/>
          <w:position w:val="0"/>
          <w:sz w:val="24"/>
          <w:szCs w:val="24"/>
          <w:highlight w:val="none"/>
        </w:rPr>
        <w:t>款规定的量化因素和分值进行打分，并计算出各投标人的商务和技术得分。</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1</w:t>
      </w:r>
      <w:r>
        <w:rPr>
          <w:rFonts w:hint="eastAsia" w:ascii="宋体" w:hAnsi="宋体"/>
          <w:color w:val="auto"/>
          <w:position w:val="0"/>
          <w:sz w:val="24"/>
          <w:szCs w:val="24"/>
          <w:highlight w:val="none"/>
        </w:rPr>
        <w:t>）按本章第</w:t>
      </w:r>
      <w:r>
        <w:rPr>
          <w:rFonts w:ascii="宋体" w:hAnsi="宋体"/>
          <w:color w:val="auto"/>
          <w:position w:val="0"/>
          <w:sz w:val="24"/>
          <w:szCs w:val="24"/>
          <w:highlight w:val="none"/>
        </w:rPr>
        <w:t>2.2.4</w:t>
      </w:r>
      <w:r>
        <w:rPr>
          <w:rFonts w:hint="eastAsia" w:ascii="宋体" w:hAnsi="宋体"/>
          <w:color w:val="auto"/>
          <w:position w:val="0"/>
          <w:sz w:val="24"/>
          <w:szCs w:val="24"/>
          <w:highlight w:val="none"/>
        </w:rPr>
        <w:t>（</w:t>
      </w:r>
      <w:r>
        <w:rPr>
          <w:rFonts w:ascii="宋体" w:hAnsi="宋体"/>
          <w:color w:val="auto"/>
          <w:position w:val="0"/>
          <w:sz w:val="24"/>
          <w:szCs w:val="24"/>
          <w:highlight w:val="none"/>
        </w:rPr>
        <w:t>1</w:t>
      </w:r>
      <w:r>
        <w:rPr>
          <w:rFonts w:hint="eastAsia" w:ascii="宋体" w:hAnsi="宋体"/>
          <w:color w:val="auto"/>
          <w:position w:val="0"/>
          <w:sz w:val="24"/>
          <w:szCs w:val="24"/>
          <w:highlight w:val="none"/>
        </w:rPr>
        <w:t>）目规定的评审因素和分值对技术建议书部分计算出得分</w:t>
      </w:r>
      <w:r>
        <w:rPr>
          <w:rFonts w:ascii="宋体" w:hAnsi="宋体"/>
          <w:color w:val="auto"/>
          <w:position w:val="0"/>
          <w:sz w:val="24"/>
          <w:szCs w:val="24"/>
          <w:highlight w:val="none"/>
        </w:rPr>
        <w:t>A</w:t>
      </w:r>
      <w:r>
        <w:rPr>
          <w:rFonts w:hint="eastAsia" w:ascii="宋体" w:hAnsi="宋体"/>
          <w:color w:val="auto"/>
          <w:position w:val="0"/>
          <w:sz w:val="24"/>
          <w:szCs w:val="24"/>
          <w:highlight w:val="none"/>
        </w:rPr>
        <w:t>；</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2</w:t>
      </w:r>
      <w:r>
        <w:rPr>
          <w:rFonts w:hint="eastAsia" w:ascii="宋体" w:hAnsi="宋体"/>
          <w:color w:val="auto"/>
          <w:position w:val="0"/>
          <w:sz w:val="24"/>
          <w:szCs w:val="24"/>
          <w:highlight w:val="none"/>
        </w:rPr>
        <w:t>）按本章第</w:t>
      </w:r>
      <w:r>
        <w:rPr>
          <w:rFonts w:ascii="宋体" w:hAnsi="宋体"/>
          <w:color w:val="auto"/>
          <w:position w:val="0"/>
          <w:sz w:val="24"/>
          <w:szCs w:val="24"/>
          <w:highlight w:val="none"/>
        </w:rPr>
        <w:t>2.2.4</w:t>
      </w:r>
      <w:r>
        <w:rPr>
          <w:rFonts w:hint="eastAsia" w:ascii="宋体" w:hAnsi="宋体"/>
          <w:color w:val="auto"/>
          <w:position w:val="0"/>
          <w:sz w:val="24"/>
          <w:szCs w:val="24"/>
          <w:highlight w:val="none"/>
        </w:rPr>
        <w:t>（</w:t>
      </w:r>
      <w:r>
        <w:rPr>
          <w:rFonts w:ascii="宋体" w:hAnsi="宋体"/>
          <w:color w:val="auto"/>
          <w:position w:val="0"/>
          <w:sz w:val="24"/>
          <w:szCs w:val="24"/>
          <w:highlight w:val="none"/>
        </w:rPr>
        <w:t>2</w:t>
      </w:r>
      <w:r>
        <w:rPr>
          <w:rFonts w:hint="eastAsia" w:ascii="宋体" w:hAnsi="宋体"/>
          <w:color w:val="auto"/>
          <w:position w:val="0"/>
          <w:sz w:val="24"/>
          <w:szCs w:val="24"/>
          <w:highlight w:val="none"/>
        </w:rPr>
        <w:t>）目规定的评审因素和分值对拟投入本项目的人员资格和能力部分计算出得分</w:t>
      </w:r>
      <w:r>
        <w:rPr>
          <w:rFonts w:ascii="宋体" w:hAnsi="宋体"/>
          <w:color w:val="auto"/>
          <w:position w:val="0"/>
          <w:sz w:val="24"/>
          <w:szCs w:val="24"/>
          <w:highlight w:val="none"/>
        </w:rPr>
        <w:t>B</w:t>
      </w:r>
      <w:r>
        <w:rPr>
          <w:rFonts w:hint="eastAsia" w:ascii="宋体" w:hAnsi="宋体"/>
          <w:color w:val="auto"/>
          <w:position w:val="0"/>
          <w:sz w:val="24"/>
          <w:szCs w:val="24"/>
          <w:highlight w:val="none"/>
        </w:rPr>
        <w:t>；</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3</w:t>
      </w:r>
      <w:r>
        <w:rPr>
          <w:rFonts w:hint="eastAsia" w:ascii="宋体" w:hAnsi="宋体"/>
          <w:color w:val="auto"/>
          <w:position w:val="0"/>
          <w:sz w:val="24"/>
          <w:szCs w:val="24"/>
          <w:highlight w:val="none"/>
        </w:rPr>
        <w:t>）按本章第</w:t>
      </w:r>
      <w:r>
        <w:rPr>
          <w:rFonts w:ascii="宋体" w:hAnsi="宋体"/>
          <w:color w:val="auto"/>
          <w:position w:val="0"/>
          <w:sz w:val="24"/>
          <w:szCs w:val="24"/>
          <w:highlight w:val="none"/>
        </w:rPr>
        <w:t>2.2.4</w:t>
      </w:r>
      <w:r>
        <w:rPr>
          <w:rFonts w:hint="eastAsia" w:ascii="宋体" w:hAnsi="宋体"/>
          <w:color w:val="auto"/>
          <w:position w:val="0"/>
          <w:sz w:val="24"/>
          <w:szCs w:val="24"/>
          <w:highlight w:val="none"/>
        </w:rPr>
        <w:t>（</w:t>
      </w:r>
      <w:r>
        <w:rPr>
          <w:rFonts w:ascii="宋体" w:hAnsi="宋体"/>
          <w:color w:val="auto"/>
          <w:position w:val="0"/>
          <w:sz w:val="24"/>
          <w:szCs w:val="24"/>
          <w:highlight w:val="none"/>
        </w:rPr>
        <w:t>4</w:t>
      </w:r>
      <w:r>
        <w:rPr>
          <w:rFonts w:hint="eastAsia" w:ascii="宋体" w:hAnsi="宋体"/>
          <w:color w:val="auto"/>
          <w:position w:val="0"/>
          <w:sz w:val="24"/>
          <w:szCs w:val="24"/>
          <w:highlight w:val="none"/>
        </w:rPr>
        <w:t>）目规定的评审因素和分值对其他部分计算出得分</w:t>
      </w:r>
      <w:r>
        <w:rPr>
          <w:rFonts w:ascii="宋体" w:hAnsi="宋体"/>
          <w:color w:val="auto"/>
          <w:position w:val="0"/>
          <w:sz w:val="24"/>
          <w:szCs w:val="24"/>
          <w:highlight w:val="none"/>
        </w:rPr>
        <w:t>D</w:t>
      </w:r>
      <w:r>
        <w:rPr>
          <w:rFonts w:hint="eastAsia" w:ascii="宋体" w:hAnsi="宋体"/>
          <w:color w:val="auto"/>
          <w:position w:val="0"/>
          <w:sz w:val="24"/>
          <w:szCs w:val="24"/>
          <w:highlight w:val="none"/>
        </w:rPr>
        <w:t>；</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3.2.2</w:t>
      </w:r>
      <w:r>
        <w:rPr>
          <w:rFonts w:hint="eastAsia" w:ascii="宋体" w:hAnsi="宋体"/>
          <w:color w:val="auto"/>
          <w:position w:val="0"/>
          <w:sz w:val="24"/>
          <w:szCs w:val="24"/>
          <w:highlight w:val="none"/>
        </w:rPr>
        <w:t>投标人的商务和技术得分分值计算保留小数点后两位，小数点后第三位“四舍五入”。</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3.2.3</w:t>
      </w:r>
      <w:r>
        <w:rPr>
          <w:rFonts w:hint="eastAsia" w:ascii="宋体" w:hAnsi="宋体"/>
          <w:color w:val="auto"/>
          <w:position w:val="0"/>
          <w:sz w:val="24"/>
          <w:szCs w:val="24"/>
          <w:highlight w:val="none"/>
        </w:rPr>
        <w:t>投标人的商务和技术得分</w:t>
      </w:r>
      <w:r>
        <w:rPr>
          <w:rFonts w:ascii="宋体" w:hAnsi="宋体"/>
          <w:color w:val="auto"/>
          <w:position w:val="0"/>
          <w:sz w:val="24"/>
          <w:szCs w:val="24"/>
          <w:highlight w:val="none"/>
        </w:rPr>
        <w:t>=A+B+D</w:t>
      </w:r>
    </w:p>
    <w:p>
      <w:pPr>
        <w:pStyle w:val="4"/>
        <w:spacing w:before="60" w:beforeLines="25" w:after="60" w:afterLines="25" w:line="300" w:lineRule="auto"/>
        <w:rPr>
          <w:rFonts w:hint="eastAsia"/>
          <w:color w:val="auto"/>
          <w:szCs w:val="24"/>
          <w:highlight w:val="none"/>
        </w:rPr>
      </w:pPr>
      <w:r>
        <w:rPr>
          <w:rFonts w:hint="eastAsia"/>
          <w:color w:val="auto"/>
          <w:szCs w:val="24"/>
          <w:highlight w:val="none"/>
        </w:rPr>
        <w:t>3.3第二个信封开标</w:t>
      </w:r>
      <w:bookmarkEnd w:id="115"/>
    </w:p>
    <w:p>
      <w:pPr>
        <w:spacing w:before="60" w:beforeLines="25" w:after="60" w:afterLines="25" w:line="300" w:lineRule="auto"/>
        <w:ind w:firstLine="480" w:firstLineChars="200"/>
        <w:rPr>
          <w:rFonts w:ascii="宋体" w:hAnsi="宋体"/>
          <w:color w:val="auto"/>
          <w:position w:val="0"/>
          <w:sz w:val="24"/>
          <w:szCs w:val="24"/>
          <w:highlight w:val="none"/>
        </w:rPr>
      </w:pPr>
      <w:r>
        <w:rPr>
          <w:rFonts w:hint="eastAsia" w:ascii="宋体" w:hAnsi="宋体"/>
          <w:color w:val="auto"/>
          <w:position w:val="0"/>
          <w:sz w:val="24"/>
          <w:szCs w:val="24"/>
          <w:highlight w:val="none"/>
        </w:rPr>
        <w:t>第一个信封（商务及技术文件）评审结束后，招标人将按照第二章“投标人须知”第</w:t>
      </w:r>
      <w:r>
        <w:rPr>
          <w:rFonts w:ascii="宋体" w:hAnsi="宋体"/>
          <w:color w:val="auto"/>
          <w:position w:val="0"/>
          <w:sz w:val="24"/>
          <w:szCs w:val="24"/>
          <w:highlight w:val="none"/>
        </w:rPr>
        <w:t>5.1</w:t>
      </w:r>
      <w:r>
        <w:rPr>
          <w:rFonts w:hint="eastAsia" w:ascii="宋体" w:hAnsi="宋体"/>
          <w:color w:val="auto"/>
          <w:position w:val="0"/>
          <w:sz w:val="24"/>
          <w:szCs w:val="24"/>
          <w:highlight w:val="none"/>
        </w:rPr>
        <w:t>款规定的时间和地点对通过投标文件第一个信封（商务及技术文件）评审的投标文件第二个信封（报价文件）进行开标。</w:t>
      </w:r>
    </w:p>
    <w:p>
      <w:pPr>
        <w:pStyle w:val="4"/>
        <w:spacing w:before="60" w:beforeLines="25" w:after="60" w:afterLines="25" w:line="300" w:lineRule="auto"/>
        <w:rPr>
          <w:rFonts w:hint="eastAsia"/>
          <w:color w:val="auto"/>
          <w:szCs w:val="24"/>
          <w:highlight w:val="none"/>
        </w:rPr>
      </w:pPr>
      <w:bookmarkStart w:id="116" w:name="_Toc510531364"/>
      <w:bookmarkStart w:id="117" w:name="_Toc503978658"/>
      <w:bookmarkStart w:id="118" w:name="_Toc445300956"/>
      <w:bookmarkStart w:id="119" w:name="_Toc502824731"/>
      <w:bookmarkStart w:id="120" w:name="_Toc276999684"/>
      <w:bookmarkStart w:id="121" w:name="_Toc307048253"/>
      <w:bookmarkStart w:id="122" w:name="_Toc354824972"/>
      <w:bookmarkStart w:id="123" w:name="_Toc458267206"/>
      <w:bookmarkStart w:id="124" w:name="_Toc457893054"/>
      <w:bookmarkStart w:id="125" w:name="_Toc343685881"/>
      <w:bookmarkStart w:id="126" w:name="_Toc266451775"/>
      <w:bookmarkStart w:id="127" w:name="_Toc371166432"/>
      <w:bookmarkStart w:id="128" w:name="_Toc445303831"/>
      <w:bookmarkStart w:id="129" w:name="_Toc457906719"/>
      <w:bookmarkStart w:id="130" w:name="_Toc366312381"/>
      <w:bookmarkStart w:id="131" w:name="_Toc314489264"/>
      <w:bookmarkStart w:id="132" w:name="_Toc349313233"/>
      <w:bookmarkStart w:id="133" w:name="_Toc354743962"/>
      <w:bookmarkStart w:id="134" w:name="_Toc374349188"/>
      <w:bookmarkStart w:id="135" w:name="_Toc504144571"/>
      <w:bookmarkStart w:id="136" w:name="_Toc484939715"/>
      <w:r>
        <w:rPr>
          <w:rFonts w:hint="eastAsia"/>
          <w:color w:val="auto"/>
          <w:szCs w:val="24"/>
          <w:highlight w:val="none"/>
        </w:rPr>
        <w:t>3.4 第二个信封初步评审</w:t>
      </w:r>
      <w:bookmarkEnd w:id="116"/>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3.4.1</w:t>
      </w:r>
      <w:r>
        <w:rPr>
          <w:rFonts w:hint="eastAsia" w:ascii="宋体" w:hAnsi="宋体"/>
          <w:color w:val="auto"/>
          <w:position w:val="0"/>
          <w:sz w:val="24"/>
          <w:szCs w:val="24"/>
          <w:highlight w:val="none"/>
        </w:rPr>
        <w:t>评标委员会依据本章第</w:t>
      </w:r>
      <w:r>
        <w:rPr>
          <w:rFonts w:ascii="宋体" w:hAnsi="宋体"/>
          <w:color w:val="auto"/>
          <w:position w:val="0"/>
          <w:sz w:val="24"/>
          <w:szCs w:val="24"/>
          <w:highlight w:val="none"/>
        </w:rPr>
        <w:t>2.1.1</w:t>
      </w:r>
      <w:r>
        <w:rPr>
          <w:rFonts w:hint="eastAsia" w:ascii="宋体" w:hAnsi="宋体"/>
          <w:color w:val="auto"/>
          <w:position w:val="0"/>
          <w:sz w:val="24"/>
          <w:szCs w:val="24"/>
          <w:highlight w:val="none"/>
        </w:rPr>
        <w:t>项、第</w:t>
      </w:r>
      <w:r>
        <w:rPr>
          <w:rFonts w:ascii="宋体" w:hAnsi="宋体"/>
          <w:color w:val="auto"/>
          <w:position w:val="0"/>
          <w:sz w:val="24"/>
          <w:szCs w:val="24"/>
          <w:highlight w:val="none"/>
        </w:rPr>
        <w:t>2.1.3</w:t>
      </w:r>
      <w:r>
        <w:rPr>
          <w:rFonts w:hint="eastAsia" w:ascii="宋体" w:hAnsi="宋体"/>
          <w:color w:val="auto"/>
          <w:position w:val="0"/>
          <w:sz w:val="24"/>
          <w:szCs w:val="24"/>
          <w:highlight w:val="none"/>
        </w:rPr>
        <w:t>项规定的评审标准对投标文件第二个信封（报价文件）进行初步评审。有一项不符合评审标准的评标委员会应否决其投标。</w:t>
      </w:r>
    </w:p>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Pr>
        <w:pStyle w:val="4"/>
        <w:spacing w:before="60" w:beforeLines="25" w:after="60" w:afterLines="25" w:line="300" w:lineRule="auto"/>
        <w:rPr>
          <w:rFonts w:hint="eastAsia"/>
          <w:color w:val="auto"/>
          <w:szCs w:val="24"/>
          <w:highlight w:val="none"/>
        </w:rPr>
      </w:pPr>
      <w:bookmarkStart w:id="137" w:name="_Toc510531365"/>
      <w:r>
        <w:rPr>
          <w:rFonts w:hint="eastAsia"/>
          <w:color w:val="auto"/>
          <w:szCs w:val="24"/>
          <w:highlight w:val="none"/>
        </w:rPr>
        <w:t>3.5 第二个信封详细评审</w:t>
      </w:r>
      <w:bookmarkEnd w:id="137"/>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3.5.1 </w:t>
      </w:r>
      <w:r>
        <w:rPr>
          <w:rFonts w:hint="eastAsia" w:ascii="宋体" w:hAnsi="宋体"/>
          <w:color w:val="auto"/>
          <w:position w:val="0"/>
          <w:sz w:val="24"/>
          <w:szCs w:val="24"/>
          <w:highlight w:val="none"/>
        </w:rPr>
        <w:t>评标委员会按本章第</w:t>
      </w:r>
      <w:r>
        <w:rPr>
          <w:rFonts w:ascii="宋体" w:hAnsi="宋体"/>
          <w:color w:val="auto"/>
          <w:position w:val="0"/>
          <w:sz w:val="24"/>
          <w:szCs w:val="24"/>
          <w:highlight w:val="none"/>
        </w:rPr>
        <w:t>2.2.4</w:t>
      </w:r>
      <w:r>
        <w:rPr>
          <w:rFonts w:hint="eastAsia" w:ascii="宋体" w:hAnsi="宋体"/>
          <w:color w:val="auto"/>
          <w:position w:val="0"/>
          <w:sz w:val="24"/>
          <w:szCs w:val="24"/>
          <w:highlight w:val="none"/>
        </w:rPr>
        <w:t>（</w:t>
      </w:r>
      <w:r>
        <w:rPr>
          <w:rFonts w:ascii="宋体" w:hAnsi="宋体"/>
          <w:color w:val="auto"/>
          <w:position w:val="0"/>
          <w:sz w:val="24"/>
          <w:szCs w:val="24"/>
          <w:highlight w:val="none"/>
        </w:rPr>
        <w:t>3</w:t>
      </w:r>
      <w:r>
        <w:rPr>
          <w:rFonts w:hint="eastAsia" w:ascii="宋体" w:hAnsi="宋体"/>
          <w:color w:val="auto"/>
          <w:position w:val="0"/>
          <w:sz w:val="24"/>
          <w:szCs w:val="24"/>
          <w:highlight w:val="none"/>
        </w:rPr>
        <w:t>）目规定的评审因素和分值对投标报价计算出得分</w:t>
      </w:r>
      <w:r>
        <w:rPr>
          <w:rFonts w:ascii="宋体" w:hAnsi="宋体"/>
          <w:color w:val="auto"/>
          <w:position w:val="0"/>
          <w:sz w:val="24"/>
          <w:szCs w:val="24"/>
          <w:highlight w:val="none"/>
        </w:rPr>
        <w:t>C</w:t>
      </w:r>
      <w:r>
        <w:rPr>
          <w:rFonts w:hint="eastAsia" w:ascii="宋体" w:hAnsi="宋体"/>
          <w:color w:val="auto"/>
          <w:position w:val="0"/>
          <w:sz w:val="24"/>
          <w:szCs w:val="24"/>
          <w:highlight w:val="none"/>
        </w:rPr>
        <w:t>。投标报价得分分值计算保留小数点后两位，小数点后第三位“四舍五入”。</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3.5.2 </w:t>
      </w:r>
      <w:r>
        <w:rPr>
          <w:rFonts w:hint="eastAsia" w:ascii="宋体" w:hAnsi="宋体"/>
          <w:color w:val="auto"/>
          <w:position w:val="0"/>
          <w:sz w:val="24"/>
          <w:szCs w:val="24"/>
          <w:highlight w:val="none"/>
        </w:rPr>
        <w:t>投标人得分</w:t>
      </w:r>
      <w:r>
        <w:rPr>
          <w:rFonts w:ascii="宋体" w:hAnsi="宋体"/>
          <w:color w:val="auto"/>
          <w:position w:val="0"/>
          <w:sz w:val="24"/>
          <w:szCs w:val="24"/>
          <w:highlight w:val="none"/>
        </w:rPr>
        <w:t>=</w:t>
      </w:r>
      <w:r>
        <w:rPr>
          <w:rFonts w:hint="eastAsia" w:ascii="宋体" w:hAnsi="宋体"/>
          <w:color w:val="auto"/>
          <w:position w:val="0"/>
          <w:sz w:val="24"/>
          <w:szCs w:val="24"/>
          <w:highlight w:val="none"/>
        </w:rPr>
        <w:t>投标人商务和技术得分</w:t>
      </w:r>
      <w:r>
        <w:rPr>
          <w:rFonts w:ascii="宋体" w:hAnsi="宋体"/>
          <w:color w:val="auto"/>
          <w:position w:val="0"/>
          <w:sz w:val="24"/>
          <w:szCs w:val="24"/>
          <w:highlight w:val="none"/>
        </w:rPr>
        <w:t>+C</w:t>
      </w:r>
      <w:r>
        <w:rPr>
          <w:rFonts w:hint="eastAsia" w:ascii="宋体" w:hAnsi="宋体"/>
          <w:color w:val="auto"/>
          <w:position w:val="0"/>
          <w:sz w:val="24"/>
          <w:szCs w:val="24"/>
          <w:highlight w:val="none"/>
        </w:rPr>
        <w:t>。</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3.5.3</w:t>
      </w:r>
      <w:r>
        <w:rPr>
          <w:rFonts w:hint="eastAsia" w:ascii="宋体" w:hAnsi="宋体"/>
          <w:color w:val="auto"/>
          <w:position w:val="0"/>
          <w:sz w:val="24"/>
          <w:szCs w:val="24"/>
          <w:highlight w:val="none"/>
        </w:rPr>
        <w:t>评标委员会发现投标人的报价明显低于其他投标报价，使得其投标报价可能低于其个别成本的，应当要求该投标人作出书面说明并提供相应的证明材料。投标人不能合理说明或者不能提供相应证明材料的，由评标委员会认定该投标人以低于成本报价竞标，并否决其投标。</w:t>
      </w:r>
    </w:p>
    <w:p>
      <w:pPr>
        <w:pStyle w:val="4"/>
        <w:spacing w:before="60" w:beforeLines="25" w:after="60" w:afterLines="25" w:line="300" w:lineRule="auto"/>
        <w:rPr>
          <w:rFonts w:hint="eastAsia"/>
          <w:color w:val="auto"/>
          <w:szCs w:val="24"/>
          <w:highlight w:val="none"/>
        </w:rPr>
      </w:pPr>
      <w:bookmarkStart w:id="138" w:name="_Toc510531366"/>
      <w:r>
        <w:rPr>
          <w:rFonts w:hint="eastAsia"/>
          <w:color w:val="auto"/>
          <w:szCs w:val="24"/>
          <w:highlight w:val="none"/>
        </w:rPr>
        <w:t>3.6 投标文件相关信息的核查</w:t>
      </w:r>
      <w:bookmarkEnd w:id="138"/>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3.6.1 </w:t>
      </w:r>
      <w:r>
        <w:rPr>
          <w:rFonts w:hint="eastAsia" w:ascii="宋体" w:hAnsi="宋体"/>
          <w:color w:val="auto"/>
          <w:position w:val="0"/>
          <w:sz w:val="24"/>
          <w:szCs w:val="24"/>
          <w:highlight w:val="none"/>
        </w:rPr>
        <w:t>评标委员会应对在评标过程中发现的投标人与投标人之间、投标人与招标人之间存在的串通投标的情形进行评审和认定。投标人存在串通投标、弄虚作假、行贿等违法行为的，评标委员会应否决其投标。</w:t>
      </w:r>
    </w:p>
    <w:p>
      <w:pPr>
        <w:spacing w:before="60" w:beforeLines="25" w:after="60" w:afterLines="25" w:line="300" w:lineRule="auto"/>
        <w:ind w:firstLine="480" w:firstLineChars="200"/>
        <w:rPr>
          <w:rFonts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1</w:t>
      </w:r>
      <w:r>
        <w:rPr>
          <w:rFonts w:hint="eastAsia" w:ascii="宋体" w:hAnsi="宋体"/>
          <w:color w:val="auto"/>
          <w:position w:val="0"/>
          <w:sz w:val="24"/>
          <w:szCs w:val="24"/>
          <w:highlight w:val="none"/>
        </w:rPr>
        <w:t>）有下列情形之一的，属于投标人相互串通投标：</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a. 投</w:t>
      </w:r>
      <w:r>
        <w:rPr>
          <w:rFonts w:hint="eastAsia" w:ascii="宋体" w:hAnsi="宋体"/>
          <w:color w:val="auto"/>
          <w:position w:val="0"/>
          <w:sz w:val="24"/>
          <w:szCs w:val="24"/>
          <w:highlight w:val="none"/>
        </w:rPr>
        <w:t>标人之间协商投标报价等投标文件的实质性内容；</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b. 投</w:t>
      </w:r>
      <w:r>
        <w:rPr>
          <w:rFonts w:hint="eastAsia" w:ascii="宋体" w:hAnsi="宋体"/>
          <w:color w:val="auto"/>
          <w:position w:val="0"/>
          <w:sz w:val="24"/>
          <w:szCs w:val="24"/>
          <w:highlight w:val="none"/>
        </w:rPr>
        <w:t>标人之间约定中标人；</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c. </w:t>
      </w:r>
      <w:r>
        <w:rPr>
          <w:rFonts w:hint="eastAsia" w:ascii="宋体" w:hAnsi="宋体"/>
          <w:color w:val="auto"/>
          <w:position w:val="0"/>
          <w:sz w:val="24"/>
          <w:szCs w:val="24"/>
          <w:highlight w:val="none"/>
        </w:rPr>
        <w:t>投标人之间约定部分投标人放弃投标或中标；</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d. </w:t>
      </w:r>
      <w:r>
        <w:rPr>
          <w:rFonts w:hint="eastAsia" w:ascii="宋体" w:hAnsi="宋体"/>
          <w:color w:val="auto"/>
          <w:position w:val="0"/>
          <w:sz w:val="24"/>
          <w:szCs w:val="24"/>
          <w:highlight w:val="none"/>
        </w:rPr>
        <w:t>属于同一集团、协会、商会等组织成员的投标人按照该织要求协同投标；</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e. </w:t>
      </w:r>
      <w:r>
        <w:rPr>
          <w:rFonts w:hint="eastAsia" w:ascii="宋体" w:hAnsi="宋体"/>
          <w:color w:val="auto"/>
          <w:position w:val="0"/>
          <w:sz w:val="24"/>
          <w:szCs w:val="24"/>
          <w:highlight w:val="none"/>
        </w:rPr>
        <w:t>投标人之间为谋取中标或排斥特定投标人而采取的其他联合行动。</w:t>
      </w:r>
    </w:p>
    <w:p>
      <w:pPr>
        <w:spacing w:before="60" w:beforeLines="25" w:after="60" w:afterLines="25" w:line="300" w:lineRule="auto"/>
        <w:ind w:firstLine="480" w:firstLineChars="200"/>
        <w:rPr>
          <w:rFonts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2</w:t>
      </w:r>
      <w:r>
        <w:rPr>
          <w:rFonts w:hint="eastAsia" w:ascii="宋体" w:hAnsi="宋体"/>
          <w:color w:val="auto"/>
          <w:position w:val="0"/>
          <w:sz w:val="24"/>
          <w:szCs w:val="24"/>
          <w:highlight w:val="none"/>
        </w:rPr>
        <w:t>）有下列情形之一的，视为投标人相互串通投标：</w:t>
      </w:r>
    </w:p>
    <w:p>
      <w:pPr>
        <w:spacing w:before="60" w:beforeLines="25" w:after="60" w:afterLines="25" w:line="300" w:lineRule="auto"/>
        <w:ind w:firstLine="480" w:firstLineChars="200"/>
        <w:rPr>
          <w:rFonts w:ascii="宋体" w:hAnsi="宋体"/>
          <w:color w:val="auto"/>
          <w:position w:val="0"/>
          <w:sz w:val="24"/>
          <w:szCs w:val="24"/>
          <w:highlight w:val="none"/>
        </w:rPr>
      </w:pPr>
      <w:bookmarkStart w:id="139" w:name="_Toc349313234"/>
      <w:bookmarkStart w:id="140" w:name="_Toc457893055"/>
      <w:bookmarkStart w:id="141" w:name="_Toc354743963"/>
      <w:bookmarkStart w:id="142" w:name="_Toc503978659"/>
      <w:bookmarkStart w:id="143" w:name="_Toc354824973"/>
      <w:bookmarkStart w:id="144" w:name="_Toc458267207"/>
      <w:bookmarkStart w:id="145" w:name="_Toc484939716"/>
      <w:bookmarkStart w:id="146" w:name="_Toc314489265"/>
      <w:bookmarkStart w:id="147" w:name="_Toc276999685"/>
      <w:bookmarkStart w:id="148" w:name="_Toc445303832"/>
      <w:bookmarkStart w:id="149" w:name="_Toc457906720"/>
      <w:bookmarkStart w:id="150" w:name="_Toc307048254"/>
      <w:bookmarkStart w:id="151" w:name="_Toc374349189"/>
      <w:bookmarkStart w:id="152" w:name="_Toc445300957"/>
      <w:bookmarkStart w:id="153" w:name="_Toc504144572"/>
      <w:bookmarkStart w:id="154" w:name="_Toc371166433"/>
      <w:bookmarkStart w:id="155" w:name="_Toc343685882"/>
      <w:bookmarkStart w:id="156" w:name="_Toc266451776"/>
      <w:bookmarkStart w:id="157" w:name="_Toc502824732"/>
      <w:bookmarkStart w:id="158" w:name="_Toc366312382"/>
      <w:r>
        <w:rPr>
          <w:rFonts w:ascii="宋体" w:hAnsi="宋体"/>
          <w:color w:val="auto"/>
          <w:position w:val="0"/>
          <w:sz w:val="24"/>
          <w:szCs w:val="24"/>
          <w:highlight w:val="none"/>
        </w:rPr>
        <w:t xml:space="preserve">a </w:t>
      </w:r>
      <w:r>
        <w:rPr>
          <w:rFonts w:hint="eastAsia" w:ascii="宋体" w:hAnsi="宋体"/>
          <w:color w:val="auto"/>
          <w:position w:val="0"/>
          <w:sz w:val="24"/>
          <w:szCs w:val="24"/>
          <w:highlight w:val="none"/>
        </w:rPr>
        <w:t>不同投标人的投标文件由同一单位或个人编制；</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b. </w:t>
      </w:r>
      <w:r>
        <w:rPr>
          <w:rFonts w:hint="eastAsia" w:ascii="宋体" w:hAnsi="宋体"/>
          <w:color w:val="auto"/>
          <w:position w:val="0"/>
          <w:sz w:val="24"/>
          <w:szCs w:val="24"/>
          <w:highlight w:val="none"/>
        </w:rPr>
        <w:t>不同投标人委托同一单位或个人办理投标事宜；</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c. </w:t>
      </w:r>
      <w:r>
        <w:rPr>
          <w:rFonts w:hint="eastAsia" w:ascii="宋体" w:hAnsi="宋体"/>
          <w:color w:val="auto"/>
          <w:position w:val="0"/>
          <w:sz w:val="24"/>
          <w:szCs w:val="24"/>
          <w:highlight w:val="none"/>
        </w:rPr>
        <w:t>不同投标人的投标文件载明的项目管理成员为同一人；</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d. </w:t>
      </w:r>
      <w:r>
        <w:rPr>
          <w:rFonts w:hint="eastAsia" w:ascii="宋体" w:hAnsi="宋体"/>
          <w:color w:val="auto"/>
          <w:position w:val="0"/>
          <w:sz w:val="24"/>
          <w:szCs w:val="24"/>
          <w:highlight w:val="none"/>
        </w:rPr>
        <w:t>不同投标人的投标文件异常一致或投标报价呈规律性差异；</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e. </w:t>
      </w:r>
      <w:r>
        <w:rPr>
          <w:rFonts w:hint="eastAsia" w:ascii="宋体" w:hAnsi="宋体"/>
          <w:color w:val="auto"/>
          <w:position w:val="0"/>
          <w:sz w:val="24"/>
          <w:szCs w:val="24"/>
          <w:highlight w:val="none"/>
        </w:rPr>
        <w:t>不同投标人的投标文件相互混装；</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f. </w:t>
      </w:r>
      <w:r>
        <w:rPr>
          <w:rFonts w:hint="eastAsia" w:ascii="宋体" w:hAnsi="宋体"/>
          <w:color w:val="auto"/>
          <w:position w:val="0"/>
          <w:sz w:val="24"/>
          <w:szCs w:val="24"/>
          <w:highlight w:val="none"/>
        </w:rPr>
        <w:t>不同投标人的投标保证金从同一单位或个人的账户转出。</w:t>
      </w:r>
    </w:p>
    <w:p>
      <w:pPr>
        <w:spacing w:before="60" w:beforeLines="25" w:after="60" w:afterLines="25" w:line="300" w:lineRule="auto"/>
        <w:ind w:firstLine="480" w:firstLineChars="200"/>
        <w:rPr>
          <w:rFonts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3</w:t>
      </w:r>
      <w:r>
        <w:rPr>
          <w:rFonts w:hint="eastAsia" w:ascii="宋体" w:hAnsi="宋体"/>
          <w:color w:val="auto"/>
          <w:position w:val="0"/>
          <w:sz w:val="24"/>
          <w:szCs w:val="24"/>
          <w:highlight w:val="none"/>
        </w:rPr>
        <w:t>）有下列情形之一的，属于招标人与投标人串通投标：</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a. </w:t>
      </w:r>
      <w:r>
        <w:rPr>
          <w:rFonts w:hint="eastAsia" w:ascii="宋体" w:hAnsi="宋体"/>
          <w:color w:val="auto"/>
          <w:position w:val="0"/>
          <w:sz w:val="24"/>
          <w:szCs w:val="24"/>
          <w:highlight w:val="none"/>
        </w:rPr>
        <w:t>招标人在开标前开启投标文件并将有关信息泄露给其他投标人；</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b. </w:t>
      </w:r>
      <w:r>
        <w:rPr>
          <w:rFonts w:hint="eastAsia" w:ascii="宋体" w:hAnsi="宋体"/>
          <w:color w:val="auto"/>
          <w:position w:val="0"/>
          <w:sz w:val="24"/>
          <w:szCs w:val="24"/>
          <w:highlight w:val="none"/>
        </w:rPr>
        <w:t>招标人直接或间接向投标人泄露标底、评标员会成员等信息；</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c. </w:t>
      </w:r>
      <w:r>
        <w:rPr>
          <w:rFonts w:hint="eastAsia" w:ascii="宋体" w:hAnsi="宋体"/>
          <w:color w:val="auto"/>
          <w:position w:val="0"/>
          <w:sz w:val="24"/>
          <w:szCs w:val="24"/>
          <w:highlight w:val="none"/>
        </w:rPr>
        <w:t>招标人明示或暗示投标人压低或抬高投标报价；</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d. </w:t>
      </w:r>
      <w:r>
        <w:rPr>
          <w:rFonts w:hint="eastAsia" w:ascii="宋体" w:hAnsi="宋体"/>
          <w:color w:val="auto"/>
          <w:position w:val="0"/>
          <w:sz w:val="24"/>
          <w:szCs w:val="24"/>
          <w:highlight w:val="none"/>
        </w:rPr>
        <w:t>招标人授意投标人撤换、修改投标文件；</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e. </w:t>
      </w:r>
      <w:r>
        <w:rPr>
          <w:rFonts w:hint="eastAsia" w:ascii="宋体" w:hAnsi="宋体"/>
          <w:color w:val="auto"/>
          <w:position w:val="0"/>
          <w:sz w:val="24"/>
          <w:szCs w:val="24"/>
          <w:highlight w:val="none"/>
        </w:rPr>
        <w:t>招标人明示或暗示投标人为特定投标人中标供方便；</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f. </w:t>
      </w:r>
      <w:r>
        <w:rPr>
          <w:rFonts w:hint="eastAsia" w:ascii="宋体" w:hAnsi="宋体"/>
          <w:color w:val="auto"/>
          <w:position w:val="0"/>
          <w:sz w:val="24"/>
          <w:szCs w:val="24"/>
          <w:highlight w:val="none"/>
        </w:rPr>
        <w:t>招标人与投标人为谋求特定投标人中标而采取的其他串通行为。</w:t>
      </w:r>
    </w:p>
    <w:p>
      <w:pPr>
        <w:spacing w:before="60" w:beforeLines="25" w:after="60" w:afterLines="25" w:line="300" w:lineRule="auto"/>
        <w:ind w:firstLine="480" w:firstLineChars="200"/>
        <w:rPr>
          <w:rFonts w:ascii="宋体" w:hAnsi="宋体"/>
          <w:color w:val="auto"/>
          <w:position w:val="0"/>
          <w:sz w:val="24"/>
          <w:szCs w:val="24"/>
          <w:highlight w:val="none"/>
        </w:rPr>
      </w:pPr>
      <w:r>
        <w:rPr>
          <w:rFonts w:hint="eastAsia" w:ascii="宋体" w:hAnsi="宋体"/>
          <w:color w:val="auto"/>
          <w:position w:val="0"/>
          <w:sz w:val="24"/>
          <w:szCs w:val="24"/>
          <w:highlight w:val="none"/>
        </w:rPr>
        <w:t>（</w:t>
      </w:r>
      <w:r>
        <w:rPr>
          <w:rFonts w:ascii="宋体" w:hAnsi="宋体"/>
          <w:color w:val="auto"/>
          <w:position w:val="0"/>
          <w:sz w:val="24"/>
          <w:szCs w:val="24"/>
          <w:highlight w:val="none"/>
        </w:rPr>
        <w:t>4</w:t>
      </w:r>
      <w:r>
        <w:rPr>
          <w:rFonts w:hint="eastAsia" w:ascii="宋体" w:hAnsi="宋体"/>
          <w:color w:val="auto"/>
          <w:position w:val="0"/>
          <w:sz w:val="24"/>
          <w:szCs w:val="24"/>
          <w:highlight w:val="none"/>
        </w:rPr>
        <w:t>）投标人有下列情形之一的，属于弄虚作假的行为：</w:t>
      </w:r>
      <w:r>
        <w:rPr>
          <w:rFonts w:ascii="宋体" w:hAnsi="宋体"/>
          <w:color w:val="auto"/>
          <w:position w:val="0"/>
          <w:sz w:val="24"/>
          <w:szCs w:val="24"/>
          <w:highlight w:val="none"/>
        </w:rPr>
        <w:t xml:space="preserve"> </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a. </w:t>
      </w:r>
      <w:r>
        <w:rPr>
          <w:rFonts w:hint="eastAsia" w:ascii="宋体" w:hAnsi="宋体"/>
          <w:color w:val="auto"/>
          <w:position w:val="0"/>
          <w:sz w:val="24"/>
          <w:szCs w:val="24"/>
          <w:highlight w:val="none"/>
        </w:rPr>
        <w:t>使用通过受让或租借等方式获取的资格、资质证书投标；</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b. </w:t>
      </w:r>
      <w:r>
        <w:rPr>
          <w:rFonts w:hint="eastAsia" w:ascii="宋体" w:hAnsi="宋体"/>
          <w:color w:val="auto"/>
          <w:position w:val="0"/>
          <w:sz w:val="24"/>
          <w:szCs w:val="24"/>
          <w:highlight w:val="none"/>
        </w:rPr>
        <w:t>使用伪造、变造的许可证件；</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c. </w:t>
      </w:r>
      <w:r>
        <w:rPr>
          <w:rFonts w:hint="eastAsia" w:ascii="宋体" w:hAnsi="宋体"/>
          <w:color w:val="auto"/>
          <w:position w:val="0"/>
          <w:sz w:val="24"/>
          <w:szCs w:val="24"/>
          <w:highlight w:val="none"/>
        </w:rPr>
        <w:t>提供虚假的财务状况或业绩；</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d. </w:t>
      </w:r>
      <w:r>
        <w:rPr>
          <w:rFonts w:hint="eastAsia" w:ascii="宋体" w:hAnsi="宋体"/>
          <w:color w:val="auto"/>
          <w:position w:val="0"/>
          <w:sz w:val="24"/>
          <w:szCs w:val="24"/>
          <w:highlight w:val="none"/>
        </w:rPr>
        <w:t>提供虚假的项目负责人或主要技术人员简历、劳动关系证明；</w:t>
      </w:r>
    </w:p>
    <w:p>
      <w:pPr>
        <w:spacing w:before="60" w:beforeLines="25" w:after="60" w:afterLines="25" w:line="300" w:lineRule="auto"/>
        <w:ind w:firstLine="480" w:firstLineChars="200"/>
        <w:rPr>
          <w:rFonts w:ascii="宋体" w:hAnsi="宋体"/>
          <w:color w:val="auto"/>
          <w:position w:val="0"/>
          <w:sz w:val="24"/>
          <w:szCs w:val="24"/>
          <w:highlight w:val="none"/>
        </w:rPr>
      </w:pPr>
      <w:r>
        <w:rPr>
          <w:rFonts w:ascii="宋体" w:hAnsi="宋体"/>
          <w:color w:val="auto"/>
          <w:position w:val="0"/>
          <w:sz w:val="24"/>
          <w:szCs w:val="24"/>
          <w:highlight w:val="none"/>
        </w:rPr>
        <w:t xml:space="preserve">e. </w:t>
      </w:r>
      <w:r>
        <w:rPr>
          <w:rFonts w:hint="eastAsia" w:ascii="宋体" w:hAnsi="宋体"/>
          <w:color w:val="auto"/>
          <w:position w:val="0"/>
          <w:sz w:val="24"/>
          <w:szCs w:val="24"/>
          <w:highlight w:val="none"/>
        </w:rPr>
        <w:t>提供虚假的信用状况；</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f.</w:t>
      </w:r>
      <w:r>
        <w:rPr>
          <w:rFonts w:ascii="宋体" w:hAnsi="宋体" w:cs="宋体"/>
          <w:color w:val="auto"/>
          <w:kern w:val="0"/>
          <w:position w:val="0"/>
          <w:sz w:val="24"/>
          <w:szCs w:val="24"/>
          <w:highlight w:val="none"/>
        </w:rPr>
        <w:t xml:space="preserve"> </w:t>
      </w:r>
      <w:r>
        <w:rPr>
          <w:rFonts w:hint="eastAsia" w:ascii="宋体" w:hAnsi="宋体" w:cs="宋体"/>
          <w:color w:val="auto"/>
          <w:kern w:val="0"/>
          <w:position w:val="0"/>
          <w:sz w:val="24"/>
          <w:szCs w:val="24"/>
          <w:highlight w:val="none"/>
        </w:rPr>
        <w:t>其他</w:t>
      </w:r>
      <w:r>
        <w:rPr>
          <w:rFonts w:hint="eastAsia" w:ascii="宋体" w:hAnsi="宋体"/>
          <w:color w:val="auto"/>
          <w:position w:val="0"/>
          <w:sz w:val="24"/>
          <w:szCs w:val="24"/>
          <w:highlight w:val="none"/>
        </w:rPr>
        <w:t>弄虚作假的行为。</w:t>
      </w:r>
    </w:p>
    <w:p>
      <w:pPr>
        <w:pStyle w:val="4"/>
        <w:spacing w:before="60" w:beforeLines="25" w:after="60" w:afterLines="25" w:line="300" w:lineRule="auto"/>
        <w:rPr>
          <w:rFonts w:hint="eastAsia"/>
          <w:color w:val="auto"/>
          <w:szCs w:val="24"/>
          <w:highlight w:val="none"/>
        </w:rPr>
      </w:pPr>
      <w:bookmarkStart w:id="159" w:name="_Toc510531367"/>
      <w:r>
        <w:rPr>
          <w:rFonts w:hint="eastAsia"/>
          <w:color w:val="auto"/>
          <w:szCs w:val="24"/>
          <w:highlight w:val="none"/>
        </w:rPr>
        <w:t>3.7 投标文件的澄清和补正</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3.7.1 </w:t>
      </w:r>
      <w:r>
        <w:rPr>
          <w:rFonts w:hint="eastAsia" w:ascii="宋体" w:hAnsi="宋体"/>
          <w:color w:val="auto"/>
          <w:position w:val="0"/>
          <w:sz w:val="24"/>
          <w:szCs w:val="24"/>
          <w:highlight w:val="none"/>
        </w:rPr>
        <w:t>在评标过程中，评标委员会可以书面形式要求投标人对所提交投标文件中含义不明确的内容、明显为或计算错误进行书面澄清或说明。评标委员会不接受投标人主动提出的澄清、说明。投标人不按评标委员会要求澄清或说明的，评标委员会应否决其投标。</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3.7.2 </w:t>
      </w:r>
      <w:r>
        <w:rPr>
          <w:rFonts w:hint="eastAsia" w:ascii="宋体" w:hAnsi="宋体"/>
          <w:color w:val="auto"/>
          <w:position w:val="0"/>
          <w:sz w:val="24"/>
          <w:szCs w:val="24"/>
          <w:highlight w:val="none"/>
        </w:rPr>
        <w:t>澄清和说明不得超出投标文件的范围或改变投标文件的实质性内容。投标人的书面澄清、说明属于投标文件的组成部分。</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3.7.3 </w:t>
      </w:r>
      <w:r>
        <w:rPr>
          <w:rFonts w:hint="eastAsia" w:ascii="宋体" w:hAnsi="宋体"/>
          <w:color w:val="auto"/>
          <w:position w:val="0"/>
          <w:sz w:val="24"/>
          <w:szCs w:val="24"/>
          <w:highlight w:val="none"/>
        </w:rPr>
        <w:t>评标委员会不得暗示或诱导投标人作出澄清、说明，对投标人提出的澄清、说明有疑问的，可以要求投标人进一步澄清或说明，直至满足评标委员会的要求。</w:t>
      </w:r>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3.7.4</w:t>
      </w:r>
      <w:r>
        <w:rPr>
          <w:rFonts w:hint="eastAsia" w:ascii="宋体" w:hAnsi="宋体"/>
          <w:color w:val="auto"/>
          <w:position w:val="0"/>
          <w:sz w:val="24"/>
          <w:szCs w:val="24"/>
          <w:highlight w:val="none"/>
        </w:rPr>
        <w:t>凡超出招标文件规定的或给发包人带来未曾要求的利益的变化、偏差或其他因素在评标时不予考虑。</w:t>
      </w:r>
    </w:p>
    <w:p>
      <w:pPr>
        <w:pStyle w:val="4"/>
        <w:spacing w:before="60" w:beforeLines="25" w:after="60" w:afterLines="25" w:line="300" w:lineRule="auto"/>
        <w:rPr>
          <w:rFonts w:hint="eastAsia"/>
          <w:color w:val="auto"/>
          <w:szCs w:val="24"/>
          <w:highlight w:val="none"/>
        </w:rPr>
      </w:pPr>
      <w:bookmarkStart w:id="160" w:name="_Toc510531368"/>
      <w:r>
        <w:rPr>
          <w:rFonts w:hint="eastAsia"/>
          <w:color w:val="auto"/>
          <w:szCs w:val="24"/>
          <w:highlight w:val="none"/>
        </w:rPr>
        <w:t>3.8 不得否决投标的情形</w:t>
      </w:r>
      <w:bookmarkEnd w:id="160"/>
    </w:p>
    <w:p>
      <w:pPr>
        <w:spacing w:before="60" w:beforeLines="25" w:after="60" w:afterLines="25" w:line="300" w:lineRule="auto"/>
        <w:ind w:firstLine="480" w:firstLineChars="200"/>
        <w:rPr>
          <w:rFonts w:ascii="宋体" w:hAnsi="宋体"/>
          <w:color w:val="auto"/>
          <w:position w:val="0"/>
          <w:sz w:val="24"/>
          <w:szCs w:val="24"/>
          <w:highlight w:val="none"/>
        </w:rPr>
      </w:pPr>
      <w:r>
        <w:rPr>
          <w:rFonts w:hint="eastAsia" w:ascii="宋体" w:hAnsi="宋体"/>
          <w:color w:val="auto"/>
          <w:position w:val="0"/>
          <w:sz w:val="24"/>
          <w:szCs w:val="24"/>
          <w:highlight w:val="none"/>
        </w:rPr>
        <w:t>投标文件存在第二章“投标人须知”第</w:t>
      </w:r>
      <w:r>
        <w:rPr>
          <w:rFonts w:ascii="宋体" w:hAnsi="宋体"/>
          <w:color w:val="auto"/>
          <w:position w:val="0"/>
          <w:sz w:val="24"/>
          <w:szCs w:val="24"/>
          <w:highlight w:val="none"/>
        </w:rPr>
        <w:t>1.12.3</w:t>
      </w:r>
      <w:r>
        <w:rPr>
          <w:rFonts w:hint="eastAsia" w:ascii="宋体" w:hAnsi="宋体"/>
          <w:color w:val="auto"/>
          <w:position w:val="0"/>
          <w:sz w:val="24"/>
          <w:szCs w:val="24"/>
          <w:highlight w:val="none"/>
        </w:rPr>
        <w:t>项所列情形的，均视为细微偏差，评标委员会不得否决投标人的投标，应按照第二章“投标人须知”</w:t>
      </w:r>
      <w:r>
        <w:rPr>
          <w:rFonts w:ascii="宋体" w:hAnsi="宋体"/>
          <w:color w:val="auto"/>
          <w:position w:val="0"/>
          <w:sz w:val="24"/>
          <w:szCs w:val="24"/>
          <w:highlight w:val="none"/>
        </w:rPr>
        <w:t>1.12.4</w:t>
      </w:r>
      <w:r>
        <w:rPr>
          <w:rFonts w:hint="eastAsia" w:ascii="宋体" w:hAnsi="宋体"/>
          <w:color w:val="auto"/>
          <w:position w:val="0"/>
          <w:sz w:val="24"/>
          <w:szCs w:val="24"/>
          <w:highlight w:val="none"/>
        </w:rPr>
        <w:t>项规定的原则处理。</w:t>
      </w:r>
    </w:p>
    <w:p>
      <w:pPr>
        <w:pStyle w:val="4"/>
        <w:spacing w:before="60" w:beforeLines="25" w:after="60" w:afterLines="25" w:line="300" w:lineRule="auto"/>
        <w:rPr>
          <w:rFonts w:hint="eastAsia"/>
          <w:color w:val="auto"/>
          <w:szCs w:val="24"/>
          <w:highlight w:val="none"/>
        </w:rPr>
      </w:pPr>
      <w:bookmarkStart w:id="161" w:name="_Toc366312383"/>
      <w:bookmarkStart w:id="162" w:name="_Toc374349190"/>
      <w:bookmarkStart w:id="163" w:name="_Toc314489266"/>
      <w:bookmarkStart w:id="164" w:name="_Toc457893056"/>
      <w:bookmarkStart w:id="165" w:name="_Toc502824733"/>
      <w:bookmarkStart w:id="166" w:name="_Toc503978660"/>
      <w:bookmarkStart w:id="167" w:name="_Toc307048255"/>
      <w:bookmarkStart w:id="168" w:name="_Toc354824974"/>
      <w:bookmarkStart w:id="169" w:name="_Toc458267208"/>
      <w:bookmarkStart w:id="170" w:name="_Toc276999686"/>
      <w:bookmarkStart w:id="171" w:name="_Toc349313235"/>
      <w:bookmarkStart w:id="172" w:name="_Toc504144573"/>
      <w:bookmarkStart w:id="173" w:name="_Toc445303833"/>
      <w:bookmarkStart w:id="174" w:name="_Toc354743964"/>
      <w:bookmarkStart w:id="175" w:name="_Toc266451777"/>
      <w:bookmarkStart w:id="176" w:name="_Toc510531369"/>
      <w:bookmarkStart w:id="177" w:name="_Toc457906721"/>
      <w:bookmarkStart w:id="178" w:name="_Toc371166434"/>
      <w:bookmarkStart w:id="179" w:name="_Toc445300958"/>
      <w:bookmarkStart w:id="180" w:name="_Toc343685883"/>
      <w:bookmarkStart w:id="181" w:name="_Toc484939717"/>
      <w:r>
        <w:rPr>
          <w:rFonts w:hint="eastAsia"/>
          <w:color w:val="auto"/>
          <w:szCs w:val="24"/>
          <w:highlight w:val="none"/>
        </w:rPr>
        <w:t>3.9 评标结果</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spacing w:before="60" w:beforeLines="25" w:after="60" w:afterLines="25" w:line="300" w:lineRule="auto"/>
        <w:ind w:firstLine="480" w:firstLineChars="200"/>
        <w:rPr>
          <w:rFonts w:hint="eastAsia" w:ascii="宋体" w:hAnsi="宋体"/>
          <w:color w:val="auto"/>
          <w:position w:val="0"/>
          <w:sz w:val="24"/>
          <w:szCs w:val="24"/>
          <w:highlight w:val="none"/>
        </w:rPr>
      </w:pPr>
      <w:r>
        <w:rPr>
          <w:rFonts w:ascii="宋体" w:hAnsi="宋体"/>
          <w:color w:val="auto"/>
          <w:position w:val="0"/>
          <w:sz w:val="24"/>
          <w:szCs w:val="24"/>
          <w:highlight w:val="none"/>
        </w:rPr>
        <w:t xml:space="preserve">3.9.1 </w:t>
      </w:r>
      <w:r>
        <w:rPr>
          <w:rFonts w:hint="eastAsia" w:ascii="宋体" w:hAnsi="宋体"/>
          <w:color w:val="auto"/>
          <w:position w:val="0"/>
          <w:sz w:val="24"/>
          <w:szCs w:val="24"/>
          <w:highlight w:val="none"/>
        </w:rPr>
        <w:t>除第二章“投标人须知”前附表授权直接确定中标人外，评标委员会按照得分由高到低的顺序推荐中标候选人，并标明排序。</w:t>
      </w:r>
    </w:p>
    <w:p>
      <w:pPr>
        <w:spacing w:before="60" w:beforeLines="25" w:after="60" w:afterLines="25" w:line="300" w:lineRule="auto"/>
        <w:ind w:firstLine="480" w:firstLineChars="200"/>
        <w:rPr>
          <w:rFonts w:hint="eastAsia"/>
          <w:color w:val="auto"/>
          <w:position w:val="0"/>
          <w:sz w:val="24"/>
          <w:szCs w:val="24"/>
          <w:highlight w:val="none"/>
        </w:rPr>
      </w:pPr>
      <w:r>
        <w:rPr>
          <w:rFonts w:ascii="宋体" w:hAnsi="宋体"/>
          <w:color w:val="auto"/>
          <w:position w:val="0"/>
          <w:sz w:val="24"/>
          <w:szCs w:val="24"/>
          <w:highlight w:val="none"/>
        </w:rPr>
        <w:t xml:space="preserve">3.9.2 </w:t>
      </w:r>
      <w:r>
        <w:rPr>
          <w:rFonts w:hint="eastAsia" w:ascii="宋体" w:hAnsi="宋体"/>
          <w:color w:val="auto"/>
          <w:position w:val="0"/>
          <w:sz w:val="24"/>
          <w:szCs w:val="24"/>
          <w:highlight w:val="none"/>
        </w:rPr>
        <w:t>评标委员会完成评标后，应当向招标人提交书面评标报告。</w:t>
      </w:r>
    </w:p>
    <w:bookmarkEnd w:id="7"/>
    <w:p>
      <w:bookmarkStart w:id="182" w:name="_GoBack"/>
      <w:bookmarkEnd w:id="18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I5YWNiYjRiMDMyM2JiYjMzNGU1MDc4NDQ5M2VmZGEifQ=="/>
  </w:docVars>
  <w:rsids>
    <w:rsidRoot w:val="0024761B"/>
    <w:rsid w:val="0024761B"/>
    <w:rsid w:val="00D558E0"/>
    <w:rsid w:val="518C32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3"/>
    <w:basedOn w:val="1"/>
    <w:next w:val="1"/>
    <w:link w:val="8"/>
    <w:qFormat/>
    <w:uiPriority w:val="0"/>
    <w:pPr>
      <w:keepNext/>
      <w:keepLines/>
      <w:spacing w:before="260" w:after="260" w:line="416" w:lineRule="auto"/>
      <w:outlineLvl w:val="2"/>
    </w:pPr>
    <w:rPr>
      <w:b/>
      <w:bCs/>
      <w:sz w:val="32"/>
      <w:szCs w:val="32"/>
    </w:rPr>
  </w:style>
  <w:style w:type="paragraph" w:styleId="4">
    <w:name w:val="heading 4"/>
    <w:basedOn w:val="1"/>
    <w:next w:val="1"/>
    <w:link w:val="11"/>
    <w:qFormat/>
    <w:uiPriority w:val="0"/>
    <w:pPr>
      <w:keepNext/>
      <w:keepLines/>
      <w:spacing w:before="280" w:after="290" w:line="376" w:lineRule="auto"/>
      <w:outlineLvl w:val="3"/>
    </w:pPr>
    <w:rPr>
      <w:rFonts w:ascii="Arial" w:hAnsi="Arial" w:eastAsia="黑体"/>
      <w:b/>
      <w:bCs/>
      <w:sz w:val="28"/>
      <w:szCs w:val="28"/>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5">
    <w:name w:val="Body Text"/>
    <w:basedOn w:val="1"/>
    <w:link w:val="10"/>
    <w:qFormat/>
    <w:uiPriority w:val="0"/>
    <w:pPr>
      <w:spacing w:after="120"/>
    </w:pPr>
    <w:rPr>
      <w:rFonts w:ascii="Times New Roman" w:hAnsi="Times New Roman"/>
      <w:szCs w:val="24"/>
    </w:rPr>
  </w:style>
  <w:style w:type="character" w:customStyle="1" w:styleId="8">
    <w:name w:val="标题 3 字符"/>
    <w:basedOn w:val="7"/>
    <w:link w:val="3"/>
    <w:uiPriority w:val="0"/>
    <w:rPr>
      <w:rFonts w:ascii="Calibri" w:hAnsi="Calibri" w:eastAsia="宋体" w:cs="Times New Roman"/>
      <w:b/>
      <w:bCs/>
      <w:sz w:val="32"/>
      <w:szCs w:val="32"/>
    </w:rPr>
  </w:style>
  <w:style w:type="character" w:customStyle="1" w:styleId="9">
    <w:name w:val="正文文本 字符"/>
    <w:basedOn w:val="7"/>
    <w:semiHidden/>
    <w:uiPriority w:val="99"/>
    <w:rPr>
      <w:rFonts w:ascii="Calibri" w:hAnsi="Calibri" w:eastAsia="宋体" w:cs="Times New Roman"/>
    </w:rPr>
  </w:style>
  <w:style w:type="character" w:customStyle="1" w:styleId="10">
    <w:name w:val="正文文本 字符1"/>
    <w:link w:val="5"/>
    <w:uiPriority w:val="0"/>
    <w:rPr>
      <w:rFonts w:ascii="Times New Roman" w:hAnsi="Times New Roman" w:eastAsia="宋体" w:cs="Times New Roman"/>
      <w:szCs w:val="24"/>
    </w:rPr>
  </w:style>
  <w:style w:type="character" w:customStyle="1" w:styleId="11">
    <w:name w:val="标题 4 字符"/>
    <w:basedOn w:val="7"/>
    <w:link w:val="4"/>
    <w:uiPriority w:val="0"/>
    <w:rPr>
      <w:rFonts w:ascii="Arial" w:hAnsi="Arial" w:eastAsia="黑体" w:cs="Times New Roman"/>
      <w:b/>
      <w:bCs/>
      <w:sz w:val="28"/>
      <w:szCs w:val="28"/>
    </w:rPr>
  </w:style>
  <w:style w:type="paragraph" w:customStyle="1" w:styleId="12">
    <w:name w:val="Table Paragraph"/>
    <w:basedOn w:val="1"/>
    <w:qFormat/>
    <w:uiPriority w:val="0"/>
    <w:pPr>
      <w:autoSpaceDE w:val="0"/>
      <w:autoSpaceDN w:val="0"/>
      <w:jc w:val="left"/>
    </w:pPr>
    <w:rPr>
      <w:rFonts w:ascii="宋体" w:hAnsi="宋体" w:cs="宋体"/>
      <w:kern w:val="0"/>
      <w:sz w:val="22"/>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939</Words>
  <Characters>5356</Characters>
  <Lines>44</Lines>
  <Paragraphs>12</Paragraphs>
  <TotalTime>0</TotalTime>
  <ScaleCrop>false</ScaleCrop>
  <LinksUpToDate>false</LinksUpToDate>
  <CharactersWithSpaces>6283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2022-11-15T01:56:00Z</dcterms:created>
  <dc:creator>张 立典</dc:creator>
  <cp:lastModifiedBy>dell</cp:lastModifiedBy>
  <dcterms:modified xsi:type="dcterms:W3CDTF">2022-11-22T08:10:42Z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8839217B0BC0401CA045731829138812</vt:lpwstr>
  </property>
</Properties>
</file>