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00" w:lineRule="exact"/>
        <w:jc w:val="center"/>
        <w:rPr>
          <w:rFonts w:hint="eastAsia" w:ascii="宋体" w:hAnsi="宋体" w:eastAsia="宋体" w:cs="宋体"/>
          <w:b/>
          <w:snapToGrid w:val="0"/>
          <w:color w:val="auto"/>
          <w:sz w:val="44"/>
          <w:szCs w:val="52"/>
          <w:highlight w:val="none"/>
        </w:rPr>
      </w:pPr>
    </w:p>
    <w:p>
      <w:pPr>
        <w:pStyle w:val="43"/>
        <w:rPr>
          <w:rFonts w:hint="eastAsia" w:ascii="宋体" w:hAnsi="宋体" w:eastAsia="宋体" w:cs="宋体"/>
          <w:bCs/>
          <w:snapToGrid w:val="0"/>
          <w:color w:val="auto"/>
          <w:sz w:val="44"/>
          <w:szCs w:val="52"/>
          <w:highlight w:val="none"/>
        </w:rPr>
      </w:pPr>
    </w:p>
    <w:p>
      <w:pPr>
        <w:rPr>
          <w:rFonts w:hint="eastAsia" w:ascii="宋体" w:hAnsi="宋体" w:eastAsia="宋体" w:cs="宋体"/>
          <w:color w:val="auto"/>
          <w:highlight w:val="none"/>
        </w:rPr>
      </w:pPr>
    </w:p>
    <w:p>
      <w:pPr>
        <w:pStyle w:val="43"/>
        <w:ind w:firstLine="0"/>
        <w:jc w:val="center"/>
        <w:rPr>
          <w:rFonts w:hint="eastAsia" w:ascii="宋体" w:hAnsi="宋体" w:eastAsia="宋体" w:cs="宋体"/>
          <w:b/>
          <w:snapToGrid w:val="0"/>
          <w:color w:val="auto"/>
          <w:sz w:val="44"/>
          <w:szCs w:val="44"/>
          <w:highlight w:val="none"/>
        </w:rPr>
      </w:pPr>
      <w:r>
        <w:rPr>
          <w:rFonts w:hint="eastAsia" w:ascii="宋体" w:hAnsi="宋体" w:eastAsia="宋体" w:cs="宋体"/>
          <w:b/>
          <w:snapToGrid w:val="0"/>
          <w:color w:val="auto"/>
          <w:sz w:val="44"/>
          <w:szCs w:val="44"/>
          <w:highlight w:val="none"/>
        </w:rPr>
        <w:fldChar w:fldCharType="begin"/>
      </w:r>
      <w:r>
        <w:rPr>
          <w:rFonts w:hint="eastAsia" w:ascii="宋体" w:hAnsi="宋体" w:eastAsia="宋体" w:cs="宋体"/>
          <w:b/>
          <w:snapToGrid w:val="0"/>
          <w:color w:val="auto"/>
          <w:sz w:val="44"/>
          <w:szCs w:val="44"/>
          <w:highlight w:val="none"/>
        </w:rPr>
        <w:instrText xml:space="preserve"> HYPERLINK "javascript:;" \o "云南昆钢兴达物业服务有限公司2026年西山区怡芳苑小区老旧电梯更新更换项目" </w:instrText>
      </w:r>
      <w:r>
        <w:rPr>
          <w:rFonts w:hint="eastAsia" w:ascii="宋体" w:hAnsi="宋体" w:eastAsia="宋体" w:cs="宋体"/>
          <w:b/>
          <w:snapToGrid w:val="0"/>
          <w:color w:val="auto"/>
          <w:sz w:val="44"/>
          <w:szCs w:val="44"/>
          <w:highlight w:val="none"/>
        </w:rPr>
        <w:fldChar w:fldCharType="separate"/>
      </w:r>
      <w:r>
        <w:rPr>
          <w:rFonts w:hint="eastAsia" w:ascii="宋体" w:hAnsi="宋体" w:eastAsia="宋体" w:cs="宋体"/>
          <w:b/>
          <w:snapToGrid w:val="0"/>
          <w:color w:val="auto"/>
          <w:sz w:val="44"/>
          <w:szCs w:val="44"/>
          <w:highlight w:val="none"/>
        </w:rPr>
        <w:t>西山区怡芳苑</w:t>
      </w:r>
      <w:r>
        <w:rPr>
          <w:rFonts w:hint="eastAsia" w:ascii="宋体" w:hAnsi="宋体" w:eastAsia="宋体" w:cs="宋体"/>
          <w:b/>
          <w:snapToGrid w:val="0"/>
          <w:color w:val="auto"/>
          <w:sz w:val="44"/>
          <w:szCs w:val="44"/>
          <w:highlight w:val="none"/>
        </w:rPr>
        <w:fldChar w:fldCharType="end"/>
      </w:r>
      <w:r>
        <w:rPr>
          <w:rFonts w:hint="eastAsia" w:ascii="宋体" w:hAnsi="宋体" w:eastAsia="宋体" w:cs="宋体"/>
          <w:b/>
          <w:snapToGrid w:val="0"/>
          <w:color w:val="auto"/>
          <w:sz w:val="44"/>
          <w:szCs w:val="44"/>
          <w:highlight w:val="none"/>
        </w:rPr>
        <w:t>小区老旧电梯更新更换项目</w:t>
      </w:r>
      <w:r>
        <w:rPr>
          <w:rFonts w:hint="eastAsia" w:ascii="宋体" w:hAnsi="宋体" w:eastAsia="宋体" w:cs="宋体"/>
          <w:b/>
          <w:snapToGrid w:val="0"/>
          <w:color w:val="auto"/>
          <w:sz w:val="44"/>
          <w:szCs w:val="44"/>
          <w:highlight w:val="none"/>
        </w:rPr>
        <w:fldChar w:fldCharType="begin"/>
      </w:r>
      <w:r>
        <w:rPr>
          <w:rFonts w:hint="eastAsia" w:ascii="宋体" w:hAnsi="宋体" w:eastAsia="宋体" w:cs="宋体"/>
          <w:b/>
          <w:snapToGrid w:val="0"/>
          <w:color w:val="auto"/>
          <w:sz w:val="44"/>
          <w:szCs w:val="44"/>
          <w:highlight w:val="none"/>
        </w:rPr>
        <w:instrText xml:space="preserve"> HYPERLINK "javascript:;" </w:instrText>
      </w:r>
      <w:r>
        <w:rPr>
          <w:rFonts w:hint="eastAsia" w:ascii="宋体" w:hAnsi="宋体" w:eastAsia="宋体" w:cs="宋体"/>
          <w:b/>
          <w:snapToGrid w:val="0"/>
          <w:color w:val="auto"/>
          <w:sz w:val="44"/>
          <w:szCs w:val="44"/>
          <w:highlight w:val="none"/>
        </w:rPr>
        <w:fldChar w:fldCharType="separate"/>
      </w:r>
      <w:r>
        <w:rPr>
          <w:rFonts w:hint="eastAsia" w:ascii="宋体" w:hAnsi="宋体" w:eastAsia="宋体" w:cs="宋体"/>
          <w:b/>
          <w:snapToGrid w:val="0"/>
          <w:color w:val="auto"/>
          <w:sz w:val="44"/>
          <w:szCs w:val="44"/>
          <w:highlight w:val="none"/>
        </w:rPr>
        <w:fldChar w:fldCharType="end"/>
      </w:r>
    </w:p>
    <w:p>
      <w:pPr>
        <w:pStyle w:val="43"/>
        <w:ind w:firstLine="0"/>
        <w:jc w:val="center"/>
        <w:rPr>
          <w:rFonts w:hint="eastAsia" w:ascii="宋体" w:hAnsi="宋体" w:eastAsia="宋体" w:cs="宋体"/>
          <w:b/>
          <w:snapToGrid w:val="0"/>
          <w:color w:val="auto"/>
          <w:sz w:val="44"/>
          <w:szCs w:val="44"/>
          <w:highlight w:val="none"/>
        </w:rPr>
      </w:pPr>
    </w:p>
    <w:p>
      <w:pPr>
        <w:spacing w:line="700" w:lineRule="exact"/>
        <w:jc w:val="center"/>
        <w:rPr>
          <w:rFonts w:hint="eastAsia" w:ascii="宋体" w:hAnsi="宋体" w:eastAsia="宋体" w:cs="宋体"/>
          <w:b/>
          <w:snapToGrid w:val="0"/>
          <w:color w:val="auto"/>
          <w:sz w:val="48"/>
          <w:szCs w:val="56"/>
          <w:highlight w:val="none"/>
        </w:rPr>
      </w:pPr>
    </w:p>
    <w:p>
      <w:pPr>
        <w:spacing w:line="700" w:lineRule="exact"/>
        <w:rPr>
          <w:rFonts w:hint="eastAsia" w:ascii="宋体" w:hAnsi="宋体" w:eastAsia="宋体" w:cs="宋体"/>
          <w:color w:val="auto"/>
          <w:highlight w:val="none"/>
        </w:rPr>
      </w:pPr>
    </w:p>
    <w:p>
      <w:pPr>
        <w:spacing w:line="700" w:lineRule="exact"/>
        <w:rPr>
          <w:rFonts w:hint="eastAsia" w:ascii="宋体" w:hAnsi="宋体" w:eastAsia="宋体" w:cs="宋体"/>
          <w:color w:val="auto"/>
          <w:highlight w:val="none"/>
        </w:rPr>
      </w:pPr>
    </w:p>
    <w:p>
      <w:pPr>
        <w:spacing w:line="700" w:lineRule="exact"/>
        <w:jc w:val="center"/>
        <w:rPr>
          <w:rFonts w:hint="eastAsia" w:ascii="宋体" w:hAnsi="宋体" w:eastAsia="宋体" w:cs="宋体"/>
          <w:b/>
          <w:bCs/>
          <w:color w:val="auto"/>
          <w:sz w:val="56"/>
          <w:szCs w:val="56"/>
          <w:highlight w:val="none"/>
        </w:rPr>
      </w:pPr>
      <w:r>
        <w:rPr>
          <w:rFonts w:hint="eastAsia" w:ascii="宋体" w:hAnsi="宋体" w:eastAsia="宋体" w:cs="宋体"/>
          <w:b/>
          <w:bCs/>
          <w:color w:val="auto"/>
          <w:sz w:val="56"/>
          <w:szCs w:val="56"/>
          <w:highlight w:val="none"/>
        </w:rPr>
        <w:t>招  标  文  件</w:t>
      </w:r>
    </w:p>
    <w:p>
      <w:pPr>
        <w:spacing w:line="700" w:lineRule="exact"/>
        <w:jc w:val="center"/>
        <w:rPr>
          <w:rFonts w:hint="eastAsia" w:ascii="宋体" w:hAnsi="宋体" w:eastAsia="宋体" w:cs="宋体"/>
          <w:b/>
          <w:bCs/>
          <w:color w:val="auto"/>
          <w:highlight w:val="none"/>
        </w:rPr>
      </w:pPr>
    </w:p>
    <w:p>
      <w:pPr>
        <w:spacing w:line="700" w:lineRule="exact"/>
        <w:jc w:val="center"/>
        <w:rPr>
          <w:rFonts w:hint="eastAsia" w:ascii="宋体" w:hAnsi="宋体" w:eastAsia="宋体" w:cs="宋体"/>
          <w:b/>
          <w:bCs/>
          <w:color w:val="auto"/>
          <w:highlight w:val="none"/>
        </w:rPr>
      </w:pPr>
      <w:r>
        <w:rPr>
          <w:rFonts w:hint="eastAsia" w:ascii="宋体" w:hAnsi="宋体" w:eastAsia="宋体" w:cs="宋体"/>
          <w:b/>
          <w:bCs/>
          <w:color w:val="auto"/>
          <w:sz w:val="28"/>
          <w:szCs w:val="28"/>
          <w:highlight w:val="none"/>
        </w:rPr>
        <w:t>招标编号：</w:t>
      </w:r>
    </w:p>
    <w:p>
      <w:pPr>
        <w:spacing w:line="700" w:lineRule="exact"/>
        <w:jc w:val="center"/>
        <w:rPr>
          <w:rFonts w:hint="eastAsia" w:ascii="宋体" w:hAnsi="宋体" w:eastAsia="宋体" w:cs="宋体"/>
          <w:b/>
          <w:bCs/>
          <w:color w:val="auto"/>
          <w:highlight w:val="none"/>
        </w:rPr>
      </w:pPr>
    </w:p>
    <w:p>
      <w:pPr>
        <w:spacing w:line="700" w:lineRule="exact"/>
        <w:ind w:firstLine="1928" w:firstLineChars="600"/>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招  </w:t>
      </w:r>
      <w:r>
        <w:rPr>
          <w:rFonts w:hint="eastAsia" w:ascii="宋体" w:hAnsi="宋体" w:cs="宋体"/>
          <w:b/>
          <w:bCs/>
          <w:color w:val="auto"/>
          <w:sz w:val="32"/>
          <w:szCs w:val="24"/>
          <w:highlight w:val="none"/>
          <w:lang w:val="en-US" w:eastAsia="zh-CN"/>
        </w:rPr>
        <w:t xml:space="preserve"> </w:t>
      </w:r>
      <w:r>
        <w:rPr>
          <w:rFonts w:hint="eastAsia" w:ascii="宋体" w:hAnsi="宋体" w:eastAsia="宋体" w:cs="宋体"/>
          <w:b/>
          <w:bCs/>
          <w:color w:val="auto"/>
          <w:sz w:val="32"/>
          <w:szCs w:val="24"/>
          <w:highlight w:val="none"/>
        </w:rPr>
        <w:t>标</w:t>
      </w:r>
      <w:r>
        <w:rPr>
          <w:rFonts w:hint="eastAsia" w:ascii="宋体" w:hAnsi="宋体" w:cs="宋体"/>
          <w:b/>
          <w:bCs/>
          <w:color w:val="auto"/>
          <w:sz w:val="32"/>
          <w:szCs w:val="24"/>
          <w:highlight w:val="none"/>
          <w:lang w:val="en-US" w:eastAsia="zh-CN"/>
        </w:rPr>
        <w:t xml:space="preserve">  </w:t>
      </w:r>
      <w:r>
        <w:rPr>
          <w:rFonts w:hint="eastAsia" w:ascii="宋体" w:hAnsi="宋体" w:eastAsia="宋体" w:cs="宋体"/>
          <w:b/>
          <w:bCs/>
          <w:color w:val="auto"/>
          <w:sz w:val="32"/>
          <w:szCs w:val="24"/>
          <w:highlight w:val="none"/>
        </w:rPr>
        <w:t xml:space="preserve"> 人：</w:t>
      </w:r>
      <w:r>
        <w:rPr>
          <w:rFonts w:hint="eastAsia" w:ascii="宋体" w:hAnsi="宋体" w:cs="宋体"/>
          <w:b/>
          <w:bCs/>
          <w:color w:val="auto"/>
          <w:sz w:val="32"/>
          <w:szCs w:val="24"/>
          <w:highlight w:val="none"/>
          <w:lang w:eastAsia="zh-CN"/>
        </w:rPr>
        <w:t>云南昆钢兴达物业服务有限公司</w:t>
      </w:r>
    </w:p>
    <w:p>
      <w:pPr>
        <w:spacing w:line="700" w:lineRule="exact"/>
        <w:ind w:firstLine="1928" w:firstLineChars="600"/>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招标代理机构</w:t>
      </w:r>
      <w:r>
        <w:rPr>
          <w:rFonts w:hint="eastAsia" w:ascii="宋体" w:hAnsi="宋体" w:cs="宋体"/>
          <w:b/>
          <w:bCs/>
          <w:color w:val="auto"/>
          <w:sz w:val="32"/>
          <w:szCs w:val="24"/>
          <w:highlight w:val="none"/>
          <w:lang w:val="en-US" w:eastAsia="zh-CN"/>
        </w:rPr>
        <w:t>:</w:t>
      </w:r>
      <w:r>
        <w:rPr>
          <w:rFonts w:hint="eastAsia" w:ascii="宋体" w:hAnsi="宋体" w:eastAsia="宋体" w:cs="宋体"/>
          <w:b/>
          <w:bCs/>
          <w:color w:val="auto"/>
          <w:sz w:val="32"/>
          <w:szCs w:val="24"/>
          <w:highlight w:val="none"/>
        </w:rPr>
        <w:t>上海宝华国际招标有限公司</w:t>
      </w:r>
    </w:p>
    <w:p>
      <w:pPr>
        <w:spacing w:line="700" w:lineRule="exact"/>
        <w:ind w:firstLine="1928" w:firstLineChars="600"/>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时        间：202</w:t>
      </w:r>
      <w:r>
        <w:rPr>
          <w:rFonts w:hint="eastAsia" w:ascii="宋体" w:hAnsi="宋体" w:eastAsia="宋体" w:cs="宋体"/>
          <w:b/>
          <w:bCs/>
          <w:color w:val="auto"/>
          <w:sz w:val="32"/>
          <w:szCs w:val="24"/>
          <w:highlight w:val="none"/>
          <w:lang w:val="en-US" w:eastAsia="zh-CN"/>
        </w:rPr>
        <w:t>6</w:t>
      </w:r>
      <w:r>
        <w:rPr>
          <w:rFonts w:hint="eastAsia" w:ascii="宋体" w:hAnsi="宋体" w:eastAsia="宋体" w:cs="宋体"/>
          <w:b/>
          <w:bCs/>
          <w:color w:val="auto"/>
          <w:sz w:val="32"/>
          <w:szCs w:val="24"/>
          <w:highlight w:val="none"/>
        </w:rPr>
        <w:t>年</w:t>
      </w:r>
      <w:r>
        <w:rPr>
          <w:rFonts w:hint="eastAsia" w:ascii="宋体" w:hAnsi="宋体" w:cs="宋体"/>
          <w:b/>
          <w:bCs/>
          <w:color w:val="auto"/>
          <w:sz w:val="32"/>
          <w:szCs w:val="24"/>
          <w:highlight w:val="none"/>
          <w:lang w:val="en-US" w:eastAsia="zh-CN"/>
        </w:rPr>
        <w:t>7</w:t>
      </w:r>
      <w:r>
        <w:rPr>
          <w:rFonts w:hint="eastAsia" w:ascii="宋体" w:hAnsi="宋体" w:eastAsia="宋体" w:cs="宋体"/>
          <w:b/>
          <w:bCs/>
          <w:color w:val="auto"/>
          <w:sz w:val="32"/>
          <w:szCs w:val="24"/>
          <w:highlight w:val="none"/>
        </w:rPr>
        <w:t>月</w:t>
      </w:r>
    </w:p>
    <w:p>
      <w:pPr>
        <w:spacing w:line="700" w:lineRule="exact"/>
        <w:ind w:firstLine="1928" w:firstLineChars="600"/>
        <w:rPr>
          <w:rFonts w:hint="eastAsia" w:ascii="宋体" w:hAnsi="宋体" w:eastAsia="宋体" w:cs="宋体"/>
          <w:b/>
          <w:bCs/>
          <w:color w:val="auto"/>
          <w:sz w:val="32"/>
          <w:szCs w:val="24"/>
          <w:highlight w:val="none"/>
        </w:rPr>
      </w:pPr>
    </w:p>
    <w:p>
      <w:pPr>
        <w:spacing w:line="700" w:lineRule="exact"/>
        <w:ind w:firstLine="1928" w:firstLineChars="600"/>
        <w:rPr>
          <w:rFonts w:hint="eastAsia" w:ascii="宋体" w:hAnsi="宋体" w:eastAsia="宋体" w:cs="宋体"/>
          <w:b/>
          <w:bCs/>
          <w:color w:val="auto"/>
          <w:sz w:val="32"/>
          <w:szCs w:val="24"/>
          <w:highlight w:val="none"/>
        </w:rPr>
      </w:pPr>
    </w:p>
    <w:p>
      <w:pPr>
        <w:spacing w:line="700" w:lineRule="exact"/>
        <w:ind w:firstLine="1928" w:firstLineChars="600"/>
        <w:rPr>
          <w:rFonts w:hint="eastAsia" w:ascii="宋体" w:hAnsi="宋体" w:eastAsia="宋体" w:cs="宋体"/>
          <w:b/>
          <w:bCs/>
          <w:color w:val="auto"/>
          <w:sz w:val="32"/>
          <w:szCs w:val="24"/>
          <w:highlight w:val="none"/>
        </w:rPr>
      </w:pPr>
    </w:p>
    <w:p>
      <w:pPr>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val="en-US" w:eastAsia="zh-CN"/>
        </w:rPr>
        <w:br w:type="page"/>
      </w:r>
    </w:p>
    <w:p>
      <w:pPr>
        <w:spacing w:line="700" w:lineRule="exact"/>
        <w:jc w:val="center"/>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val="en-US" w:eastAsia="zh-CN"/>
        </w:rPr>
        <w:t>注意事项</w:t>
      </w:r>
    </w:p>
    <w:p>
      <w:pPr>
        <w:pStyle w:val="40"/>
        <w:keepNext w:val="0"/>
        <w:keepLines w:val="0"/>
        <w:pageBreakBefore w:val="0"/>
        <w:widowControl/>
        <w:numPr>
          <w:ilvl w:val="0"/>
          <w:numId w:val="0"/>
        </w:numPr>
        <w:suppressLineNumbers w:val="0"/>
        <w:kinsoku/>
        <w:wordWrap/>
        <w:overflowPunct/>
        <w:topLinePunct w:val="0"/>
        <w:autoSpaceDE/>
        <w:autoSpaceDN/>
        <w:bidi w:val="0"/>
        <w:adjustRightInd/>
        <w:snapToGrid/>
        <w:spacing w:after="10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请注意投标保证金提交及投标文件上传时间截点。（</w:t>
      </w:r>
      <w:r>
        <w:rPr>
          <w:rFonts w:hint="eastAsia" w:ascii="宋体" w:hAnsi="宋体" w:eastAsia="宋体" w:cs="宋体"/>
          <w:color w:val="auto"/>
          <w:sz w:val="24"/>
          <w:szCs w:val="24"/>
          <w:highlight w:val="none"/>
          <w:lang w:val="en-US" w:eastAsia="zh-CN"/>
        </w:rPr>
        <w:t>具体要求详见招标文件须知前附表3.4.1，认真阅读该条款中的注意事项，并按要求提交</w:t>
      </w:r>
      <w:r>
        <w:rPr>
          <w:rFonts w:hint="eastAsia" w:ascii="宋体" w:hAnsi="宋体" w:eastAsia="宋体" w:cs="宋体"/>
          <w:color w:val="auto"/>
          <w:sz w:val="24"/>
          <w:szCs w:val="24"/>
          <w:highlight w:val="none"/>
        </w:rPr>
        <w:t>）</w:t>
      </w:r>
    </w:p>
    <w:p>
      <w:pPr>
        <w:pStyle w:val="40"/>
        <w:keepNext w:val="0"/>
        <w:keepLines w:val="0"/>
        <w:pageBreakBefore w:val="0"/>
        <w:widowControl/>
        <w:numPr>
          <w:ilvl w:val="0"/>
          <w:numId w:val="0"/>
        </w:numPr>
        <w:suppressLineNumbers w:val="0"/>
        <w:kinsoku/>
        <w:wordWrap/>
        <w:overflowPunct/>
        <w:topLinePunct w:val="0"/>
        <w:autoSpaceDE/>
        <w:autoSpaceDN/>
        <w:bidi w:val="0"/>
        <w:adjustRightInd/>
        <w:snapToGrid/>
        <w:spacing w:after="10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二、贵司的</w:t>
      </w:r>
      <w:r>
        <w:rPr>
          <w:rFonts w:hint="eastAsia" w:ascii="宋体" w:hAnsi="宋体" w:eastAsia="宋体" w:cs="宋体"/>
          <w:color w:val="auto"/>
          <w:sz w:val="24"/>
          <w:szCs w:val="24"/>
          <w:highlight w:val="none"/>
        </w:rPr>
        <w:t>投标文件格式严格按招标文件</w:t>
      </w:r>
      <w:r>
        <w:rPr>
          <w:rFonts w:hint="eastAsia" w:ascii="宋体" w:hAnsi="宋体" w:eastAsia="宋体" w:cs="宋体"/>
          <w:color w:val="auto"/>
          <w:sz w:val="24"/>
          <w:szCs w:val="24"/>
          <w:highlight w:val="none"/>
          <w:lang w:val="en-US" w:eastAsia="zh-CN"/>
        </w:rPr>
        <w:t>“第六章投标文件格式”提供的</w:t>
      </w:r>
      <w:r>
        <w:rPr>
          <w:rFonts w:hint="eastAsia" w:ascii="宋体" w:hAnsi="宋体" w:eastAsia="宋体" w:cs="宋体"/>
          <w:color w:val="auto"/>
          <w:sz w:val="24"/>
          <w:szCs w:val="24"/>
          <w:highlight w:val="none"/>
        </w:rPr>
        <w:t>格式要求</w:t>
      </w:r>
      <w:r>
        <w:rPr>
          <w:rFonts w:hint="eastAsia" w:ascii="宋体" w:hAnsi="宋体" w:eastAsia="宋体" w:cs="宋体"/>
          <w:color w:val="auto"/>
          <w:sz w:val="24"/>
          <w:szCs w:val="24"/>
          <w:highlight w:val="none"/>
          <w:lang w:val="en-US" w:eastAsia="zh-CN"/>
        </w:rPr>
        <w:t>编制</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不</w:t>
      </w:r>
      <w:r>
        <w:rPr>
          <w:rFonts w:hint="eastAsia" w:ascii="宋体" w:hAnsi="宋体" w:eastAsia="宋体" w:cs="宋体"/>
          <w:b/>
          <w:bCs/>
          <w:color w:val="auto"/>
          <w:sz w:val="24"/>
          <w:szCs w:val="24"/>
          <w:highlight w:val="none"/>
          <w:lang w:val="en-US" w:eastAsia="zh-CN"/>
        </w:rPr>
        <w:t>得</w:t>
      </w:r>
      <w:r>
        <w:rPr>
          <w:rFonts w:hint="eastAsia" w:ascii="宋体" w:hAnsi="宋体" w:eastAsia="宋体" w:cs="宋体"/>
          <w:b/>
          <w:bCs/>
          <w:color w:val="auto"/>
          <w:sz w:val="24"/>
          <w:szCs w:val="24"/>
          <w:highlight w:val="none"/>
        </w:rPr>
        <w:t>修改格式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招标文件格式中要求“电子签章”的位置，请按要求用印，不要有遗漏。</w:t>
      </w:r>
    </w:p>
    <w:p>
      <w:pPr>
        <w:pStyle w:val="40"/>
        <w:keepNext w:val="0"/>
        <w:keepLines w:val="0"/>
        <w:pageBreakBefore w:val="0"/>
        <w:widowControl/>
        <w:numPr>
          <w:ilvl w:val="0"/>
          <w:numId w:val="0"/>
        </w:numPr>
        <w:suppressLineNumbers w:val="0"/>
        <w:kinsoku/>
        <w:wordWrap/>
        <w:overflowPunct/>
        <w:topLinePunct w:val="0"/>
        <w:autoSpaceDE/>
        <w:autoSpaceDN/>
        <w:bidi w:val="0"/>
        <w:adjustRightInd/>
        <w:snapToGrid/>
        <w:spacing w:after="100" w:line="360" w:lineRule="auto"/>
        <w:ind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三、投标文件格式中：“一、投标（唱标）一览表”注意报价金额大写与小写一致，金额与分项报价表中合计金额一致，报价单位为“</w:t>
      </w:r>
      <w:r>
        <w:rPr>
          <w:rFonts w:hint="eastAsia" w:ascii="宋体" w:hAnsi="宋体" w:eastAsia="宋体" w:cs="宋体"/>
          <w:b/>
          <w:bCs/>
          <w:color w:val="auto"/>
          <w:sz w:val="24"/>
          <w:szCs w:val="24"/>
          <w:highlight w:val="none"/>
          <w:lang w:val="en-US" w:eastAsia="zh-CN"/>
        </w:rPr>
        <w:t>元</w:t>
      </w:r>
      <w:r>
        <w:rPr>
          <w:rFonts w:hint="eastAsia" w:ascii="宋体" w:hAnsi="宋体" w:eastAsia="宋体" w:cs="宋体"/>
          <w:color w:val="auto"/>
          <w:sz w:val="24"/>
          <w:szCs w:val="24"/>
          <w:highlight w:val="none"/>
          <w:lang w:val="en-US" w:eastAsia="zh-CN"/>
        </w:rPr>
        <w:t>”。</w:t>
      </w:r>
    </w:p>
    <w:p>
      <w:pPr>
        <w:pStyle w:val="40"/>
        <w:keepNext w:val="0"/>
        <w:keepLines w:val="0"/>
        <w:pageBreakBefore w:val="0"/>
        <w:widowControl/>
        <w:numPr>
          <w:ilvl w:val="0"/>
          <w:numId w:val="0"/>
        </w:numPr>
        <w:suppressLineNumbers w:val="0"/>
        <w:kinsoku/>
        <w:wordWrap/>
        <w:overflowPunct/>
        <w:topLinePunct w:val="0"/>
        <w:autoSpaceDE/>
        <w:autoSpaceDN/>
        <w:bidi w:val="0"/>
        <w:adjustRightInd/>
        <w:snapToGrid/>
        <w:spacing w:after="100" w:line="360" w:lineRule="auto"/>
        <w:ind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四、投标文件格式中：“四、授权委托书”注意盖章签字及身份证提供的要求。</w:t>
      </w:r>
    </w:p>
    <w:p>
      <w:pPr>
        <w:pStyle w:val="40"/>
        <w:keepNext w:val="0"/>
        <w:keepLines w:val="0"/>
        <w:pageBreakBefore w:val="0"/>
        <w:widowControl/>
        <w:numPr>
          <w:ilvl w:val="0"/>
          <w:numId w:val="0"/>
        </w:numPr>
        <w:suppressLineNumbers w:val="0"/>
        <w:kinsoku/>
        <w:wordWrap/>
        <w:overflowPunct/>
        <w:topLinePunct w:val="0"/>
        <w:autoSpaceDE/>
        <w:autoSpaceDN/>
        <w:bidi w:val="0"/>
        <w:adjustRightInd/>
        <w:snapToGrid/>
        <w:spacing w:after="100" w:line="360" w:lineRule="auto"/>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五、投标文件格式中：“六、商务和技术偏差表”，请按格式要求填写，不得任意修改格式。</w:t>
      </w:r>
    </w:p>
    <w:p>
      <w:pPr>
        <w:pStyle w:val="4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00" w:afterAutospacing="0" w:line="360" w:lineRule="auto"/>
        <w:ind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六、投标文件格式“八、资格审查资料”中的信誉要求：信</w:t>
      </w:r>
      <w:r>
        <w:rPr>
          <w:rFonts w:hint="eastAsia" w:ascii="宋体" w:hAnsi="宋体" w:eastAsia="宋体" w:cs="宋体"/>
          <w:color w:val="auto"/>
          <w:sz w:val="24"/>
          <w:szCs w:val="22"/>
          <w:highlight w:val="none"/>
        </w:rPr>
        <w:t>誉要求证明材料</w:t>
      </w:r>
      <w:r>
        <w:rPr>
          <w:rFonts w:hint="eastAsia" w:ascii="宋体" w:hAnsi="宋体" w:eastAsia="宋体" w:cs="宋体"/>
          <w:color w:val="auto"/>
          <w:sz w:val="24"/>
          <w:szCs w:val="22"/>
          <w:highlight w:val="none"/>
          <w:lang w:val="en-US" w:eastAsia="zh-CN"/>
        </w:rPr>
        <w:t>其中</w:t>
      </w:r>
      <w:r>
        <w:rPr>
          <w:rFonts w:hint="eastAsia" w:ascii="宋体" w:hAnsi="宋体" w:eastAsia="宋体" w:cs="宋体"/>
          <w:color w:val="auto"/>
          <w:sz w:val="24"/>
          <w:szCs w:val="24"/>
          <w:highlight w:val="none"/>
          <w:lang w:val="en-US" w:eastAsia="zh-CN"/>
        </w:rPr>
        <w:t>要求提供的截图请严格按下图截图参</w:t>
      </w:r>
      <w:r>
        <w:rPr>
          <w:rFonts w:hint="eastAsia" w:ascii="宋体" w:hAnsi="宋体" w:eastAsia="宋体" w:cs="宋体"/>
          <w:color w:val="auto"/>
          <w:sz w:val="24"/>
          <w:szCs w:val="22"/>
          <w:highlight w:val="none"/>
          <w:lang w:val="en-US" w:eastAsia="zh-CN"/>
        </w:rPr>
        <w:t>照截图（</w:t>
      </w:r>
      <w:r>
        <w:rPr>
          <w:rFonts w:hint="eastAsia" w:ascii="宋体" w:hAnsi="宋体" w:eastAsia="宋体" w:cs="宋体"/>
          <w:b/>
          <w:bCs/>
          <w:color w:val="auto"/>
          <w:sz w:val="24"/>
          <w:szCs w:val="22"/>
          <w:highlight w:val="none"/>
          <w:lang w:val="en-US" w:eastAsia="zh-CN"/>
        </w:rPr>
        <w:t>红框及红字内容必须包含在截图中</w:t>
      </w:r>
      <w:r>
        <w:rPr>
          <w:rFonts w:hint="eastAsia" w:ascii="宋体" w:hAnsi="宋体" w:eastAsia="宋体" w:cs="宋体"/>
          <w:color w:val="auto"/>
          <w:sz w:val="24"/>
          <w:szCs w:val="22"/>
          <w:highlight w:val="none"/>
          <w:lang w:val="en-US" w:eastAsia="zh-CN"/>
        </w:rPr>
        <w:t>）</w:t>
      </w:r>
    </w:p>
    <w:p>
      <w:pPr>
        <w:pStyle w:val="40"/>
        <w:keepNext w:val="0"/>
        <w:keepLines w:val="0"/>
        <w:pageBreakBefore w:val="0"/>
        <w:widowControl/>
        <w:numPr>
          <w:ilvl w:val="0"/>
          <w:numId w:val="0"/>
        </w:numPr>
        <w:suppressLineNumbers w:val="0"/>
        <w:kinsoku/>
        <w:wordWrap/>
        <w:overflowPunct/>
        <w:topLinePunct w:val="0"/>
        <w:autoSpaceDE/>
        <w:autoSpaceDN/>
        <w:bidi w:val="0"/>
        <w:adjustRightInd/>
        <w:snapToGrid/>
        <w:spacing w:after="100" w:line="360" w:lineRule="auto"/>
        <w:ind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七、业绩提供请按顺序及相关要求提供相关证明材料。</w:t>
      </w:r>
    </w:p>
    <w:p>
      <w:pPr>
        <w:pStyle w:val="358"/>
        <w:keepNext w:val="0"/>
        <w:keepLines w:val="0"/>
        <w:pageBreakBefore w:val="0"/>
        <w:numPr>
          <w:ilvl w:val="0"/>
          <w:numId w:val="0"/>
        </w:numPr>
        <w:kinsoku/>
        <w:wordWrap/>
        <w:overflowPunct/>
        <w:topLinePunct w:val="0"/>
        <w:autoSpaceDE/>
        <w:autoSpaceDN/>
        <w:bidi w:val="0"/>
        <w:adjustRightInd/>
        <w:snapToGrid/>
        <w:spacing w:after="100" w:line="360" w:lineRule="auto"/>
        <w:ind w:leftChars="0"/>
        <w:jc w:val="left"/>
        <w:textAlignment w:val="auto"/>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八、请认真阅读</w:t>
      </w:r>
      <w:r>
        <w:rPr>
          <w:rFonts w:hint="eastAsia" w:ascii="宋体" w:hAnsi="宋体" w:eastAsia="宋体" w:cs="宋体"/>
          <w:color w:val="auto"/>
          <w:sz w:val="24"/>
          <w:szCs w:val="24"/>
          <w:highlight w:val="none"/>
          <w:lang w:val="en-US" w:eastAsia="zh-CN"/>
        </w:rPr>
        <w:t>招标文件第三章评标办法“</w:t>
      </w:r>
      <w:r>
        <w:rPr>
          <w:rFonts w:hint="eastAsia" w:ascii="宋体" w:hAnsi="宋体" w:eastAsia="宋体" w:cs="宋体"/>
          <w:b/>
          <w:bCs/>
          <w:color w:val="auto"/>
          <w:sz w:val="24"/>
          <w:szCs w:val="24"/>
          <w:highlight w:val="none"/>
          <w:lang w:val="en-US" w:eastAsia="zh-CN"/>
        </w:rPr>
        <w:t>评标办法前附表</w:t>
      </w:r>
      <w:r>
        <w:rPr>
          <w:rFonts w:hint="eastAsia" w:ascii="宋体" w:hAnsi="宋体" w:eastAsia="宋体" w:cs="宋体"/>
          <w:color w:val="auto"/>
          <w:sz w:val="24"/>
          <w:szCs w:val="24"/>
          <w:highlight w:val="none"/>
          <w:lang w:val="en-US" w:eastAsia="zh-CN"/>
        </w:rPr>
        <w:t>”的</w:t>
      </w:r>
      <w:r>
        <w:rPr>
          <w:rFonts w:hint="eastAsia" w:ascii="宋体" w:hAnsi="宋体" w:eastAsia="宋体" w:cs="宋体"/>
          <w:b/>
          <w:bCs/>
          <w:color w:val="auto"/>
          <w:sz w:val="24"/>
          <w:szCs w:val="24"/>
          <w:highlight w:val="none"/>
          <w:lang w:val="en-US" w:eastAsia="zh-CN"/>
        </w:rPr>
        <w:t>否决条款</w:t>
      </w:r>
      <w:r>
        <w:rPr>
          <w:rFonts w:hint="eastAsia" w:ascii="宋体" w:hAnsi="宋体" w:eastAsia="宋体" w:cs="宋体"/>
          <w:color w:val="auto"/>
          <w:sz w:val="24"/>
          <w:szCs w:val="24"/>
          <w:highlight w:val="none"/>
          <w:lang w:val="en-US" w:eastAsia="zh-CN"/>
        </w:rPr>
        <w:t>，及技术文件相关“</w:t>
      </w:r>
      <w:r>
        <w:rPr>
          <w:rFonts w:hint="eastAsia" w:ascii="宋体" w:hAnsi="宋体" w:eastAsia="宋体" w:cs="宋体"/>
          <w:b/>
          <w:bCs/>
          <w:color w:val="auto"/>
          <w:sz w:val="24"/>
          <w:szCs w:val="24"/>
          <w:highlight w:val="none"/>
          <w:lang w:val="en-US" w:eastAsia="zh-CN"/>
        </w:rPr>
        <w:t>*条款</w:t>
      </w:r>
      <w:r>
        <w:rPr>
          <w:rFonts w:hint="eastAsia" w:ascii="宋体" w:hAnsi="宋体" w:eastAsia="宋体" w:cs="宋体"/>
          <w:color w:val="auto"/>
          <w:sz w:val="24"/>
          <w:szCs w:val="24"/>
          <w:highlight w:val="none"/>
          <w:lang w:val="en-US" w:eastAsia="zh-CN"/>
        </w:rPr>
        <w:t>”，在格式中对应编制投标文件。</w:t>
      </w:r>
    </w:p>
    <w:p>
      <w:pPr>
        <w:pStyle w:val="358"/>
        <w:keepNext w:val="0"/>
        <w:keepLines w:val="0"/>
        <w:pageBreakBefore w:val="0"/>
        <w:numPr>
          <w:ilvl w:val="0"/>
          <w:numId w:val="0"/>
        </w:numPr>
        <w:kinsoku/>
        <w:wordWrap/>
        <w:overflowPunct/>
        <w:topLinePunct w:val="0"/>
        <w:autoSpaceDE/>
        <w:autoSpaceDN/>
        <w:bidi w:val="0"/>
        <w:adjustRightInd/>
        <w:snapToGrid/>
        <w:spacing w:after="100" w:line="360" w:lineRule="auto"/>
        <w:ind w:leftChars="0"/>
        <w:jc w:val="left"/>
        <w:textAlignment w:val="auto"/>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九、请认真阅读招标文件第五章“技术要求”及本章节最后的</w:t>
      </w: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color w:val="auto"/>
          <w:sz w:val="24"/>
          <w:szCs w:val="24"/>
          <w:highlight w:val="none"/>
          <w:lang w:val="en-US" w:eastAsia="zh-CN"/>
        </w:rPr>
        <w:t>，认真描述第六章投标文件格式中的“九、投标设备配置指标的详细描述”的内容。</w:t>
      </w:r>
    </w:p>
    <w:p>
      <w:pPr>
        <w:pStyle w:val="358"/>
        <w:keepNext w:val="0"/>
        <w:keepLines w:val="0"/>
        <w:pageBreakBefore w:val="0"/>
        <w:numPr>
          <w:ilvl w:val="0"/>
          <w:numId w:val="0"/>
        </w:numPr>
        <w:kinsoku/>
        <w:wordWrap/>
        <w:overflowPunct/>
        <w:topLinePunct w:val="0"/>
        <w:autoSpaceDE/>
        <w:autoSpaceDN/>
        <w:bidi w:val="0"/>
        <w:adjustRightInd/>
        <w:snapToGrid/>
        <w:spacing w:after="100" w:line="360" w:lineRule="auto"/>
        <w:ind w:leftChars="0"/>
        <w:jc w:val="left"/>
        <w:textAlignment w:val="auto"/>
        <w:outlineLvl w:val="1"/>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十、熟悉云南省公共资源交易中心电子投标操作相关知识，开标当天须提前登录系统签到，开标时间截止，请按要求提示解密、唱标、确认。</w:t>
      </w:r>
    </w:p>
    <w:p>
      <w:pP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br w:type="page"/>
      </w:r>
    </w:p>
    <w:p>
      <w:pPr>
        <w:spacing w:line="700" w:lineRule="exact"/>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目  录</w:t>
      </w:r>
    </w:p>
    <w:p>
      <w:pPr>
        <w:tabs>
          <w:tab w:val="right" w:leader="dot" w:pos="8630"/>
        </w:tabs>
        <w:spacing w:line="800" w:lineRule="exact"/>
        <w:jc w:val="center"/>
        <w:rPr>
          <w:rFonts w:hint="eastAsia" w:ascii="宋体" w:hAnsi="宋体" w:eastAsia="宋体" w:cs="宋体"/>
          <w:color w:val="auto"/>
          <w:sz w:val="44"/>
          <w:szCs w:val="44"/>
          <w:highlight w:val="none"/>
        </w:rPr>
      </w:pPr>
    </w:p>
    <w:p>
      <w:pPr>
        <w:pStyle w:val="31"/>
        <w:tabs>
          <w:tab w:val="right" w:leader="dot" w:pos="9746"/>
        </w:tabs>
        <w:rPr>
          <w:rFonts w:hint="eastAsia" w:ascii="宋体" w:hAnsi="宋体" w:eastAsia="宋体" w:cs="宋体"/>
          <w:color w:val="auto"/>
          <w:highlight w:val="none"/>
        </w:rPr>
      </w:pPr>
      <w:r>
        <w:rPr>
          <w:rFonts w:hint="eastAsia" w:ascii="宋体" w:hAnsi="宋体" w:eastAsia="宋体" w:cs="宋体"/>
          <w:color w:val="auto"/>
          <w:sz w:val="48"/>
          <w:szCs w:val="48"/>
          <w:highlight w:val="none"/>
        </w:rPr>
        <w:fldChar w:fldCharType="begin"/>
      </w:r>
      <w:r>
        <w:rPr>
          <w:rFonts w:hint="eastAsia" w:ascii="宋体" w:hAnsi="宋体" w:eastAsia="宋体" w:cs="宋体"/>
          <w:color w:val="auto"/>
          <w:sz w:val="48"/>
          <w:szCs w:val="48"/>
          <w:highlight w:val="none"/>
        </w:rPr>
        <w:instrText xml:space="preserve"> TOC \o "1-1" \h \u </w:instrText>
      </w:r>
      <w:r>
        <w:rPr>
          <w:rFonts w:hint="eastAsia" w:ascii="宋体" w:hAnsi="宋体" w:eastAsia="宋体" w:cs="宋体"/>
          <w:color w:val="auto"/>
          <w:sz w:val="48"/>
          <w:szCs w:val="4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"_Toc20362"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_Toc20362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pPr>
        <w:pStyle w:val="31"/>
        <w:tabs>
          <w:tab w:val="right" w:leader="dot" w:pos="9746"/>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"_Toc18353"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_Toc18353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pPr>
        <w:pStyle w:val="31"/>
        <w:tabs>
          <w:tab w:val="right" w:leader="dot" w:pos="9746"/>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"_Toc1644"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第三章 评标办法（综合评估法）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_Toc1644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pPr>
        <w:pStyle w:val="31"/>
        <w:tabs>
          <w:tab w:val="right" w:leader="dot" w:pos="9746"/>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"_Toc14678"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第四章 合同条款及格式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_Toc14678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pPr>
        <w:pStyle w:val="31"/>
        <w:tabs>
          <w:tab w:val="right" w:leader="dot" w:pos="9746"/>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"_Toc25909"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第五章 技术要求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_Toc25909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pPr>
        <w:pStyle w:val="31"/>
        <w:tabs>
          <w:tab w:val="right" w:leader="dot" w:pos="9746"/>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"_Toc15351"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_Toc15351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pPr>
        <w:spacing w:line="800" w:lineRule="exact"/>
        <w:rPr>
          <w:rFonts w:hint="eastAsia" w:ascii="宋体" w:hAnsi="宋体" w:eastAsia="宋体" w:cs="宋体"/>
          <w:color w:val="auto"/>
          <w:sz w:val="32"/>
          <w:szCs w:val="32"/>
          <w:highlight w:val="none"/>
        </w:rPr>
      </w:pPr>
      <w:r>
        <w:rPr>
          <w:rFonts w:hint="eastAsia" w:ascii="宋体" w:hAnsi="宋体" w:eastAsia="宋体" w:cs="宋体"/>
          <w:color w:val="auto"/>
          <w:szCs w:val="48"/>
          <w:highlight w:val="none"/>
        </w:rPr>
        <w:fldChar w:fldCharType="end"/>
      </w:r>
    </w:p>
    <w:p>
      <w:pPr>
        <w:spacing w:line="430" w:lineRule="exact"/>
        <w:rPr>
          <w:rFonts w:hint="eastAsia" w:ascii="宋体" w:hAnsi="宋体" w:eastAsia="宋体" w:cs="宋体"/>
          <w:color w:val="auto"/>
          <w:sz w:val="32"/>
          <w:szCs w:val="32"/>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rPr>
          <w:rFonts w:hint="eastAsia" w:ascii="宋体" w:hAnsi="宋体" w:eastAsia="宋体" w:cs="宋体"/>
          <w:b/>
          <w:color w:val="auto"/>
          <w:sz w:val="44"/>
          <w:highlight w:val="none"/>
        </w:rPr>
      </w:pPr>
      <w:bookmarkStart w:id="0" w:name="_Toc20362"/>
      <w:bookmarkStart w:id="1" w:name="_Toc21245"/>
      <w:r>
        <w:rPr>
          <w:rFonts w:hint="eastAsia" w:ascii="宋体" w:hAnsi="宋体" w:eastAsia="宋体" w:cs="宋体"/>
          <w:b/>
          <w:color w:val="auto"/>
          <w:sz w:val="44"/>
          <w:highlight w:val="none"/>
        </w:rPr>
        <w:br w:type="page"/>
      </w:r>
    </w:p>
    <w:p>
      <w:pPr>
        <w:widowControl/>
        <w:spacing w:line="440" w:lineRule="exact"/>
        <w:jc w:val="center"/>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44"/>
          <w:highlight w:val="none"/>
        </w:rPr>
        <w:t>第一章 招标公告</w:t>
      </w:r>
      <w:bookmarkEnd w:id="0"/>
      <w:bookmarkEnd w:id="1"/>
    </w:p>
    <w:p>
      <w:pPr>
        <w:spacing w:line="44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HYPERLINK "javascript:;" \o "云南昆钢兴达物业服务有限公司2026年西山区怡芳苑小区老旧电梯更新更换项目"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b/>
          <w:color w:val="auto"/>
          <w:sz w:val="28"/>
          <w:szCs w:val="28"/>
          <w:highlight w:val="none"/>
        </w:rPr>
        <w:t>西山区怡芳苑</w:t>
      </w:r>
      <w:r>
        <w:rPr>
          <w:rFonts w:hint="eastAsia" w:ascii="宋体" w:hAnsi="宋体" w:eastAsia="宋体" w:cs="宋体"/>
          <w:b/>
          <w:color w:val="auto"/>
          <w:sz w:val="28"/>
          <w:szCs w:val="28"/>
          <w:highlight w:val="none"/>
        </w:rPr>
        <w:fldChar w:fldCharType="end"/>
      </w:r>
      <w:r>
        <w:rPr>
          <w:rFonts w:hint="eastAsia" w:ascii="宋体" w:hAnsi="宋体" w:eastAsia="宋体" w:cs="宋体"/>
          <w:b/>
          <w:color w:val="auto"/>
          <w:sz w:val="28"/>
          <w:szCs w:val="28"/>
          <w:highlight w:val="none"/>
        </w:rPr>
        <w:t>小区老旧电梯更新更换项目</w:t>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HYPERLINK "javascript:;"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b/>
          <w:color w:val="auto"/>
          <w:sz w:val="28"/>
          <w:szCs w:val="28"/>
          <w:highlight w:val="none"/>
        </w:rPr>
        <w:fldChar w:fldCharType="end"/>
      </w:r>
      <w:r>
        <w:rPr>
          <w:rFonts w:hint="eastAsia" w:ascii="宋体" w:hAnsi="宋体" w:eastAsia="宋体" w:cs="宋体"/>
          <w:b/>
          <w:color w:val="auto"/>
          <w:sz w:val="28"/>
          <w:szCs w:val="28"/>
          <w:highlight w:val="none"/>
        </w:rPr>
        <w:t>招标公告</w:t>
      </w:r>
    </w:p>
    <w:p>
      <w:pPr>
        <w:keepNext/>
        <w:keepLines/>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 招标条件</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fldChar w:fldCharType="begin"/>
      </w:r>
      <w:r>
        <w:rPr>
          <w:rFonts w:hint="eastAsia" w:ascii="宋体" w:hAnsi="宋体" w:cs="宋体"/>
          <w:color w:val="auto"/>
          <w:szCs w:val="21"/>
          <w:highlight w:val="none"/>
          <w:lang w:eastAsia="zh-CN"/>
        </w:rPr>
        <w:instrText xml:space="preserve"> HYPERLINK "javascript:;" \o "云南昆钢兴达物业服务有限公司2026年西山区怡芳苑小区老旧电梯更新更换项目" </w:instrText>
      </w:r>
      <w:r>
        <w:rPr>
          <w:rFonts w:hint="eastAsia" w:ascii="宋体" w:hAnsi="宋体" w:cs="宋体"/>
          <w:color w:val="auto"/>
          <w:szCs w:val="21"/>
          <w:highlight w:val="none"/>
          <w:lang w:eastAsia="zh-CN"/>
        </w:rPr>
        <w:fldChar w:fldCharType="separate"/>
      </w:r>
      <w:r>
        <w:rPr>
          <w:rFonts w:hint="eastAsia" w:ascii="宋体" w:hAnsi="宋体" w:cs="宋体"/>
          <w:color w:val="auto"/>
          <w:szCs w:val="21"/>
          <w:highlight w:val="none"/>
          <w:lang w:eastAsia="zh-CN"/>
        </w:rPr>
        <w:t>西山区怡芳苑</w:t>
      </w:r>
      <w:r>
        <w:rPr>
          <w:rFonts w:hint="eastAsia" w:ascii="宋体" w:hAnsi="宋体" w:cs="宋体"/>
          <w:color w:val="auto"/>
          <w:szCs w:val="21"/>
          <w:highlight w:val="none"/>
          <w:lang w:eastAsia="zh-CN"/>
        </w:rPr>
        <w:fldChar w:fldCharType="end"/>
      </w:r>
      <w:r>
        <w:rPr>
          <w:rFonts w:hint="eastAsia" w:ascii="宋体" w:hAnsi="宋体" w:cs="宋体"/>
          <w:color w:val="auto"/>
          <w:szCs w:val="21"/>
          <w:highlight w:val="none"/>
          <w:lang w:eastAsia="zh-CN"/>
        </w:rPr>
        <w:t>小区老旧电梯更新更换项目</w:t>
      </w:r>
      <w:r>
        <w:rPr>
          <w:rFonts w:hint="eastAsia" w:ascii="宋体" w:hAnsi="宋体" w:cs="宋体"/>
          <w:color w:val="auto"/>
          <w:szCs w:val="21"/>
          <w:highlight w:val="none"/>
          <w:lang w:eastAsia="zh-CN"/>
        </w:rPr>
        <w:fldChar w:fldCharType="begin"/>
      </w:r>
      <w:r>
        <w:rPr>
          <w:rFonts w:hint="eastAsia" w:ascii="宋体" w:hAnsi="宋体" w:cs="宋体"/>
          <w:color w:val="auto"/>
          <w:szCs w:val="21"/>
          <w:highlight w:val="none"/>
          <w:lang w:eastAsia="zh-CN"/>
        </w:rPr>
        <w:instrText xml:space="preserve"> HYPERLINK "javascript:;" </w:instrText>
      </w:r>
      <w:r>
        <w:rPr>
          <w:rFonts w:hint="eastAsia" w:ascii="宋体" w:hAnsi="宋体" w:cs="宋体"/>
          <w:color w:val="auto"/>
          <w:szCs w:val="21"/>
          <w:highlight w:val="none"/>
          <w:lang w:eastAsia="zh-CN"/>
        </w:rPr>
        <w:fldChar w:fldCharType="separate"/>
      </w:r>
      <w:r>
        <w:rPr>
          <w:rFonts w:hint="eastAsia" w:ascii="宋体" w:hAnsi="宋体" w:cs="宋体"/>
          <w:color w:val="auto"/>
          <w:szCs w:val="21"/>
          <w:highlight w:val="none"/>
          <w:lang w:eastAsia="zh-CN"/>
        </w:rPr>
        <w:fldChar w:fldCharType="end"/>
      </w:r>
      <w:r>
        <w:rPr>
          <w:rFonts w:hint="eastAsia" w:ascii="宋体" w:hAnsi="宋体" w:cs="宋体"/>
          <w:color w:val="auto"/>
          <w:szCs w:val="21"/>
          <w:highlight w:val="none"/>
          <w:lang w:eastAsia="zh-CN"/>
        </w:rPr>
        <w:t>已由</w:t>
      </w:r>
      <w:r>
        <w:rPr>
          <w:rFonts w:hint="eastAsia" w:ascii="宋体" w:hAnsi="宋体" w:cs="宋体"/>
          <w:color w:val="auto"/>
          <w:szCs w:val="21"/>
          <w:highlight w:val="none"/>
          <w:lang w:val="en-US" w:eastAsia="zh-CN"/>
        </w:rPr>
        <w:t>昆明</w:t>
      </w:r>
      <w:r>
        <w:rPr>
          <w:rFonts w:hint="eastAsia" w:ascii="宋体" w:hAnsi="宋体" w:cs="宋体"/>
          <w:color w:val="auto"/>
          <w:szCs w:val="21"/>
          <w:highlight w:val="none"/>
          <w:lang w:eastAsia="zh-CN"/>
        </w:rPr>
        <w:t>市发展和改革局备案，备案号【项目代码】:2502-5301</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lang w:eastAsia="zh-CN"/>
        </w:rPr>
        <w:t>-04-05-</w:t>
      </w:r>
      <w:r>
        <w:rPr>
          <w:rFonts w:hint="eastAsia" w:ascii="宋体" w:hAnsi="宋体" w:cs="宋体"/>
          <w:color w:val="auto"/>
          <w:szCs w:val="21"/>
          <w:highlight w:val="none"/>
          <w:lang w:val="en-US" w:eastAsia="zh-CN"/>
        </w:rPr>
        <w:t>168176</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申请政府投资【</w:t>
      </w:r>
      <w:r>
        <w:rPr>
          <w:rFonts w:hint="eastAsia" w:ascii="宋体" w:hAnsi="宋体" w:cs="宋体"/>
          <w:color w:val="auto"/>
          <w:szCs w:val="21"/>
          <w:highlight w:val="none"/>
          <w:lang w:val="en-US" w:eastAsia="zh-CN"/>
        </w:rPr>
        <w:t>345</w:t>
      </w:r>
      <w:r>
        <w:rPr>
          <w:rFonts w:hint="eastAsia" w:ascii="宋体" w:hAnsi="宋体" w:eastAsia="宋体" w:cs="宋体"/>
          <w:color w:val="auto"/>
          <w:szCs w:val="21"/>
          <w:highlight w:val="none"/>
        </w:rPr>
        <w:t>】万元，资金已落实。本项目已具备招标条件，招标人为</w:t>
      </w:r>
      <w:r>
        <w:rPr>
          <w:rFonts w:hint="eastAsia" w:ascii="宋体" w:hAnsi="宋体" w:cs="宋体"/>
          <w:color w:val="auto"/>
          <w:szCs w:val="21"/>
          <w:highlight w:val="none"/>
          <w:lang w:eastAsia="zh-CN"/>
        </w:rPr>
        <w:t>云南昆钢兴达物业服务有限公司</w:t>
      </w:r>
      <w:r>
        <w:rPr>
          <w:rFonts w:hint="eastAsia" w:ascii="宋体" w:hAnsi="宋体" w:eastAsia="宋体" w:cs="宋体"/>
          <w:color w:val="auto"/>
          <w:szCs w:val="21"/>
          <w:highlight w:val="none"/>
        </w:rPr>
        <w:t>，招标代理机构为上海宝华国际招标有限公司，现对该项目</w:t>
      </w:r>
      <w:r>
        <w:rPr>
          <w:rFonts w:hint="eastAsia" w:ascii="宋体" w:hAnsi="宋体" w:eastAsia="宋体" w:cs="宋体"/>
          <w:color w:val="auto"/>
          <w:szCs w:val="21"/>
          <w:highlight w:val="none"/>
          <w:lang w:val="en-US" w:eastAsia="zh-CN"/>
        </w:rPr>
        <w:t>的电梯</w:t>
      </w:r>
      <w:r>
        <w:rPr>
          <w:rFonts w:hint="eastAsia" w:ascii="宋体" w:hAnsi="宋体" w:eastAsia="宋体" w:cs="宋体"/>
          <w:color w:val="auto"/>
          <w:szCs w:val="21"/>
          <w:highlight w:val="none"/>
        </w:rPr>
        <w:t>进行公开招标，择优选择供应商。欢迎符合资格要求的潜在投标人参与投标。</w:t>
      </w:r>
    </w:p>
    <w:p>
      <w:pPr>
        <w:keepNext/>
        <w:keepLines/>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 项目概况与招标范围</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2.1项目名称：西山区怡芳苑</w:t>
      </w:r>
      <w:r>
        <w:rPr>
          <w:rFonts w:hint="eastAsia" w:ascii="宋体" w:hAnsi="宋体" w:cs="宋体"/>
          <w:color w:val="auto"/>
          <w:szCs w:val="21"/>
          <w:highlight w:val="none"/>
          <w:lang w:eastAsia="zh-CN"/>
        </w:rPr>
        <w:t>小区老旧电梯更新更换项</w:t>
      </w:r>
      <w:r>
        <w:rPr>
          <w:rFonts w:hint="eastAsia" w:ascii="宋体" w:hAnsi="宋体" w:eastAsia="宋体" w:cs="宋体"/>
          <w:color w:val="auto"/>
          <w:szCs w:val="21"/>
          <w:highlight w:val="none"/>
          <w:lang w:val="en-US" w:eastAsia="zh-CN"/>
        </w:rPr>
        <w:t>目</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2.2招标项目编号：</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招标范围：</w:t>
      </w:r>
      <w:bookmarkStart w:id="2" w:name="OLE_LINK3"/>
      <w:r>
        <w:rPr>
          <w:rFonts w:hint="eastAsia" w:ascii="宋体" w:hAnsi="宋体" w:eastAsia="宋体" w:cs="宋体"/>
          <w:color w:val="auto"/>
          <w:szCs w:val="21"/>
          <w:highlight w:val="none"/>
          <w:lang w:val="en-US" w:eastAsia="zh-CN"/>
        </w:rPr>
        <w:t>完成</w:t>
      </w:r>
      <w:r>
        <w:rPr>
          <w:rFonts w:hint="eastAsia" w:ascii="宋体" w:hAnsi="宋体" w:cs="宋体"/>
          <w:color w:val="auto"/>
          <w:szCs w:val="21"/>
          <w:highlight w:val="none"/>
          <w:lang w:val="en-US" w:eastAsia="zh-CN"/>
        </w:rPr>
        <w:t>西山区怡芳苑小区1-9栋（23部）</w:t>
      </w:r>
      <w:r>
        <w:rPr>
          <w:rFonts w:hint="eastAsia" w:ascii="宋体" w:hAnsi="宋体" w:eastAsia="宋体" w:cs="宋体"/>
          <w:color w:val="auto"/>
          <w:szCs w:val="21"/>
          <w:highlight w:val="none"/>
          <w:lang w:val="en-US" w:eastAsia="zh-CN"/>
        </w:rPr>
        <w:t>电梯,共计</w:t>
      </w:r>
      <w:r>
        <w:rPr>
          <w:rFonts w:hint="eastAsia" w:ascii="宋体" w:hAnsi="宋体" w:cs="宋体"/>
          <w:color w:val="auto"/>
          <w:szCs w:val="21"/>
          <w:highlight w:val="none"/>
          <w:lang w:val="en-US" w:eastAsia="zh-CN"/>
        </w:rPr>
        <w:t>23</w:t>
      </w:r>
      <w:r>
        <w:rPr>
          <w:rFonts w:hint="eastAsia" w:ascii="宋体" w:hAnsi="宋体" w:eastAsia="宋体" w:cs="宋体"/>
          <w:color w:val="auto"/>
          <w:szCs w:val="21"/>
          <w:highlight w:val="none"/>
          <w:lang w:val="en-US" w:eastAsia="zh-CN"/>
        </w:rPr>
        <w:t>台电梯的采购、安装、调试、验收等工作及老旧电梯的拆除</w:t>
      </w:r>
      <w:r>
        <w:rPr>
          <w:rFonts w:hint="eastAsia" w:ascii="宋体" w:hAnsi="宋体" w:cs="宋体"/>
          <w:color w:val="auto"/>
          <w:szCs w:val="21"/>
          <w:highlight w:val="none"/>
          <w:lang w:val="en-US" w:eastAsia="zh-CN"/>
        </w:rPr>
        <w:t>（电梯残值依据第三方评估公司附件为准）</w:t>
      </w:r>
      <w:r>
        <w:rPr>
          <w:rFonts w:hint="eastAsia" w:ascii="宋体" w:hAnsi="宋体" w:eastAsia="宋体" w:cs="宋体"/>
          <w:color w:val="auto"/>
          <w:szCs w:val="21"/>
          <w:highlight w:val="none"/>
          <w:lang w:val="en-US" w:eastAsia="zh-CN"/>
        </w:rPr>
        <w:t>工作。</w:t>
      </w:r>
      <w:bookmarkEnd w:id="2"/>
      <w:r>
        <w:rPr>
          <w:rFonts w:hint="eastAsia" w:ascii="宋体" w:hAnsi="宋体" w:eastAsia="宋体" w:cs="宋体"/>
          <w:color w:val="auto"/>
          <w:szCs w:val="21"/>
          <w:highlight w:val="none"/>
          <w:lang w:val="en-US" w:eastAsia="zh-CN"/>
        </w:rPr>
        <w:t>具体要求请详见第五章“技术要求”。</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项目地点：</w:t>
      </w:r>
      <w:r>
        <w:rPr>
          <w:rFonts w:hint="eastAsia" w:ascii="宋体" w:hAnsi="宋体" w:cs="宋体"/>
          <w:color w:val="auto"/>
          <w:szCs w:val="21"/>
          <w:highlight w:val="none"/>
          <w:lang w:val="en-US" w:eastAsia="zh-CN"/>
        </w:rPr>
        <w:t>西山区怡芳苑小区</w:t>
      </w:r>
      <w:r>
        <w:rPr>
          <w:rFonts w:hint="eastAsia" w:ascii="宋体" w:hAnsi="宋体" w:eastAsia="宋体" w:cs="宋体"/>
          <w:color w:val="auto"/>
          <w:szCs w:val="21"/>
          <w:highlight w:val="none"/>
          <w:lang w:val="en-US" w:eastAsia="zh-CN"/>
        </w:rPr>
        <w:t>现场。</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项目完成时间：合同签订生效之日起</w:t>
      </w:r>
      <w:r>
        <w:rPr>
          <w:rFonts w:hint="eastAsia" w:ascii="宋体" w:hAnsi="宋体" w:cs="宋体"/>
          <w:color w:val="auto"/>
          <w:szCs w:val="21"/>
          <w:highlight w:val="none"/>
          <w:lang w:val="en-US" w:eastAsia="zh-CN"/>
        </w:rPr>
        <w:t>90</w:t>
      </w:r>
      <w:r>
        <w:rPr>
          <w:rFonts w:hint="eastAsia" w:ascii="宋体" w:hAnsi="宋体" w:eastAsia="宋体" w:cs="宋体"/>
          <w:color w:val="auto"/>
          <w:szCs w:val="21"/>
          <w:highlight w:val="none"/>
          <w:lang w:val="en-US" w:eastAsia="zh-CN"/>
        </w:rPr>
        <w:t>日历天内。</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质量要求：符合现行国家或行业验收规范</w:t>
      </w:r>
      <w:r>
        <w:rPr>
          <w:rFonts w:hint="eastAsia" w:ascii="宋体" w:hAnsi="宋体" w:eastAsia="宋体" w:cs="宋体"/>
          <w:color w:val="auto"/>
          <w:szCs w:val="21"/>
          <w:highlight w:val="none"/>
        </w:rPr>
        <w:t>、一次验收合格。</w:t>
      </w:r>
    </w:p>
    <w:p>
      <w:pPr>
        <w:spacing w:line="440" w:lineRule="exact"/>
        <w:ind w:firstLine="420" w:firstLineChars="200"/>
        <w:rPr>
          <w:rFonts w:hint="eastAsia" w:ascii="宋体" w:hAnsi="宋体" w:eastAsia="宋体" w:cs="宋体"/>
          <w:strike/>
          <w:dstrike w:val="0"/>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质量保证期：电梯整体质量保证期及免费保养期限不低于自监督检验合格之日起</w:t>
      </w:r>
      <w:r>
        <w:rPr>
          <w:rFonts w:hint="eastAsia" w:ascii="宋体" w:hAnsi="宋体" w:eastAsia="宋体" w:cs="宋体"/>
          <w:color w:val="auto"/>
          <w:szCs w:val="21"/>
          <w:highlight w:val="none"/>
          <w:lang w:val="en-US" w:eastAsia="zh-CN"/>
        </w:rPr>
        <w:t>24个月。</w:t>
      </w:r>
    </w:p>
    <w:p>
      <w:pPr>
        <w:keepNext/>
        <w:keepLines/>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 投标人资格要求</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3.1资质要求：</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投标人须是中国境内依法成立的法人或其他组织，具有有效的营业执照等证明文件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具备供货能力的制造商或代理商，代理商投标的须提供制造商出具的</w:t>
      </w:r>
      <w:r>
        <w:rPr>
          <w:rFonts w:hint="eastAsia" w:ascii="宋体" w:hAnsi="宋体" w:eastAsia="宋体" w:cs="宋体"/>
          <w:color w:val="auto"/>
          <w:szCs w:val="21"/>
          <w:highlight w:val="none"/>
          <w:lang w:val="en-US" w:eastAsia="zh-CN"/>
        </w:rPr>
        <w:t>针对本项目的唯一</w:t>
      </w:r>
      <w:r>
        <w:rPr>
          <w:rFonts w:hint="eastAsia" w:ascii="宋体" w:hAnsi="宋体" w:eastAsia="宋体" w:cs="宋体"/>
          <w:color w:val="auto"/>
          <w:szCs w:val="21"/>
          <w:highlight w:val="none"/>
        </w:rPr>
        <w:t>授权函。一个制造商对同一品牌同一型号的设备，仅能委托一个代理商参加投标。</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2）投标人若为电梯制造商</w:t>
      </w:r>
    </w:p>
    <w:p>
      <w:pPr>
        <w:spacing w:line="440" w:lineRule="exact"/>
        <w:ind w:firstLine="420" w:firstLineChars="200"/>
        <w:rPr>
          <w:rFonts w:hint="eastAsia" w:ascii="宋体" w:hAnsi="宋体" w:eastAsia="宋体" w:cs="宋体"/>
          <w:color w:val="auto"/>
          <w:szCs w:val="21"/>
          <w:highlight w:val="none"/>
          <w:lang w:val="en-US" w:eastAsia="zh-CN"/>
        </w:rPr>
      </w:pPr>
      <w:bookmarkStart w:id="3" w:name="OLE_LINK5"/>
      <w:r>
        <w:rPr>
          <w:rFonts w:hint="eastAsia" w:ascii="宋体" w:hAnsi="宋体" w:cs="宋体"/>
          <w:color w:val="auto"/>
          <w:szCs w:val="21"/>
          <w:highlight w:val="none"/>
          <w:lang w:val="en-US" w:eastAsia="zh-CN"/>
        </w:rPr>
        <w:t>提供</w:t>
      </w:r>
      <w:r>
        <w:rPr>
          <w:rFonts w:hint="eastAsia" w:ascii="宋体" w:hAnsi="宋体" w:eastAsia="宋体" w:cs="宋体"/>
          <w:color w:val="auto"/>
          <w:szCs w:val="21"/>
          <w:highlight w:val="none"/>
          <w:lang w:val="en-US" w:eastAsia="zh-CN"/>
        </w:rPr>
        <w:t>行业主管部门核发有效</w:t>
      </w:r>
      <w:r>
        <w:rPr>
          <w:rFonts w:hint="eastAsia" w:ascii="宋体" w:hAnsi="宋体" w:cs="宋体"/>
          <w:color w:val="auto"/>
          <w:szCs w:val="21"/>
          <w:highlight w:val="none"/>
          <w:lang w:val="en-US" w:eastAsia="zh-CN"/>
        </w:rPr>
        <w:t>的</w:t>
      </w:r>
      <w:r>
        <w:rPr>
          <w:rFonts w:hint="eastAsia" w:ascii="宋体" w:hAnsi="宋体" w:eastAsia="宋体" w:cs="宋体"/>
          <w:color w:val="auto"/>
          <w:szCs w:val="21"/>
          <w:highlight w:val="none"/>
          <w:lang w:val="en-US" w:eastAsia="zh-CN"/>
        </w:rPr>
        <w:t>《中华人民共和国特种设备制造许可证》（电梯），许可等级满足：乘客电梯（曳引式客梯B级及以上）且</w:t>
      </w:r>
      <w:r>
        <w:rPr>
          <w:rFonts w:hint="eastAsia" w:ascii="宋体" w:hAnsi="宋体" w:cs="宋体"/>
          <w:color w:val="auto"/>
          <w:szCs w:val="21"/>
          <w:highlight w:val="none"/>
          <w:lang w:val="en-US" w:eastAsia="zh-CN"/>
        </w:rPr>
        <w:t>提供</w:t>
      </w:r>
      <w:r>
        <w:rPr>
          <w:rFonts w:hint="eastAsia" w:ascii="宋体" w:hAnsi="宋体" w:eastAsia="宋体" w:cs="宋体"/>
          <w:color w:val="auto"/>
          <w:szCs w:val="21"/>
          <w:highlight w:val="none"/>
          <w:lang w:val="en-US" w:eastAsia="zh-CN"/>
        </w:rPr>
        <w:t>有效</w:t>
      </w:r>
      <w:r>
        <w:rPr>
          <w:rFonts w:hint="eastAsia" w:ascii="宋体" w:hAnsi="宋体" w:cs="宋体"/>
          <w:color w:val="auto"/>
          <w:szCs w:val="21"/>
          <w:highlight w:val="none"/>
          <w:lang w:val="en-US" w:eastAsia="zh-CN"/>
        </w:rPr>
        <w:t>的</w:t>
      </w:r>
      <w:r>
        <w:rPr>
          <w:rFonts w:hint="eastAsia" w:ascii="宋体" w:hAnsi="宋体" w:eastAsia="宋体" w:cs="宋体"/>
          <w:color w:val="auto"/>
          <w:szCs w:val="21"/>
          <w:highlight w:val="none"/>
          <w:lang w:val="en-US" w:eastAsia="zh-CN"/>
        </w:rPr>
        <w:t>《中华人民共和国特种设备安装改造维修许可证》（电梯），许可等级满足：乘客电梯安装B级及以上资质。</w:t>
      </w:r>
      <w:r>
        <w:rPr>
          <w:rFonts w:hint="eastAsia" w:ascii="宋体" w:hAnsi="宋体" w:cs="宋体"/>
          <w:color w:val="auto"/>
          <w:szCs w:val="21"/>
          <w:highlight w:val="none"/>
          <w:lang w:val="en-US" w:eastAsia="zh-CN"/>
        </w:rPr>
        <w:t>或提供</w:t>
      </w:r>
      <w:r>
        <w:rPr>
          <w:rFonts w:hint="eastAsia" w:ascii="宋体" w:hAnsi="宋体" w:eastAsia="宋体" w:cs="宋体"/>
          <w:color w:val="auto"/>
          <w:szCs w:val="21"/>
          <w:highlight w:val="none"/>
          <w:lang w:val="en-US" w:eastAsia="zh-CN"/>
        </w:rPr>
        <w:t>行业主管部门核发有效</w:t>
      </w:r>
      <w:r>
        <w:rPr>
          <w:rFonts w:hint="eastAsia" w:ascii="宋体" w:hAnsi="宋体" w:cs="宋体"/>
          <w:color w:val="auto"/>
          <w:szCs w:val="21"/>
          <w:highlight w:val="none"/>
          <w:lang w:val="en-US" w:eastAsia="zh-CN"/>
        </w:rPr>
        <w:t>的</w:t>
      </w:r>
      <w:r>
        <w:rPr>
          <w:rFonts w:hint="eastAsia" w:ascii="宋体" w:hAnsi="宋体" w:eastAsia="宋体" w:cs="宋体"/>
          <w:color w:val="auto"/>
          <w:szCs w:val="21"/>
          <w:highlight w:val="none"/>
          <w:lang w:val="en-US" w:eastAsia="zh-CN"/>
        </w:rPr>
        <w:t>《中华人民共和国特种设备生产许可证》（许可项目：电梯制造（含安装、修理、改造），许可等级满足：曳引驱动乘客电梯（含消防员电梯）B级及以上资质</w:t>
      </w:r>
      <w:bookmarkEnd w:id="3"/>
      <w:r>
        <w:rPr>
          <w:rFonts w:hint="eastAsia" w:ascii="宋体" w:hAnsi="宋体" w:eastAsia="宋体" w:cs="宋体"/>
          <w:color w:val="auto"/>
          <w:szCs w:val="21"/>
          <w:highlight w:val="none"/>
          <w:lang w:val="en-US" w:eastAsia="zh-CN"/>
        </w:rPr>
        <w:t>。</w:t>
      </w:r>
    </w:p>
    <w:p>
      <w:pPr>
        <w:numPr>
          <w:ilvl w:val="0"/>
          <w:numId w:val="9"/>
        </w:num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投标人若为代理商：</w:t>
      </w:r>
    </w:p>
    <w:p>
      <w:pPr>
        <w:spacing w:line="440" w:lineRule="exact"/>
        <w:ind w:firstLine="420" w:firstLineChars="200"/>
        <w:rPr>
          <w:rFonts w:hint="eastAsia" w:ascii="宋体" w:hAnsi="宋体" w:cs="宋体"/>
          <w:color w:val="auto"/>
          <w:szCs w:val="21"/>
          <w:highlight w:val="none"/>
          <w:lang w:val="en-US" w:eastAsia="zh-CN"/>
        </w:rPr>
      </w:pPr>
      <w:bookmarkStart w:id="4" w:name="OLE_LINK4"/>
      <w:r>
        <w:rPr>
          <w:rFonts w:hint="eastAsia" w:ascii="宋体" w:hAnsi="宋体" w:cs="宋体"/>
          <w:color w:val="auto"/>
          <w:szCs w:val="21"/>
          <w:highlight w:val="none"/>
          <w:lang w:val="en-US" w:eastAsia="zh-CN"/>
        </w:rPr>
        <w:t>提供其行业主管部门核发有效的《中华人民共和国特种设备安装改造维修许可证》（电梯），许可等级满足：乘客电梯安装B级及以上资质或提供其行业主管部门核发有效的《中华人民共和国特种设备生产许可证》（许可项目：电梯安装（含修理），许可等级满足：曳引驱动乘客电梯B级及以上资质；同时提供所投产品制造商其行业主管部门核发有效的《中华人民共和国特种设备制造许可证》（电梯），许可等级满足：乘客电梯（曳引式客梯B级及以上）且提供有效的《中华人民共和国特种设备安装改造维修许可证》（电梯），许可等级满足：乘客电梯安装B级及以上资质。或提供行业主管部门核发有效的《中华人民共和国特种设备生产许可证》（许可项目：电梯制造（含安装、修理、改造），许可等级满足：曳引驱动乘客电梯（含消防员电梯）B级及以上资质。</w:t>
      </w:r>
    </w:p>
    <w:bookmarkEnd w:id="4"/>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3.2项目负责人要求：拟派项目负责人须具备相关质量技术监督部门颁发的《特种设备作业人员证》（作业种类为T类），提供</w:t>
      </w:r>
      <w:r>
        <w:rPr>
          <w:rFonts w:hint="eastAsia" w:ascii="宋体" w:hAnsi="宋体" w:cs="宋体"/>
          <w:color w:val="auto"/>
          <w:szCs w:val="21"/>
          <w:highlight w:val="none"/>
          <w:lang w:val="en-US" w:eastAsia="zh-CN"/>
        </w:rPr>
        <w:t>由政府社保部门出具的在投标人本单位</w:t>
      </w:r>
      <w:r>
        <w:rPr>
          <w:rFonts w:hint="eastAsia" w:ascii="宋体" w:hAnsi="宋体" w:eastAsia="宋体" w:cs="宋体"/>
          <w:color w:val="auto"/>
          <w:szCs w:val="21"/>
          <w:highlight w:val="none"/>
          <w:lang w:val="en-US" w:eastAsia="zh-CN"/>
        </w:rPr>
        <w:t>社保缴费证明(2026年1月1日以来任意1个月缴费证明)。</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财务要求：提供近</w:t>
      </w:r>
      <w:r>
        <w:rPr>
          <w:rFonts w:hint="eastAsia" w:ascii="宋体" w:hAnsi="宋体" w:eastAsia="宋体" w:cs="宋体"/>
          <w:color w:val="auto"/>
          <w:szCs w:val="21"/>
          <w:highlight w:val="none"/>
          <w:lang w:val="en-US" w:eastAsia="zh-CN"/>
        </w:rPr>
        <w:t>三</w:t>
      </w:r>
      <w:r>
        <w:rPr>
          <w:rFonts w:hint="eastAsia" w:ascii="宋体" w:hAnsi="宋体" w:eastAsia="宋体" w:cs="宋体"/>
          <w:color w:val="auto"/>
          <w:szCs w:val="21"/>
          <w:highlight w:val="none"/>
        </w:rPr>
        <w:t>年（202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年-202</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经审计</w:t>
      </w:r>
      <w:r>
        <w:rPr>
          <w:rFonts w:hint="eastAsia" w:ascii="宋体" w:hAnsi="宋体" w:eastAsia="宋体" w:cs="宋体"/>
          <w:color w:val="auto"/>
          <w:szCs w:val="21"/>
          <w:highlight w:val="none"/>
        </w:rPr>
        <w:t>的财务报表（含资产负债表、利润表、现金流量表等），成立少于二年的公司，应提供成立以来的财务报表。</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业绩要求：</w:t>
      </w:r>
      <w:r>
        <w:rPr>
          <w:rFonts w:hint="eastAsia" w:ascii="宋体" w:hAnsi="宋体" w:eastAsia="宋体" w:cs="宋体"/>
          <w:color w:val="auto"/>
          <w:szCs w:val="21"/>
          <w:highlight w:val="none"/>
          <w:lang w:val="en-US" w:eastAsia="zh-CN"/>
        </w:rPr>
        <w:t>投标人具有近三年（2024年1月1日至</w:t>
      </w:r>
      <w:r>
        <w:rPr>
          <w:rFonts w:hint="eastAsia" w:ascii="宋体" w:hAnsi="宋体" w:cs="宋体"/>
          <w:color w:val="auto"/>
          <w:szCs w:val="21"/>
          <w:highlight w:val="none"/>
          <w:lang w:val="en-US" w:eastAsia="zh-CN"/>
        </w:rPr>
        <w:t>投标截止日</w:t>
      </w:r>
      <w:r>
        <w:rPr>
          <w:rFonts w:hint="eastAsia" w:ascii="宋体" w:hAnsi="宋体" w:eastAsia="宋体" w:cs="宋体"/>
          <w:color w:val="auto"/>
          <w:szCs w:val="21"/>
          <w:highlight w:val="none"/>
          <w:lang w:val="en-US" w:eastAsia="zh-CN"/>
        </w:rPr>
        <w:t>）类似项目业绩1项，类似项目是指：电梯改造</w:t>
      </w:r>
      <w:r>
        <w:rPr>
          <w:rFonts w:hint="eastAsia" w:ascii="宋体" w:hAnsi="宋体" w:cs="宋体"/>
          <w:color w:val="auto"/>
          <w:szCs w:val="21"/>
          <w:highlight w:val="none"/>
          <w:lang w:val="en-US" w:eastAsia="zh-CN"/>
        </w:rPr>
        <w:t>或销售或安装</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业绩（投标时需提供供货合同扫描件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业绩时间以合同签订时间为准</w:t>
      </w:r>
      <w:r>
        <w:rPr>
          <w:rFonts w:hint="eastAsia" w:ascii="宋体" w:hAnsi="宋体" w:eastAsia="宋体" w:cs="宋体"/>
          <w:color w:val="auto"/>
          <w:szCs w:val="21"/>
          <w:highlight w:val="none"/>
        </w:rPr>
        <w:t>）。</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信誉要求：</w:t>
      </w:r>
    </w:p>
    <w:p>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3.4.1投标人信誉良好，没有处于被责令停业，暂停或取消投标资格，财产被接管或冻结，破产状态，在最近三年内（202</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年1月1日至今）没有骗取中标或严重违约或重大质量问题，无行贿等不良记录（提供承诺书）</w:t>
      </w:r>
      <w:r>
        <w:rPr>
          <w:rFonts w:hint="eastAsia" w:ascii="宋体" w:hAnsi="宋体" w:eastAsia="宋体" w:cs="宋体"/>
          <w:color w:val="auto"/>
          <w:szCs w:val="21"/>
          <w:highlight w:val="none"/>
          <w:lang w:eastAsia="zh-CN"/>
        </w:rPr>
        <w:t>。</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3.4.2投标人未被列入“信用中国”网站（www.creditchina.gov.cn）的失信被执行人名单（提供查询结果网页截图，查询时间为招标公告发布至投标文件递交截止时间</w:t>
      </w:r>
      <w:r>
        <w:rPr>
          <w:rFonts w:hint="eastAsia" w:ascii="宋体" w:hAnsi="宋体" w:eastAsia="宋体" w:cs="宋体"/>
          <w:color w:val="auto"/>
          <w:szCs w:val="21"/>
          <w:highlight w:val="none"/>
          <w:lang w:val="en-US" w:eastAsia="zh-CN"/>
        </w:rPr>
        <w:t>期间</w:t>
      </w:r>
      <w:r>
        <w:rPr>
          <w:rFonts w:hint="eastAsia" w:ascii="宋体" w:hAnsi="宋体" w:eastAsia="宋体" w:cs="宋体"/>
          <w:color w:val="auto"/>
          <w:szCs w:val="21"/>
          <w:highlight w:val="none"/>
        </w:rPr>
        <w:t>）。</w:t>
      </w:r>
    </w:p>
    <w:p>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3.4.3投标人未被列入“国家企业信用信息公示系统”（www.gsxt.gov.cn）的严重违法失信企业名单（提供查询结果网页截图，查询时间为招标公告发布至投标文件递交截止时间</w:t>
      </w:r>
      <w:r>
        <w:rPr>
          <w:rFonts w:hint="eastAsia" w:ascii="宋体" w:hAnsi="宋体" w:eastAsia="宋体" w:cs="宋体"/>
          <w:color w:val="auto"/>
          <w:szCs w:val="21"/>
          <w:highlight w:val="none"/>
          <w:lang w:val="en-US" w:eastAsia="zh-CN"/>
        </w:rPr>
        <w:t>期间</w:t>
      </w:r>
      <w:r>
        <w:rPr>
          <w:rFonts w:hint="eastAsia" w:ascii="宋体" w:hAnsi="宋体" w:eastAsia="宋体" w:cs="宋体"/>
          <w:color w:val="auto"/>
          <w:szCs w:val="21"/>
          <w:highlight w:val="none"/>
        </w:rPr>
        <w:t>）。</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3.5本项目不接受联合体投标。</w:t>
      </w:r>
      <w:r>
        <w:rPr>
          <w:rFonts w:hint="eastAsia" w:ascii="宋体" w:hAnsi="宋体" w:eastAsia="宋体" w:cs="宋体"/>
          <w:color w:val="auto"/>
          <w:szCs w:val="21"/>
          <w:highlight w:val="none"/>
        </w:rPr>
        <w:tab/>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3.6本次招标资格审查：资格后审。</w:t>
      </w:r>
    </w:p>
    <w:p>
      <w:pPr>
        <w:keepNext/>
        <w:keepLines/>
        <w:spacing w:line="440" w:lineRule="exact"/>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4. 招标文件的获取</w:t>
      </w:r>
      <w:r>
        <w:rPr>
          <w:rFonts w:hint="eastAsia" w:ascii="宋体" w:hAnsi="宋体" w:eastAsia="宋体" w:cs="宋体"/>
          <w:b/>
          <w:color w:val="auto"/>
          <w:szCs w:val="21"/>
          <w:highlight w:val="none"/>
          <w:lang w:val="en-US" w:eastAsia="zh-CN"/>
        </w:rPr>
        <w:t xml:space="preserve">    </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4.1凡有意参加投标者，请以网上公告时间为准，登录云南省公共资源交易信息网全国公共资源交易平台(云南省)（https://ggzy.yn.gov.cn），选择地区：</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，进入</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公共资源交易电子服务系统全国公共资源交易平台(云南省·</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)，凭企业数字证书（CA）在网上获取招标文件及其它招标资料。未办理企业数字证书（CA）的企业需要按照云南省公共资源交易电子认证的要求，办理企业数字证书（CA），并在</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AUTOTEXT  input423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云南省公共资源交易中心网</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完成注册通过后，便可获取招标文件，此为获取招标文件的唯一途径。（企业数字证书（CA）办理：云南省公共资源交易中心→服务指南→云南CA数字证书办理流程（省本级）办理）</w:t>
      </w:r>
    </w:p>
    <w:p>
      <w:pPr>
        <w:keepNext w:val="0"/>
        <w:keepLines w:val="0"/>
        <w:pageBreakBefore w:val="0"/>
        <w:widowControl w:val="0"/>
        <w:kinsoku/>
        <w:wordWrap/>
        <w:overflowPunct/>
        <w:topLinePunct w:val="0"/>
        <w:autoSpaceDE/>
        <w:autoSpaceDN/>
        <w:bidi w:val="0"/>
        <w:adjustRightInd/>
        <w:snapToGrid/>
        <w:spacing w:line="480" w:lineRule="auto"/>
        <w:ind w:firstLine="638" w:firstLineChars="266"/>
        <w:textAlignment w:val="auto"/>
        <w:rPr>
          <w:rFonts w:ascii="宋体" w:hAnsi="宋体" w:cs="宋体"/>
          <w:color w:val="auto"/>
          <w:sz w:val="24"/>
          <w:szCs w:val="24"/>
          <w:highlight w:val="none"/>
        </w:rPr>
      </w:pPr>
      <w:r>
        <w:rPr>
          <w:rFonts w:hint="eastAsia" w:ascii="宋体" w:hAnsi="宋体" w:cs="宋体"/>
          <w:color w:val="auto"/>
          <w:sz w:val="24"/>
          <w:szCs w:val="24"/>
          <w:highlight w:val="none"/>
        </w:rPr>
        <w:t>交易平台技术支持服务电话：020-22043119；在线服务QQ：4009618998。</w:t>
      </w:r>
    </w:p>
    <w:p>
      <w:pPr>
        <w:keepNext/>
        <w:keepLines/>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 投标文件的递交</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5.1投标文件递交的截止时间以网上公告时间为准。</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5.2网上递交：投标人在提交投标文件截止时间前，首先应将电子投标文件上传到云南省公共资源交易信息网全国公共资源交易平台(云南省)（https://ggzy.yn.gov.cn），选择地区：</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，进入</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公共资源交易电子服务系统全国公共资源交易平台(云南省·</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投标人须在投标截止时间前完成所有投标文件的上传。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5.3本项目采用网上智能开标远程解密。投标人登录云南省公共资源交易信息网全国公共资源交易平台(云南省)（https://ggzy.yn.gov.cn），选择地区：</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，进入</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公共资源交易电子服务系统全国公共资源交易平台(云南省·</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按照《网上智能开标远程解密操作指南（投标人）》完成远程解密、查看开标一览表等相关操作。本项目解密时间为１小时，若投标人未在规定时间完成以上解密，则视为撤销其投标文件，不再进入评标阶段。</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因开标系统、开场网络、设备及其他特殊原因，导致不能正常解密投标文件的，经核实和上报相关部门同意后，可再次下达网上解密指令来延长解密时间。</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开标过程中如有问题，可以在线提出异议，由代理机构给予对应的回复。在规定的统一提出异议时间内不提出异议的，则视为对开标结果无异议。</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5.4到规定解密截止时间后已解密的投标人不足三家的，按规定重新招标。</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5.5招标文件内容、公告与本条规定有冲突的地方以本条规定为准。</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技术操作咨询：北京筑龙信息技术有限责任公司</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服务热线：020-22043119，QQ：4009618998</w:t>
      </w:r>
    </w:p>
    <w:p>
      <w:pPr>
        <w:keepNext/>
        <w:keepLines/>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6. 发布公告的媒介</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本次招标公告在云南省公共资源交易信息网全国公共资源交易平台(云南省)（https://ggzy.yn.gov.cn），选择地区：</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，进入</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公共资源交易电子服务系统全国公共资源交易平台(云南省·</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)上发布。</w:t>
      </w:r>
    </w:p>
    <w:p>
      <w:pPr>
        <w:keepNext/>
        <w:keepLines/>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 联系方式</w:t>
      </w:r>
    </w:p>
    <w:p>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招 标 人：</w:t>
      </w:r>
      <w:r>
        <w:rPr>
          <w:rFonts w:hint="eastAsia" w:ascii="宋体" w:hAnsi="宋体" w:cs="宋体"/>
          <w:color w:val="auto"/>
          <w:szCs w:val="21"/>
          <w:highlight w:val="none"/>
          <w:lang w:eastAsia="zh-CN"/>
        </w:rPr>
        <w:t>云南昆钢兴达物业服务有限公司</w:t>
      </w:r>
    </w:p>
    <w:p>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    址：云南省</w:t>
      </w:r>
      <w:r>
        <w:rPr>
          <w:rFonts w:hint="eastAsia" w:ascii="宋体" w:hAnsi="宋体" w:eastAsia="宋体" w:cs="宋体"/>
          <w:color w:val="auto"/>
          <w:szCs w:val="21"/>
          <w:highlight w:val="none"/>
          <w:lang w:val="en-US" w:eastAsia="zh-CN"/>
        </w:rPr>
        <w:t>安宁市</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编：65</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02</w:t>
      </w:r>
      <w:r>
        <w:rPr>
          <w:rFonts w:hint="eastAsia" w:ascii="宋体" w:hAnsi="宋体" w:eastAsia="宋体" w:cs="宋体"/>
          <w:color w:val="auto"/>
          <w:szCs w:val="21"/>
          <w:highlight w:val="none"/>
        </w:rPr>
        <w:t xml:space="preserve">     </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r>
        <w:rPr>
          <w:rFonts w:hint="eastAsia" w:ascii="宋体" w:hAnsi="宋体" w:cs="宋体"/>
          <w:color w:val="auto"/>
          <w:szCs w:val="21"/>
          <w:highlight w:val="none"/>
          <w:lang w:val="en-US" w:eastAsia="zh-CN"/>
        </w:rPr>
        <w:t>杨俊</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电    话：</w:t>
      </w:r>
      <w:r>
        <w:rPr>
          <w:rFonts w:hint="eastAsia" w:ascii="宋体" w:hAnsi="宋体" w:cs="宋体"/>
          <w:color w:val="auto"/>
          <w:szCs w:val="21"/>
          <w:highlight w:val="none"/>
          <w:lang w:val="en-US" w:eastAsia="zh-CN"/>
        </w:rPr>
        <w:t>13529019631</w:t>
      </w:r>
      <w:r>
        <w:rPr>
          <w:rFonts w:hint="eastAsia" w:ascii="宋体" w:hAnsi="宋体" w:eastAsia="宋体" w:cs="宋体"/>
          <w:color w:val="auto"/>
          <w:szCs w:val="21"/>
          <w:highlight w:val="none"/>
          <w:lang w:val="en-US" w:eastAsia="zh-CN"/>
        </w:rPr>
        <w:t xml:space="preserve"> </w:t>
      </w:r>
    </w:p>
    <w:p>
      <w:pPr>
        <w:spacing w:line="440" w:lineRule="exact"/>
        <w:ind w:firstLine="420" w:firstLineChars="200"/>
        <w:rPr>
          <w:rFonts w:hint="eastAsia" w:ascii="宋体" w:hAnsi="宋体" w:eastAsia="宋体" w:cs="宋体"/>
          <w:color w:val="auto"/>
          <w:szCs w:val="21"/>
          <w:highlight w:val="none"/>
          <w:lang w:val="en-US" w:eastAsia="zh-CN"/>
        </w:rPr>
      </w:pPr>
      <w:bookmarkStart w:id="5" w:name="OLE_LINK1"/>
      <w:r>
        <w:rPr>
          <w:rFonts w:hint="eastAsia" w:ascii="宋体" w:hAnsi="宋体" w:eastAsia="宋体" w:cs="宋体"/>
          <w:color w:val="auto"/>
          <w:szCs w:val="21"/>
          <w:highlight w:val="none"/>
          <w:lang w:val="en-US" w:eastAsia="zh-CN"/>
        </w:rPr>
        <w:t>投诉电话（异议渠道电话）</w:t>
      </w:r>
      <w:bookmarkEnd w:id="5"/>
      <w:r>
        <w:rPr>
          <w:rFonts w:hint="eastAsia" w:ascii="宋体" w:hAnsi="宋体" w:eastAsia="宋体" w:cs="宋体"/>
          <w:color w:val="auto"/>
          <w:szCs w:val="21"/>
          <w:highlight w:val="none"/>
          <w:lang w:val="en-US" w:eastAsia="zh-CN"/>
        </w:rPr>
        <w:t>：15096713652</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 标 代 理 机 构：上海宝华国际招标有限公司</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址：云南省安宁市昆钢</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编：650302  </w:t>
      </w:r>
    </w:p>
    <w:p>
      <w:pPr>
        <w:spacing w:line="440" w:lineRule="exact"/>
        <w:ind w:firstLine="420" w:firstLineChars="200"/>
        <w:rPr>
          <w:rFonts w:hint="default" w:ascii="宋体" w:hAnsi="宋体" w:cs="宋体"/>
          <w:color w:val="auto"/>
          <w:szCs w:val="21"/>
          <w:highlight w:val="none"/>
          <w:lang w:val="en-US" w:eastAsia="zh-CN"/>
        </w:rPr>
      </w:pPr>
      <w:r>
        <w:rPr>
          <w:rFonts w:hint="eastAsia" w:ascii="宋体" w:hAnsi="宋体" w:eastAsia="宋体" w:cs="宋体"/>
          <w:color w:val="auto"/>
          <w:szCs w:val="21"/>
          <w:highlight w:val="none"/>
        </w:rPr>
        <w:t>联 系 人：</w:t>
      </w:r>
      <w:r>
        <w:rPr>
          <w:rFonts w:hint="eastAsia" w:ascii="宋体" w:hAnsi="宋体" w:cs="宋体"/>
          <w:color w:val="auto"/>
          <w:szCs w:val="21"/>
          <w:highlight w:val="none"/>
          <w:lang w:val="en-US" w:eastAsia="zh-CN"/>
        </w:rPr>
        <w:t>罗文雅楠、孙黎黎</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电    话：0871-6860</w:t>
      </w:r>
      <w:r>
        <w:rPr>
          <w:rFonts w:hint="eastAsia" w:ascii="宋体" w:hAnsi="宋体" w:eastAsia="宋体" w:cs="宋体"/>
          <w:color w:val="auto"/>
          <w:szCs w:val="21"/>
          <w:highlight w:val="none"/>
          <w:lang w:val="en-US" w:eastAsia="zh-CN"/>
        </w:rPr>
        <w:t>7044</w:t>
      </w:r>
    </w:p>
    <w:p>
      <w:pPr>
        <w:spacing w:line="440" w:lineRule="exact"/>
        <w:ind w:firstLine="420" w:firstLineChars="200"/>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传    真：</w:t>
      </w:r>
      <w:r>
        <w:rPr>
          <w:rFonts w:hint="eastAsia" w:ascii="宋体" w:hAnsi="宋体" w:cs="宋体"/>
          <w:color w:val="auto"/>
          <w:szCs w:val="21"/>
          <w:highlight w:val="none"/>
          <w:lang w:val="en-US" w:eastAsia="zh-CN"/>
        </w:rPr>
        <w:t>/</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电子邮件：</w:t>
      </w:r>
      <w:r>
        <w:rPr>
          <w:rFonts w:hint="eastAsia" w:ascii="宋体" w:hAnsi="宋体" w:cs="宋体"/>
          <w:color w:val="auto"/>
          <w:szCs w:val="21"/>
          <w:highlight w:val="none"/>
          <w:lang w:val="en-US" w:eastAsia="zh-CN"/>
        </w:rPr>
        <w:t>912007159</w:t>
      </w:r>
      <w:r>
        <w:rPr>
          <w:rFonts w:hint="eastAsia" w:ascii="宋体" w:hAnsi="宋体" w:eastAsia="宋体" w:cs="宋体"/>
          <w:color w:val="auto"/>
          <w:szCs w:val="21"/>
          <w:highlight w:val="none"/>
        </w:rPr>
        <w:t>@qq.com</w:t>
      </w:r>
    </w:p>
    <w:p>
      <w:pPr>
        <w:spacing w:line="440" w:lineRule="exact"/>
        <w:ind w:firstLine="420" w:firstLineChars="200"/>
        <w:rPr>
          <w:rFonts w:hint="eastAsia" w:ascii="宋体" w:hAnsi="宋体" w:eastAsia="宋体" w:cs="宋体"/>
          <w:color w:val="auto"/>
          <w:szCs w:val="21"/>
          <w:highlight w:val="none"/>
        </w:rPr>
      </w:pP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交易平台技术支持：北京筑龙信息技术有限责任公司</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咨询服务电话：020-22043119</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技术支持QQ：4009618998</w:t>
      </w:r>
    </w:p>
    <w:p>
      <w:pPr>
        <w:numPr>
          <w:ilvl w:val="0"/>
          <w:numId w:val="10"/>
        </w:numPr>
        <w:spacing w:line="440" w:lineRule="exact"/>
        <w:jc w:val="center"/>
        <w:outlineLvl w:val="0"/>
        <w:rPr>
          <w:rFonts w:hint="eastAsia" w:ascii="宋体" w:hAnsi="宋体" w:eastAsia="宋体" w:cs="宋体"/>
          <w:b/>
          <w:color w:val="auto"/>
          <w:sz w:val="44"/>
          <w:highlight w:val="none"/>
        </w:rPr>
      </w:pPr>
      <w:r>
        <w:rPr>
          <w:rFonts w:hint="eastAsia" w:ascii="宋体" w:hAnsi="宋体" w:eastAsia="宋体" w:cs="宋体"/>
          <w:color w:val="auto"/>
          <w:szCs w:val="21"/>
          <w:highlight w:val="none"/>
        </w:rPr>
        <w:br w:type="page"/>
      </w:r>
      <w:bookmarkStart w:id="6" w:name="_Toc18353"/>
      <w:bookmarkStart w:id="7" w:name="_Toc8665"/>
      <w:r>
        <w:rPr>
          <w:rFonts w:hint="eastAsia" w:ascii="宋体" w:hAnsi="宋体" w:eastAsia="宋体" w:cs="宋体"/>
          <w:b/>
          <w:color w:val="auto"/>
          <w:sz w:val="44"/>
          <w:highlight w:val="none"/>
        </w:rPr>
        <w:t>投标人须知</w:t>
      </w:r>
      <w:bookmarkEnd w:id="6"/>
      <w:bookmarkEnd w:id="7"/>
    </w:p>
    <w:p>
      <w:pPr>
        <w:spacing w:after="240"/>
        <w:jc w:val="center"/>
        <w:rPr>
          <w:rFonts w:hint="eastAsia" w:ascii="宋体" w:hAnsi="宋体" w:eastAsia="宋体" w:cs="宋体"/>
          <w:b/>
          <w:bCs/>
          <w:color w:val="auto"/>
          <w:sz w:val="32"/>
          <w:szCs w:val="36"/>
          <w:highlight w:val="none"/>
        </w:rPr>
      </w:pPr>
      <w:r>
        <w:rPr>
          <w:rFonts w:hint="eastAsia" w:ascii="宋体" w:hAnsi="宋体" w:eastAsia="宋体" w:cs="宋体"/>
          <w:b/>
          <w:bCs/>
          <w:color w:val="auto"/>
          <w:sz w:val="32"/>
          <w:szCs w:val="36"/>
          <w:highlight w:val="none"/>
        </w:rPr>
        <w:t>投标人须知前附表</w:t>
      </w:r>
    </w:p>
    <w:tbl>
      <w:tblPr>
        <w:tblStyle w:val="45"/>
        <w:tblW w:w="9736" w:type="dxa"/>
        <w:tblInd w:w="0" w:type="dxa"/>
        <w:tblLayout w:type="fixed"/>
        <w:tblCellMar>
          <w:top w:w="0" w:type="dxa"/>
          <w:left w:w="10" w:type="dxa"/>
          <w:bottom w:w="0" w:type="dxa"/>
          <w:right w:w="10" w:type="dxa"/>
        </w:tblCellMar>
      </w:tblPr>
      <w:tblGrid>
        <w:gridCol w:w="922"/>
        <w:gridCol w:w="1754"/>
        <w:gridCol w:w="7060"/>
      </w:tblGrid>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pStyle w:val="14"/>
              <w:spacing w:line="320" w:lineRule="exact"/>
              <w:ind w:left="0" w:leftChars="0"/>
              <w:jc w:val="left"/>
              <w:rPr>
                <w:rFonts w:hint="eastAsia" w:ascii="宋体" w:hAnsi="宋体" w:eastAsia="宋体" w:cs="宋体"/>
                <w:color w:val="auto"/>
                <w:szCs w:val="21"/>
                <w:highlight w:val="none"/>
              </w:rPr>
            </w:pPr>
            <w:r>
              <w:rPr>
                <w:rFonts w:hint="eastAsia" w:ascii="宋体" w:hAnsi="宋体" w:eastAsia="宋体" w:cs="宋体"/>
                <w:b/>
                <w:color w:val="auto"/>
                <w:sz w:val="32"/>
                <w:highlight w:val="none"/>
              </w:rPr>
              <w:br w:type="page"/>
            </w:r>
            <w:r>
              <w:rPr>
                <w:rFonts w:hint="eastAsia" w:ascii="宋体" w:hAnsi="宋体" w:eastAsia="宋体" w:cs="宋体"/>
                <w:b/>
                <w:color w:val="auto"/>
                <w:szCs w:val="21"/>
                <w:highlight w:val="none"/>
              </w:rPr>
              <w:t>条款号</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条款名称</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编列内容</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名称：</w:t>
            </w:r>
            <w:r>
              <w:rPr>
                <w:rFonts w:hint="eastAsia" w:ascii="宋体" w:hAnsi="宋体" w:cs="宋体"/>
                <w:color w:val="auto"/>
                <w:szCs w:val="21"/>
                <w:highlight w:val="none"/>
                <w:lang w:eastAsia="zh-CN"/>
              </w:rPr>
              <w:t>云南昆钢兴达物业服务有限公司</w:t>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地址：云南省</w:t>
            </w:r>
            <w:r>
              <w:rPr>
                <w:rFonts w:hint="eastAsia" w:ascii="宋体" w:hAnsi="宋体" w:eastAsia="宋体" w:cs="宋体"/>
                <w:color w:val="auto"/>
                <w:szCs w:val="21"/>
                <w:highlight w:val="none"/>
                <w:lang w:val="en-US" w:eastAsia="zh-CN"/>
              </w:rPr>
              <w:t>安宁市</w:t>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 </w:t>
            </w:r>
            <w:r>
              <w:rPr>
                <w:rFonts w:hint="eastAsia" w:ascii="宋体" w:hAnsi="宋体" w:cs="宋体"/>
                <w:color w:val="auto"/>
                <w:szCs w:val="21"/>
                <w:highlight w:val="none"/>
                <w:lang w:val="en-US" w:eastAsia="zh-CN"/>
              </w:rPr>
              <w:t>杨俊</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w:t>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cs="宋体"/>
                <w:color w:val="auto"/>
                <w:szCs w:val="21"/>
                <w:highlight w:val="none"/>
                <w:lang w:val="en-US" w:eastAsia="zh-CN"/>
              </w:rPr>
              <w:t>13529019631</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招标代理机构</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名称：上海宝华国际招标有限公司</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地址：云南省安宁市昆钢</w:t>
            </w:r>
          </w:p>
          <w:p>
            <w:pPr>
              <w:spacing w:line="32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联系人：</w:t>
            </w:r>
            <w:r>
              <w:rPr>
                <w:rFonts w:hint="eastAsia" w:ascii="宋体" w:hAnsi="宋体" w:cs="宋体"/>
                <w:color w:val="auto"/>
                <w:szCs w:val="21"/>
                <w:highlight w:val="none"/>
                <w:lang w:val="en-US" w:eastAsia="zh-CN"/>
              </w:rPr>
              <w:t>罗文雅楠、孙黎黎</w:t>
            </w:r>
          </w:p>
          <w:p>
            <w:pPr>
              <w:spacing w:line="32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电话：0871-6860</w:t>
            </w:r>
            <w:r>
              <w:rPr>
                <w:rFonts w:hint="eastAsia" w:ascii="宋体" w:hAnsi="宋体" w:eastAsia="宋体" w:cs="宋体"/>
                <w:color w:val="auto"/>
                <w:szCs w:val="21"/>
                <w:highlight w:val="none"/>
                <w:lang w:val="en-US" w:eastAsia="zh-CN"/>
              </w:rPr>
              <w:t>7044</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招标项目名称</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"javascript:;" \o "云南昆钢兴达物业服务有限公司2026年西山区怡芳苑小区老旧电梯更新更换项目"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color w:val="auto"/>
                <w:szCs w:val="21"/>
                <w:highlight w:val="none"/>
                <w:lang w:val="en-US" w:eastAsia="zh-CN"/>
              </w:rPr>
              <w:t>西山区怡芳苑</w:t>
            </w:r>
            <w:r>
              <w:rPr>
                <w:rFonts w:hint="eastAsia" w:ascii="宋体" w:hAnsi="宋体" w:eastAsia="宋体" w:cs="宋体"/>
                <w:color w:val="auto"/>
                <w:szCs w:val="21"/>
                <w:highlight w:val="none"/>
                <w:lang w:val="en-US" w:eastAsia="zh-CN"/>
              </w:rPr>
              <w:fldChar w:fldCharType="end"/>
            </w:r>
            <w:r>
              <w:rPr>
                <w:rFonts w:hint="eastAsia" w:ascii="宋体" w:hAnsi="宋体" w:eastAsia="宋体" w:cs="宋体"/>
                <w:color w:val="auto"/>
                <w:szCs w:val="21"/>
                <w:highlight w:val="none"/>
                <w:lang w:val="en-US" w:eastAsia="zh-CN"/>
              </w:rPr>
              <w:t>小区老旧电梯更新更换项目</w:t>
            </w: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"javascript:;"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color w:val="auto"/>
                <w:szCs w:val="21"/>
                <w:highlight w:val="none"/>
                <w:lang w:val="en-US" w:eastAsia="zh-CN"/>
              </w:rPr>
              <w:fldChar w:fldCharType="end"/>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1.1.5</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工程项目名称</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资金来源及比例</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政府投资+</w:t>
            </w:r>
            <w:r>
              <w:rPr>
                <w:rFonts w:hint="eastAsia" w:ascii="宋体" w:hAnsi="宋体" w:eastAsia="宋体" w:cs="宋体"/>
                <w:color w:val="auto"/>
                <w:szCs w:val="21"/>
                <w:highlight w:val="none"/>
              </w:rPr>
              <w:t>自筹</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资金落实情况</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已落实</w:t>
            </w:r>
          </w:p>
        </w:tc>
      </w:tr>
      <w:tr>
        <w:tblPrEx>
          <w:tblCellMar>
            <w:top w:w="0" w:type="dxa"/>
            <w:left w:w="10" w:type="dxa"/>
            <w:bottom w:w="0" w:type="dxa"/>
            <w:right w:w="10" w:type="dxa"/>
          </w:tblCellMar>
        </w:tblPrEx>
        <w:trPr>
          <w:trHeight w:val="90"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招标范围</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完成西山区怡芳苑小区1-9栋（23部）电梯,共计23台电梯的采购、安装、调试、验收等工作及老旧电梯的拆除（电梯残值依据第三方评估公司附件为准）工作。具体要求请详见第五章“技术要求”。</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项目完成时间</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合同签订生效之日起</w:t>
            </w:r>
            <w:r>
              <w:rPr>
                <w:rFonts w:hint="eastAsia" w:ascii="宋体" w:hAnsi="宋体" w:cs="宋体"/>
                <w:color w:val="auto"/>
                <w:szCs w:val="21"/>
                <w:highlight w:val="none"/>
                <w:lang w:val="en-US" w:eastAsia="zh-CN"/>
              </w:rPr>
              <w:t>90</w:t>
            </w:r>
            <w:r>
              <w:rPr>
                <w:rFonts w:hint="eastAsia" w:ascii="宋体" w:hAnsi="宋体" w:eastAsia="宋体" w:cs="宋体"/>
                <w:color w:val="auto"/>
                <w:szCs w:val="21"/>
                <w:highlight w:val="none"/>
                <w:lang w:val="en-US" w:eastAsia="zh-CN"/>
              </w:rPr>
              <w:t>日历天内</w:t>
            </w:r>
            <w:r>
              <w:rPr>
                <w:rFonts w:hint="eastAsia" w:ascii="宋体" w:hAnsi="宋体" w:cs="宋体"/>
                <w:color w:val="auto"/>
                <w:szCs w:val="21"/>
                <w:highlight w:val="none"/>
                <w:lang w:val="en-US" w:eastAsia="zh-CN"/>
              </w:rPr>
              <w:t>。</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项目地点</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西山区怡芳苑小区</w:t>
            </w:r>
            <w:r>
              <w:rPr>
                <w:rFonts w:hint="eastAsia" w:ascii="宋体" w:hAnsi="宋体" w:eastAsia="宋体" w:cs="宋体"/>
                <w:color w:val="auto"/>
                <w:szCs w:val="21"/>
                <w:highlight w:val="none"/>
                <w:lang w:val="en-US" w:eastAsia="zh-CN"/>
              </w:rPr>
              <w:t>现场</w:t>
            </w:r>
            <w:r>
              <w:rPr>
                <w:rFonts w:hint="eastAsia" w:ascii="宋体" w:hAnsi="宋体" w:cs="宋体"/>
                <w:color w:val="auto"/>
                <w:szCs w:val="21"/>
                <w:highlight w:val="none"/>
                <w:lang w:val="en-US" w:eastAsia="zh-CN"/>
              </w:rPr>
              <w:t>。</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1.3.4</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highlight w:val="none"/>
                <w:lang w:eastAsia="en-US"/>
              </w:rPr>
              <w:t>质量</w:t>
            </w:r>
            <w:r>
              <w:rPr>
                <w:rFonts w:hint="eastAsia" w:ascii="宋体" w:hAnsi="宋体" w:eastAsia="宋体" w:cs="宋体"/>
                <w:color w:val="auto"/>
                <w:highlight w:val="none"/>
              </w:rPr>
              <w:t>要求</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符合现行国家或行业验收规范</w:t>
            </w:r>
            <w:r>
              <w:rPr>
                <w:rFonts w:hint="eastAsia" w:ascii="宋体" w:hAnsi="宋体" w:eastAsia="宋体" w:cs="宋体"/>
                <w:color w:val="auto"/>
                <w:szCs w:val="21"/>
                <w:highlight w:val="none"/>
              </w:rPr>
              <w:t>、一次验收合格。</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1.3.5</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质量保证期</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电梯整体质量保证期及免费保养期限不低于自监督检验合格之日起</w:t>
            </w:r>
            <w:r>
              <w:rPr>
                <w:rFonts w:hint="eastAsia" w:ascii="宋体" w:hAnsi="宋体" w:eastAsia="宋体" w:cs="宋体"/>
                <w:color w:val="auto"/>
                <w:szCs w:val="21"/>
                <w:highlight w:val="none"/>
                <w:lang w:val="en-US" w:eastAsia="zh-CN"/>
              </w:rPr>
              <w:t>24个月。</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投标人资质条件、能力、信誉</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投标人须是中国境内依法成立的法人或其他组织，具有有效的营业执照等证明文件，具备供货能力的制造商或代理商，代理商投标的须提供制造商出具的针对本项目的唯一授权函。一个制造商对同一品牌同一型号的设备，仅能委托一个代理商参加投标。</w:t>
            </w:r>
          </w:p>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2）投标人若为电梯制造商</w:t>
            </w:r>
          </w:p>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提供行业主管部门核发有效的《中华人民共和国特种设备制造许可证》（电梯），许可等级满足：乘客电梯（曳引式客梯B级及以上）且提供有效的《中华人民共和国特种设备安装改造维修许可证》（电梯），许可等级满足：乘客电梯安装B级及以上资质。或提供行业主管部门核发有效的《中华人民共和国特种设备生产许可证》（许可项目：电梯制造（含安装、修理、改造），许可等级满足：曳引驱动乘客电梯（含消防员电梯）B级及以上资质。</w:t>
            </w:r>
          </w:p>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3）投标人若为代理商：</w:t>
            </w:r>
          </w:p>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提供其行业主管部门核发有效的《中华人民共和国特种设备安装改造维修许可证》（电梯），许可等级满足：乘客电梯安装B级及以上资质或提供其行业主管部门核发有效的《中华人民共和国特种设备生产许可证》（许可项目：电梯安装（含修理），许可等级满足：曳引驱动乘客电梯B级及以上资质</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同时提供所投产品制造商其行业主管部门核发有效的《中华人民共和国特种设备制造许可证》（电梯），许可等级满足：乘客电梯（曳引式客梯B级及以上）且提供有效的《中华人民共和国特种设备安装改造维修许可证》（电梯），许可等级满足：乘客电梯安装B级及以上资质。或提供行业主管部门核发有效的《中华人民共和国特种设备生产许可证》（许可项目：电梯制造（含安装、修理、改造），许可等级满足：曳引驱动乘客电梯（含消防员电梯）B级及以上资质。</w:t>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3.2项目负责人要求：拟派项目负责人须具备相关质量技术监督部门颁发的《特种设备作业人员证》（作业种类为T类），提供</w:t>
            </w:r>
            <w:r>
              <w:rPr>
                <w:rFonts w:hint="eastAsia" w:ascii="宋体" w:hAnsi="宋体" w:cs="宋体"/>
                <w:color w:val="auto"/>
                <w:szCs w:val="21"/>
                <w:highlight w:val="none"/>
                <w:lang w:val="en-US" w:eastAsia="zh-CN"/>
              </w:rPr>
              <w:t>由政府社保部门出具的在投标人本单位</w:t>
            </w:r>
            <w:r>
              <w:rPr>
                <w:rFonts w:hint="eastAsia" w:ascii="宋体" w:hAnsi="宋体" w:eastAsia="宋体" w:cs="宋体"/>
                <w:color w:val="auto"/>
                <w:szCs w:val="21"/>
                <w:highlight w:val="none"/>
                <w:lang w:val="en-US" w:eastAsia="zh-CN"/>
              </w:rPr>
              <w:t>社保缴费证明(2026年1月1日以来任意1个月缴费证明)。</w:t>
            </w:r>
          </w:p>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3.3财务要求：财务状况良好，并提供近三年（2023年-2025年）经审计的财务报表（含资产负债表、利润表、现金流量表等），成立少于二年的公司，应提供成立以来的财务报表。</w:t>
            </w:r>
          </w:p>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3.4业绩要求：投标人具有近三年（2024年1月1日至投标截止日）类似项目业绩1项，类似项目是指：电梯改造</w:t>
            </w:r>
            <w:r>
              <w:rPr>
                <w:rFonts w:hint="eastAsia" w:ascii="宋体" w:hAnsi="宋体" w:cs="宋体"/>
                <w:color w:val="auto"/>
                <w:szCs w:val="21"/>
                <w:highlight w:val="none"/>
                <w:lang w:val="en-US" w:eastAsia="zh-CN"/>
              </w:rPr>
              <w:t>或销售或安装</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业绩</w:t>
            </w:r>
            <w:r>
              <w:rPr>
                <w:rFonts w:hint="eastAsia" w:ascii="宋体" w:hAnsi="宋体" w:eastAsia="宋体" w:cs="宋体"/>
                <w:color w:val="auto"/>
                <w:szCs w:val="21"/>
                <w:highlight w:val="none"/>
                <w:lang w:val="en-US" w:eastAsia="zh-CN"/>
              </w:rPr>
              <w:t>（投标时需提供供货合同扫描件，业绩时间以合同签订时间为准）。</w:t>
            </w:r>
          </w:p>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3.5信誉要求：</w:t>
            </w:r>
          </w:p>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3.4.1投标人信誉良好，没有处于被责令停业，暂停或取消投标资格，财产被接管或冻结，破产状态，在最近三年内（2024年1月1日至今）没有骗取中标或严重违约或重大质量问题，无行贿等不良记录（提供承诺书）。</w:t>
            </w:r>
          </w:p>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3.4.2投标人未被列入“信用中国”网站（www.creditchina.gov.cn）的失信被执行人名单（提供查询结果网页截图，查询时间为招标公告发布至投标文件递交截止时间期间）。</w:t>
            </w:r>
          </w:p>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3.4.3投标人未被列入“国家企业信用信息公示系统”（www.gsxt.gov.cn）的严重违法失信企业名单（提供查询结果网页截图，查询时间为招标公告发布至投标文件递交截止时间期间）。</w:t>
            </w:r>
          </w:p>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3.5本项目不接受联合体投标。</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是否接受联合体投标</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不接受</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□接受，应满足下列要求：</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投标人不得存在的其他情形</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b/>
                <w:color w:val="auto"/>
                <w:sz w:val="32"/>
                <w:highlight w:val="none"/>
              </w:rPr>
            </w:pPr>
            <w:r>
              <w:rPr>
                <w:rFonts w:hint="eastAsia" w:ascii="宋体" w:hAnsi="宋体" w:eastAsia="宋体" w:cs="宋体"/>
                <w:color w:val="auto"/>
                <w:szCs w:val="21"/>
                <w:highlight w:val="none"/>
              </w:rPr>
              <w:t>/</w:t>
            </w:r>
            <w:r>
              <w:rPr>
                <w:rFonts w:hint="eastAsia" w:ascii="宋体" w:hAnsi="宋体" w:eastAsia="宋体" w:cs="宋体"/>
                <w:b/>
                <w:color w:val="auto"/>
                <w:sz w:val="32"/>
                <w:highlight w:val="none"/>
              </w:rPr>
              <w:t xml:space="preserve"> </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投标预备会</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不召开</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□召开，召开时间：/</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召开地点：/</w:t>
            </w:r>
          </w:p>
        </w:tc>
      </w:tr>
      <w:tr>
        <w:tblPrEx>
          <w:tblCellMar>
            <w:top w:w="0" w:type="dxa"/>
            <w:left w:w="10" w:type="dxa"/>
            <w:bottom w:w="0" w:type="dxa"/>
            <w:right w:w="10" w:type="dxa"/>
          </w:tblCellMar>
        </w:tblPrEx>
        <w:trPr>
          <w:trHeight w:val="1" w:hRule="atLeast"/>
        </w:trPr>
        <w:tc>
          <w:tcPr>
            <w:tcW w:w="922" w:type="dxa"/>
            <w:vMerge w:val="restart"/>
            <w:tcBorders>
              <w:top w:val="single" w:color="000000" w:sz="4" w:space="0"/>
              <w:left w:val="single" w:color="000000" w:sz="4" w:space="0"/>
              <w:bottom w:val="single" w:color="000000" w:sz="6"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w:t>
            </w:r>
          </w:p>
        </w:tc>
        <w:tc>
          <w:tcPr>
            <w:tcW w:w="1754" w:type="dxa"/>
            <w:vMerge w:val="restart"/>
            <w:tcBorders>
              <w:top w:val="single" w:color="000000" w:sz="4" w:space="0"/>
              <w:left w:val="single" w:color="000000" w:sz="4" w:space="0"/>
              <w:bottom w:val="single" w:color="000000" w:sz="6"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投标人在投标预备会前提出问题</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w:t>
            </w:r>
          </w:p>
        </w:tc>
      </w:tr>
      <w:tr>
        <w:tblPrEx>
          <w:tblCellMar>
            <w:top w:w="0" w:type="dxa"/>
            <w:left w:w="10" w:type="dxa"/>
            <w:bottom w:w="0" w:type="dxa"/>
            <w:right w:w="10" w:type="dxa"/>
          </w:tblCellMar>
        </w:tblPrEx>
        <w:trPr>
          <w:trHeight w:val="1" w:hRule="atLeast"/>
        </w:trPr>
        <w:tc>
          <w:tcPr>
            <w:tcW w:w="922" w:type="dxa"/>
            <w:vMerge w:val="continue"/>
            <w:tcBorders>
              <w:top w:val="single" w:color="000000" w:sz="6"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p>
        </w:tc>
        <w:tc>
          <w:tcPr>
            <w:tcW w:w="1754" w:type="dxa"/>
            <w:vMerge w:val="continue"/>
            <w:tcBorders>
              <w:top w:val="single" w:color="000000" w:sz="6"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形式：/</w:t>
            </w:r>
          </w:p>
        </w:tc>
      </w:tr>
      <w:tr>
        <w:tblPrEx>
          <w:tblCellMar>
            <w:top w:w="0" w:type="dxa"/>
            <w:left w:w="10" w:type="dxa"/>
            <w:bottom w:w="0" w:type="dxa"/>
            <w:right w:w="10" w:type="dxa"/>
          </w:tblCellMar>
        </w:tblPrEx>
        <w:trPr>
          <w:trHeight w:val="1" w:hRule="atLeast"/>
        </w:trPr>
        <w:tc>
          <w:tcPr>
            <w:tcW w:w="922" w:type="dxa"/>
            <w:tcBorders>
              <w:top w:val="single" w:color="000000" w:sz="6"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w:t>
            </w:r>
          </w:p>
        </w:tc>
        <w:tc>
          <w:tcPr>
            <w:tcW w:w="1754" w:type="dxa"/>
            <w:tcBorders>
              <w:top w:val="single" w:color="000000" w:sz="6"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招标文件澄清发出的形式</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踏勘现场</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pStyle w:val="2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 w:val="21"/>
                <w:szCs w:val="21"/>
                <w:highlight w:val="none"/>
              </w:rPr>
              <w:t>不组织</w:t>
            </w:r>
          </w:p>
          <w:p>
            <w:pPr>
              <w:spacing w:line="32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sym w:font="Wingdings 2" w:char="00A3"/>
            </w:r>
            <w:r>
              <w:rPr>
                <w:rFonts w:hint="eastAsia" w:ascii="宋体" w:hAnsi="宋体" w:eastAsia="宋体" w:cs="宋体"/>
                <w:b/>
                <w:color w:val="auto"/>
                <w:szCs w:val="21"/>
                <w:highlight w:val="none"/>
              </w:rPr>
              <w:t>组织，</w:t>
            </w:r>
            <w:r>
              <w:rPr>
                <w:rFonts w:hint="eastAsia" w:ascii="宋体" w:hAnsi="宋体" w:eastAsia="宋体" w:cs="宋体"/>
                <w:bCs/>
                <w:color w:val="auto"/>
                <w:szCs w:val="21"/>
                <w:highlight w:val="none"/>
              </w:rPr>
              <w:t>踏勘时间：/</w:t>
            </w:r>
          </w:p>
          <w:p>
            <w:pPr>
              <w:spacing w:line="320" w:lineRule="exact"/>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踏勘集中地点：</w:t>
            </w:r>
            <w:r>
              <w:rPr>
                <w:rFonts w:hint="eastAsia" w:ascii="宋体" w:hAnsi="宋体" w:eastAsia="宋体" w:cs="宋体"/>
                <w:color w:val="auto"/>
                <w:szCs w:val="21"/>
                <w:highlight w:val="none"/>
              </w:rPr>
              <w:t>/</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分包</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不允许</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□允许</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实质性要求和条件</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1.12.3</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其他可以被接受的技术支持资料</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1.12.4</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偏差</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□不允许</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允许正偏离</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构成招标文件的其他资料</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招标文件的澄清及答疑等。</w:t>
            </w:r>
          </w:p>
        </w:tc>
      </w:tr>
      <w:tr>
        <w:tblPrEx>
          <w:tblCellMar>
            <w:top w:w="0" w:type="dxa"/>
            <w:left w:w="10" w:type="dxa"/>
            <w:bottom w:w="0" w:type="dxa"/>
            <w:right w:w="10" w:type="dxa"/>
          </w:tblCellMar>
        </w:tblPrEx>
        <w:trPr>
          <w:trHeight w:val="1" w:hRule="atLeast"/>
        </w:trPr>
        <w:tc>
          <w:tcPr>
            <w:tcW w:w="922" w:type="dxa"/>
            <w:vMerge w:val="restart"/>
            <w:tcBorders>
              <w:top w:val="single" w:color="000000" w:sz="4" w:space="0"/>
              <w:left w:val="single" w:color="000000" w:sz="4" w:space="0"/>
              <w:bottom w:val="single" w:color="000000" w:sz="6"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w:t>
            </w:r>
          </w:p>
        </w:tc>
        <w:tc>
          <w:tcPr>
            <w:tcW w:w="1754" w:type="dxa"/>
            <w:vMerge w:val="restart"/>
            <w:tcBorders>
              <w:top w:val="single" w:color="000000" w:sz="4" w:space="0"/>
              <w:left w:val="single" w:color="000000" w:sz="4" w:space="0"/>
              <w:bottom w:val="single" w:color="000000" w:sz="6"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投标人要求澄清招标文件</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时间：在投标截止时间10日前。</w:t>
            </w:r>
          </w:p>
        </w:tc>
      </w:tr>
      <w:tr>
        <w:tblPrEx>
          <w:tblCellMar>
            <w:top w:w="0" w:type="dxa"/>
            <w:left w:w="10" w:type="dxa"/>
            <w:bottom w:w="0" w:type="dxa"/>
            <w:right w:w="10" w:type="dxa"/>
          </w:tblCellMar>
        </w:tblPrEx>
        <w:trPr>
          <w:trHeight w:val="1" w:hRule="atLeast"/>
        </w:trPr>
        <w:tc>
          <w:tcPr>
            <w:tcW w:w="922" w:type="dxa"/>
            <w:vMerge w:val="continue"/>
            <w:tcBorders>
              <w:top w:val="single" w:color="000000" w:sz="6"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p>
        </w:tc>
        <w:tc>
          <w:tcPr>
            <w:tcW w:w="1754" w:type="dxa"/>
            <w:vMerge w:val="continue"/>
            <w:tcBorders>
              <w:top w:val="single" w:color="000000" w:sz="6"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所有获取了招标文件的潜在投标人凭企业数字证书（CA）登录云南省公共资源交易信息网全国公共资源交易平台(云南省)（https://ggzy.yn.gov.cn），选择地区：</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，进入</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公共资源交易电子服务系统全国公共资源交易平台(云南省·</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)，通过网络在线方式向招标人或招标代理进行提问，招标人或招标代理需对所有潜在投标人进行统一回复。</w:t>
            </w:r>
          </w:p>
        </w:tc>
      </w:tr>
      <w:tr>
        <w:tblPrEx>
          <w:tblCellMar>
            <w:top w:w="0" w:type="dxa"/>
            <w:left w:w="10" w:type="dxa"/>
            <w:bottom w:w="0" w:type="dxa"/>
            <w:right w:w="10" w:type="dxa"/>
          </w:tblCellMar>
        </w:tblPrEx>
        <w:trPr>
          <w:trHeight w:val="1" w:hRule="atLeast"/>
        </w:trPr>
        <w:tc>
          <w:tcPr>
            <w:tcW w:w="922" w:type="dxa"/>
            <w:tcBorders>
              <w:top w:val="single" w:color="000000" w:sz="6"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w:t>
            </w:r>
          </w:p>
        </w:tc>
        <w:tc>
          <w:tcPr>
            <w:tcW w:w="1754" w:type="dxa"/>
            <w:tcBorders>
              <w:top w:val="single" w:color="000000" w:sz="6"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招标文件澄清发出的形式</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投标截止时间至少15日前，由招标人以补遗书方式按程序报有关主管部门备案后，提交云南省公共资源交易信息网全国公共资源交易平台(云南省)（https://ggzy.yn.gov.cn），选择地区：</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，进入</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公共资源交易电子服务系统全国公共资源交易平台(云南省·</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)，统一通过网络向潜在投标人发布，所有获取了招标文件的潜在投标人登录云南省公共资源交易信息网全国公共资源交易平台(云南省)（https://ggzy.yn.gov.cn），选择地区：</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，进入</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公共资源交易电子服务系统全国公共资源交易平台(云南省·</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)，凭企业身份认证数字证书（CA）查看澄清内容。</w:t>
            </w:r>
          </w:p>
        </w:tc>
      </w:tr>
      <w:tr>
        <w:tblPrEx>
          <w:tblCellMar>
            <w:top w:w="0" w:type="dxa"/>
            <w:left w:w="10" w:type="dxa"/>
            <w:bottom w:w="0" w:type="dxa"/>
            <w:right w:w="10" w:type="dxa"/>
          </w:tblCellMar>
        </w:tblPrEx>
        <w:trPr>
          <w:trHeight w:val="316" w:hRule="atLeast"/>
        </w:trPr>
        <w:tc>
          <w:tcPr>
            <w:tcW w:w="922" w:type="dxa"/>
            <w:tcBorders>
              <w:top w:val="single" w:color="000000" w:sz="4" w:space="0"/>
              <w:left w:val="single" w:color="000000" w:sz="4" w:space="0"/>
              <w:bottom w:val="single" w:color="000000" w:sz="6"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2.2.3</w:t>
            </w:r>
          </w:p>
        </w:tc>
        <w:tc>
          <w:tcPr>
            <w:tcW w:w="1754" w:type="dxa"/>
            <w:tcBorders>
              <w:top w:val="single" w:color="000000" w:sz="4" w:space="0"/>
              <w:left w:val="single" w:color="000000" w:sz="4" w:space="0"/>
              <w:bottom w:val="single" w:color="000000" w:sz="6"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投标人确认收到招标文件澄清</w:t>
            </w:r>
          </w:p>
        </w:tc>
        <w:tc>
          <w:tcPr>
            <w:tcW w:w="7060" w:type="dxa"/>
            <w:tcBorders>
              <w:top w:val="single" w:color="000000" w:sz="4" w:space="0"/>
              <w:left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投标人自行登录云南省公共资源交易信息网全国公共资源交易平台(云南省)（https://ggzy.yn.gov.cn），选择地区：</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，进入</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公共资源交易电子服务系统全国公共资源交易平台(云南省·</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)，获取澄清，无须回复确认已收到该澄清。</w:t>
            </w:r>
          </w:p>
        </w:tc>
      </w:tr>
      <w:tr>
        <w:tblPrEx>
          <w:tblCellMar>
            <w:top w:w="0" w:type="dxa"/>
            <w:left w:w="10" w:type="dxa"/>
            <w:bottom w:w="0" w:type="dxa"/>
            <w:right w:w="10" w:type="dxa"/>
          </w:tblCellMar>
        </w:tblPrEx>
        <w:trPr>
          <w:trHeight w:val="1" w:hRule="atLeast"/>
        </w:trPr>
        <w:tc>
          <w:tcPr>
            <w:tcW w:w="922" w:type="dxa"/>
            <w:tcBorders>
              <w:top w:val="single" w:color="000000" w:sz="6"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w:t>
            </w:r>
          </w:p>
        </w:tc>
        <w:tc>
          <w:tcPr>
            <w:tcW w:w="1754" w:type="dxa"/>
            <w:tcBorders>
              <w:top w:val="single" w:color="000000" w:sz="6"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招标文件修改发出的形式</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8"/>
                <w:highlight w:val="none"/>
              </w:rPr>
              <w:t>在投标截止时间15日前，确需要变更招标文件内容的，招标人可主动或在解答投标人提出的澄清问题时对招标文件进行修改，并同时报主管部门备案。</w:t>
            </w:r>
            <w:r>
              <w:rPr>
                <w:rFonts w:hint="eastAsia" w:ascii="宋体" w:hAnsi="宋体" w:eastAsia="宋体" w:cs="宋体"/>
                <w:color w:val="auto"/>
                <w:spacing w:val="-20"/>
                <w:szCs w:val="21"/>
                <w:highlight w:val="none"/>
              </w:rPr>
              <w:t>提交云南省公共资源交易信息网全国公共资源交易平台(云南省)（https://ggzy.yn.gov.cn），选择地区：</w:t>
            </w:r>
            <w:r>
              <w:rPr>
                <w:rFonts w:hint="eastAsia" w:ascii="宋体" w:hAnsi="宋体" w:eastAsia="宋体" w:cs="宋体"/>
                <w:color w:val="auto"/>
                <w:spacing w:val="-20"/>
                <w:szCs w:val="21"/>
                <w:highlight w:val="none"/>
                <w:lang w:eastAsia="zh-CN"/>
              </w:rPr>
              <w:t>昆明市</w:t>
            </w:r>
            <w:r>
              <w:rPr>
                <w:rFonts w:hint="eastAsia" w:ascii="宋体" w:hAnsi="宋体" w:eastAsia="宋体" w:cs="宋体"/>
                <w:color w:val="auto"/>
                <w:spacing w:val="-20"/>
                <w:szCs w:val="21"/>
                <w:highlight w:val="none"/>
              </w:rPr>
              <w:t>，进入</w:t>
            </w:r>
            <w:r>
              <w:rPr>
                <w:rFonts w:hint="eastAsia" w:ascii="宋体" w:hAnsi="宋体" w:eastAsia="宋体" w:cs="宋体"/>
                <w:color w:val="auto"/>
                <w:spacing w:val="-20"/>
                <w:szCs w:val="21"/>
                <w:highlight w:val="none"/>
                <w:lang w:eastAsia="zh-CN"/>
              </w:rPr>
              <w:t>昆明市</w:t>
            </w:r>
            <w:r>
              <w:rPr>
                <w:rFonts w:hint="eastAsia" w:ascii="宋体" w:hAnsi="宋体" w:eastAsia="宋体" w:cs="宋体"/>
                <w:color w:val="auto"/>
                <w:spacing w:val="-20"/>
                <w:szCs w:val="21"/>
                <w:highlight w:val="none"/>
              </w:rPr>
              <w:t>公共资源交易电子服务系统全国公共资源交易平台(云南省·</w:t>
            </w:r>
            <w:r>
              <w:rPr>
                <w:rFonts w:hint="eastAsia" w:ascii="宋体" w:hAnsi="宋体" w:eastAsia="宋体" w:cs="宋体"/>
                <w:color w:val="auto"/>
                <w:spacing w:val="-20"/>
                <w:szCs w:val="21"/>
                <w:highlight w:val="none"/>
                <w:lang w:eastAsia="zh-CN"/>
              </w:rPr>
              <w:t>昆明市</w:t>
            </w:r>
            <w:r>
              <w:rPr>
                <w:rFonts w:hint="eastAsia" w:ascii="宋体" w:hAnsi="宋体" w:eastAsia="宋体" w:cs="宋体"/>
                <w:color w:val="auto"/>
                <w:spacing w:val="-20"/>
                <w:szCs w:val="21"/>
                <w:highlight w:val="none"/>
              </w:rPr>
              <w:t>)，</w:t>
            </w:r>
            <w:r>
              <w:rPr>
                <w:rFonts w:hint="eastAsia" w:ascii="宋体" w:hAnsi="宋体" w:eastAsia="宋体" w:cs="宋体"/>
                <w:color w:val="auto"/>
                <w:szCs w:val="21"/>
                <w:highlight w:val="none"/>
              </w:rPr>
              <w:t>统一通过网络向潜在投标人发布，所有获取了招标文件的潜在投标人登录云南省公共资源交易信息网全国公共资源交易平台(云南省)（https://ggzy.yn.gov.cn），选择地区：</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，进入</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公共资源交易电子服务系统全国公共资源交易平台(云南省·</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)，凭企业身份认证数字证书（CA）查看修改内容。</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6"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w:t>
            </w:r>
          </w:p>
        </w:tc>
        <w:tc>
          <w:tcPr>
            <w:tcW w:w="1754" w:type="dxa"/>
            <w:tcBorders>
              <w:top w:val="single" w:color="000000" w:sz="4" w:space="0"/>
              <w:left w:val="single" w:color="000000" w:sz="4" w:space="0"/>
              <w:bottom w:val="single" w:color="000000" w:sz="6"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投标人确认收到招标文件修改</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投标人自行登录云南省公共资源交易信息网全国公共资源交易平台(云南省)（https://ggzy.yn.gov.cn），选择地区：</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，进入</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公共资源交易电子服务系统全国公共资源交易平台(云南省·</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)，获取修改内容，无须回复确认已收到该修改。</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构成投标文件的其他资料</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按招标文件要求。</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增值税税金的计算方法</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一般计税方法。</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3.2.4</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最高投标限价</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有，最高投标限价:</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388</w:t>
            </w:r>
            <w:r>
              <w:rPr>
                <w:rFonts w:hint="eastAsia" w:ascii="宋体" w:hAnsi="宋体" w:eastAsia="宋体" w:cs="宋体"/>
                <w:color w:val="auto"/>
                <w:szCs w:val="21"/>
                <w:highlight w:val="none"/>
                <w:lang w:val="en-US" w:eastAsia="zh-CN"/>
              </w:rPr>
              <w:t>.00</w:t>
            </w:r>
            <w:r>
              <w:rPr>
                <w:rFonts w:hint="eastAsia" w:ascii="宋体" w:hAnsi="宋体" w:eastAsia="宋体" w:cs="宋体"/>
                <w:color w:val="auto"/>
                <w:szCs w:val="21"/>
                <w:highlight w:val="none"/>
              </w:rPr>
              <w:t>万元（含税），大写：</w:t>
            </w:r>
            <w:r>
              <w:rPr>
                <w:rFonts w:hint="eastAsia" w:ascii="宋体" w:hAnsi="宋体" w:cs="宋体"/>
                <w:color w:val="auto"/>
                <w:szCs w:val="21"/>
                <w:highlight w:val="none"/>
                <w:lang w:val="en-US" w:eastAsia="zh-CN"/>
              </w:rPr>
              <w:t>叁佰捌拾捌万元整人民币</w:t>
            </w:r>
            <w:r>
              <w:rPr>
                <w:rFonts w:hint="eastAsia" w:ascii="宋体" w:hAnsi="宋体" w:eastAsia="宋体" w:cs="宋体"/>
                <w:color w:val="auto"/>
                <w:szCs w:val="21"/>
                <w:highlight w:val="none"/>
              </w:rPr>
              <w:t>。投标人的总报价不得高于最高投标限价，否则评标委员会将否决其投标，作为无效标处理。</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3.2.5</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投标报价的其他要求</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本项目采用固定包干价（含税）方式报价（税率13%），包含设备价款、随机备品备件、包装费、装运费、保险费、保管费、</w:t>
            </w:r>
            <w:r>
              <w:rPr>
                <w:rFonts w:hint="eastAsia" w:ascii="宋体" w:hAnsi="宋体" w:cs="宋体"/>
                <w:color w:val="auto"/>
                <w:szCs w:val="21"/>
                <w:highlight w:val="none"/>
                <w:lang w:val="en-US" w:eastAsia="zh-CN"/>
              </w:rPr>
              <w:t>拆除费、</w:t>
            </w:r>
            <w:r>
              <w:rPr>
                <w:rFonts w:hint="eastAsia" w:ascii="宋体" w:hAnsi="宋体" w:eastAsia="宋体" w:cs="宋体"/>
                <w:color w:val="auto"/>
                <w:szCs w:val="21"/>
                <w:highlight w:val="none"/>
              </w:rPr>
              <w:t>安装调试等伴随服务等为完成本项目范围全部工作内容的一切费用。</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120日历天。</w:t>
            </w:r>
          </w:p>
        </w:tc>
      </w:tr>
      <w:tr>
        <w:tblPrEx>
          <w:tblCellMar>
            <w:top w:w="0" w:type="dxa"/>
            <w:left w:w="10" w:type="dxa"/>
            <w:bottom w:w="0" w:type="dxa"/>
            <w:right w:w="10" w:type="dxa"/>
          </w:tblCellMar>
        </w:tblPrEx>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3.4.1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是否要求投标人递交投标保证金：</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A3"/>
            </w:r>
            <w:r>
              <w:rPr>
                <w:rFonts w:hint="eastAsia" w:ascii="宋体" w:hAnsi="宋体" w:eastAsia="宋体" w:cs="宋体"/>
                <w:color w:val="auto"/>
                <w:szCs w:val="21"/>
                <w:highlight w:val="none"/>
              </w:rPr>
              <w:t>不要求递交投标保证金</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要求递交投标保证金</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一、保证金的提交方式有三种：银行转账、银行保函、投标保证保险。</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（一）银行转账：投标（交易）保证金应以投标人自身的名义提交，并且必须从其基本账户转出，不得以分支机构其他名义提交（按照规定，投标人可以为自然人的项目除外）。</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银行保函：保函申请人必须是投标人，受益人必须是招标人，保证人必须是投标人基本账号的开户银行；银行保函必须正确填写受益人和申请人的全称，并与招标文件规定的名称相一致，以免造成投标无效。</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（三）投标保证保险：应符合《关于在全省房屋建筑和市政基础设施工程领域深入推进建设工程保证保险工作的通知》（云建建〔2020〕65号）、《云南省建设工程招标投标管理办公室关于进一步优化营商环境 落实建设工程保证保险制度的通知》（云建招〔2020〕116号）和《云南省发展和改革委员会关于印发云南省公共资源交易平台接入电子保函服务指导意见的通知》（云发改平台建管〔2021〕1152号）的相关要求。</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二、投标保证金的提交时间</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需在投标截止时间前递交保证金，到账时间以实际到达专用账号时间为准，未在投标截止时间前到账的保证金视为未提交；银行保函必须在规定的投标截止时间前递交，在投标截止时间前，由交易中心工作人员进行确认，未确认的保证金视为未提交；投保人应当在项目投标保证金缴纳截止时间前通过金融机构成功购买投标保证保险，未在投标保证金缴纳截止时间前成功购买的投标保证保险视为未提交。</w:t>
            </w:r>
          </w:p>
          <w:p>
            <w:pPr>
              <w:spacing w:line="32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投标保证金的金额：¥</w:t>
            </w:r>
            <w:r>
              <w:rPr>
                <w:rFonts w:hint="eastAsia" w:ascii="宋体" w:hAnsi="宋体" w:cs="宋体"/>
                <w:color w:val="auto"/>
                <w:szCs w:val="21"/>
                <w:highlight w:val="none"/>
                <w:lang w:val="en-US" w:eastAsia="zh-CN"/>
              </w:rPr>
              <w:t>3</w:t>
            </w:r>
            <w:r>
              <w:rPr>
                <w:rFonts w:hint="eastAsia" w:ascii="宋体" w:hAnsi="宋体" w:eastAsia="宋体" w:cs="宋体"/>
                <w:color w:val="auto"/>
                <w:kern w:val="2"/>
                <w:sz w:val="21"/>
                <w:szCs w:val="21"/>
                <w:highlight w:val="none"/>
                <w:lang w:val="en-US" w:eastAsia="zh-CN" w:bidi="ar-SA"/>
              </w:rPr>
              <w:t>0000.00元（大写：</w:t>
            </w:r>
            <w:r>
              <w:rPr>
                <w:rFonts w:hint="eastAsia" w:ascii="宋体" w:hAnsi="宋体" w:cs="宋体"/>
                <w:color w:val="auto"/>
                <w:kern w:val="2"/>
                <w:sz w:val="21"/>
                <w:szCs w:val="21"/>
                <w:highlight w:val="none"/>
                <w:lang w:val="en-US" w:eastAsia="zh-CN" w:bidi="ar-SA"/>
              </w:rPr>
              <w:t>叁</w:t>
            </w:r>
            <w:r>
              <w:rPr>
                <w:rFonts w:hint="eastAsia" w:ascii="宋体" w:hAnsi="宋体" w:eastAsia="宋体" w:cs="宋体"/>
                <w:color w:val="auto"/>
                <w:kern w:val="2"/>
                <w:sz w:val="21"/>
                <w:szCs w:val="21"/>
                <w:highlight w:val="none"/>
                <w:lang w:val="en-US" w:eastAsia="zh-CN" w:bidi="ar-SA"/>
              </w:rPr>
              <w:t>万元整人民币）</w:t>
            </w:r>
          </w:p>
          <w:p>
            <w:pPr>
              <w:pStyle w:val="20"/>
              <w:spacing w:line="32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投标保证金接收单位：</w:t>
            </w:r>
          </w:p>
          <w:p>
            <w:pPr>
              <w:pStyle w:val="20"/>
              <w:spacing w:line="32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开户银行：</w:t>
            </w:r>
          </w:p>
          <w:p>
            <w:pPr>
              <w:pStyle w:val="20"/>
              <w:spacing w:line="320" w:lineRule="exact"/>
              <w:rPr>
                <w:rFonts w:hint="eastAsia" w:ascii="宋体" w:hAnsi="宋体" w:eastAsia="宋体" w:cs="宋体"/>
                <w:color w:val="auto"/>
                <w:kern w:val="2"/>
                <w:sz w:val="21"/>
                <w:szCs w:val="21"/>
                <w:highlight w:val="none"/>
                <w:lang w:val="en-US" w:eastAsia="zh-CN" w:bidi="ar-SA"/>
              </w:rPr>
            </w:pPr>
            <w:r>
              <w:rPr>
                <w:rFonts w:hint="eastAsia" w:hAnsi="宋体" w:cs="宋体"/>
                <w:color w:val="auto"/>
                <w:kern w:val="2"/>
                <w:sz w:val="21"/>
                <w:szCs w:val="21"/>
                <w:highlight w:val="none"/>
                <w:lang w:val="en-US" w:eastAsia="zh-CN" w:bidi="ar-SA"/>
              </w:rPr>
              <w:t>账</w:t>
            </w:r>
            <w:r>
              <w:rPr>
                <w:rFonts w:hint="eastAsia" w:ascii="宋体" w:hAnsi="宋体" w:eastAsia="宋体" w:cs="宋体"/>
                <w:color w:val="auto"/>
                <w:kern w:val="2"/>
                <w:sz w:val="21"/>
                <w:szCs w:val="21"/>
                <w:highlight w:val="none"/>
                <w:lang w:val="en-US" w:eastAsia="zh-CN" w:bidi="ar-SA"/>
              </w:rPr>
              <w:t>号：</w:t>
            </w:r>
          </w:p>
          <w:p>
            <w:pPr>
              <w:spacing w:line="320" w:lineRule="exact"/>
              <w:rPr>
                <w:rFonts w:hint="eastAsia" w:ascii="宋体" w:hAnsi="宋体" w:eastAsia="宋体" w:cs="宋体"/>
                <w:b/>
                <w:bCs/>
                <w:color w:val="auto"/>
                <w:szCs w:val="21"/>
                <w:highlight w:val="none"/>
              </w:rPr>
            </w:pPr>
            <w:r>
              <w:rPr>
                <w:rFonts w:hint="eastAsia" w:ascii="宋体" w:hAnsi="宋体" w:eastAsia="宋体" w:cs="宋体"/>
                <w:color w:val="auto"/>
                <w:kern w:val="2"/>
                <w:sz w:val="21"/>
                <w:szCs w:val="21"/>
                <w:highlight w:val="none"/>
                <w:lang w:val="en-US" w:eastAsia="zh-CN" w:bidi="ar-SA"/>
              </w:rPr>
              <w:t>注：1.投标人按本公告载明的投标</w:t>
            </w:r>
            <w:r>
              <w:rPr>
                <w:rFonts w:hint="eastAsia" w:ascii="宋体" w:hAnsi="宋体" w:eastAsia="宋体" w:cs="宋体"/>
                <w:color w:val="auto"/>
                <w:szCs w:val="21"/>
                <w:highlight w:val="none"/>
              </w:rPr>
              <w:t>保证金专户，必须从投标人的基本账户转入，投标保证金到账时间以保证金专用账户实际到账时间为准，</w:t>
            </w:r>
            <w:r>
              <w:rPr>
                <w:rFonts w:hint="eastAsia" w:ascii="宋体" w:hAnsi="宋体" w:eastAsia="宋体" w:cs="宋体"/>
                <w:b/>
                <w:bCs/>
                <w:color w:val="auto"/>
                <w:szCs w:val="21"/>
                <w:highlight w:val="none"/>
              </w:rPr>
              <w:t>未按时在投标截止时间前到账的保证金视为无效。</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2.投标人进入云南省公共资源交易信息网全国公共资源交易平台(云南省)（https://ggzy.yn.gov.cn），选择地区：</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，进入</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公共资源交易电子服务系统全国公共资源交易平台(云南省·</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)，登录投标系统后，在“确认投标保证金”处查询保证金缴纳情况并确认保证金。</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3.保证金绑定：确认保证金模块用于投标人对投标保证金在缴纳截止前进行绑定，及时发现处理各种异常情况，避免因为保证金问题在开标时造成投标失败。</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4.打印保证金缴纳回执：保证金成功绑定后，确认状态会显示“已绑定”。点击【打印回执】，即可进行打印回执操作。</w:t>
            </w:r>
          </w:p>
        </w:tc>
      </w:tr>
      <w:tr>
        <w:tblPrEx>
          <w:tblCellMar>
            <w:top w:w="0" w:type="dxa"/>
            <w:left w:w="10" w:type="dxa"/>
            <w:bottom w:w="0" w:type="dxa"/>
            <w:right w:w="10" w:type="dxa"/>
          </w:tblCellMar>
        </w:tblPrEx>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3.4.4</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其他可以不予退还投标保证金的情形</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r>
        <w:tblPrEx>
          <w:tblCellMar>
            <w:top w:w="0" w:type="dxa"/>
            <w:left w:w="10" w:type="dxa"/>
            <w:bottom w:w="0" w:type="dxa"/>
            <w:right w:w="10" w:type="dxa"/>
          </w:tblCellMar>
        </w:tblPrEx>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3.5</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资格审查资料的特殊要求</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无</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□有，具体要求：</w:t>
            </w:r>
          </w:p>
        </w:tc>
      </w:tr>
      <w:tr>
        <w:tblPrEx>
          <w:tblCellMar>
            <w:top w:w="0" w:type="dxa"/>
            <w:left w:w="10" w:type="dxa"/>
            <w:bottom w:w="0" w:type="dxa"/>
            <w:right w:w="10" w:type="dxa"/>
          </w:tblCellMar>
        </w:tblPrEx>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3.5.2</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近年财务状况的年份要求</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202</w:t>
            </w:r>
            <w:r>
              <w:rPr>
                <w:rFonts w:hint="eastAsia" w:ascii="宋体" w:hAnsi="宋体" w:cs="宋体"/>
                <w:color w:val="auto"/>
                <w:szCs w:val="21"/>
                <w:highlight w:val="none"/>
                <w:u w:val="single"/>
                <w:lang w:val="en-US" w:eastAsia="zh-CN"/>
              </w:rPr>
              <w:t>3</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202</w:t>
            </w:r>
            <w:r>
              <w:rPr>
                <w:rFonts w:hint="eastAsia" w:ascii="宋体" w:hAnsi="宋体" w:cs="宋体"/>
                <w:color w:val="auto"/>
                <w:szCs w:val="21"/>
                <w:highlight w:val="none"/>
                <w:u w:val="single"/>
                <w:lang w:val="en-US" w:eastAsia="zh-CN"/>
              </w:rPr>
              <w:t>5</w:t>
            </w:r>
            <w:r>
              <w:rPr>
                <w:rFonts w:hint="eastAsia" w:ascii="宋体" w:hAnsi="宋体" w:eastAsia="宋体" w:cs="宋体"/>
                <w:color w:val="auto"/>
                <w:szCs w:val="21"/>
                <w:highlight w:val="none"/>
              </w:rPr>
              <w:t>年</w:t>
            </w:r>
          </w:p>
        </w:tc>
      </w:tr>
      <w:tr>
        <w:tblPrEx>
          <w:tblCellMar>
            <w:top w:w="0" w:type="dxa"/>
            <w:left w:w="10" w:type="dxa"/>
            <w:bottom w:w="0" w:type="dxa"/>
            <w:right w:w="10" w:type="dxa"/>
          </w:tblCellMar>
        </w:tblPrEx>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3.6.1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是否允许递交备选投标方案</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不允许</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□允许</w:t>
            </w:r>
          </w:p>
        </w:tc>
      </w:tr>
      <w:tr>
        <w:tblPrEx>
          <w:tblCellMar>
            <w:top w:w="0" w:type="dxa"/>
            <w:left w:w="10" w:type="dxa"/>
            <w:bottom w:w="0" w:type="dxa"/>
            <w:right w:w="10" w:type="dxa"/>
          </w:tblCellMar>
        </w:tblPrEx>
        <w:trPr>
          <w:trHeight w:val="1" w:hRule="atLeast"/>
        </w:trPr>
        <w:tc>
          <w:tcPr>
            <w:tcW w:w="922" w:type="dxa"/>
            <w:vMerge w:val="restart"/>
            <w:tcBorders>
              <w:top w:val="single" w:color="000000" w:sz="4" w:space="0"/>
              <w:left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3.7.</w:t>
            </w:r>
            <w:r>
              <w:rPr>
                <w:rFonts w:hint="eastAsia" w:ascii="宋体" w:hAnsi="宋体" w:eastAsia="宋体" w:cs="宋体"/>
                <w:color w:val="auto"/>
                <w:szCs w:val="21"/>
                <w:highlight w:val="none"/>
                <w:lang w:val="en-US" w:eastAsia="zh-CN"/>
              </w:rPr>
              <w:t>3</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投标文件所附证书证件要求</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详见投标人资格要求</w:t>
            </w:r>
          </w:p>
        </w:tc>
      </w:tr>
      <w:tr>
        <w:tblPrEx>
          <w:tblCellMar>
            <w:top w:w="0" w:type="dxa"/>
            <w:left w:w="10" w:type="dxa"/>
            <w:bottom w:w="0" w:type="dxa"/>
            <w:right w:w="10" w:type="dxa"/>
          </w:tblCellMar>
        </w:tblPrEx>
        <w:trPr>
          <w:trHeight w:val="1" w:hRule="atLeast"/>
        </w:trPr>
        <w:tc>
          <w:tcPr>
            <w:tcW w:w="922" w:type="dxa"/>
            <w:vMerge w:val="continue"/>
            <w:tcBorders>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身份证明或授权委托书</w:t>
            </w:r>
            <w:r>
              <w:rPr>
                <w:rFonts w:hint="eastAsia" w:ascii="宋体" w:hAnsi="宋体" w:eastAsia="宋体" w:cs="宋体"/>
                <w:color w:val="auto"/>
                <w:szCs w:val="21"/>
                <w:highlight w:val="none"/>
              </w:rPr>
              <w:t>电子签章</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采用企业、法定代表人电子签章及数字证书电子签名。投标文件由法定代表人（单位负责人）签字的，应附法定代表人（单位负责人）身份证明，由代理人签字的，应附授权委托书，身份证明或授权委托书应符合第六章“投标文件格式”的规定。</w:t>
            </w:r>
          </w:p>
        </w:tc>
      </w:tr>
      <w:tr>
        <w:tblPrEx>
          <w:tblCellMar>
            <w:top w:w="0" w:type="dxa"/>
            <w:left w:w="10" w:type="dxa"/>
            <w:bottom w:w="0" w:type="dxa"/>
            <w:right w:w="10" w:type="dxa"/>
          </w:tblCellMar>
        </w:tblPrEx>
        <w:trPr>
          <w:trHeight w:val="1" w:hRule="atLeast"/>
        </w:trPr>
        <w:tc>
          <w:tcPr>
            <w:tcW w:w="922" w:type="dxa"/>
            <w:tcBorders>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3.7.4</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投标文件的编制要求</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在编制技术标投标文件时，粘贴图片使用JPG格式的文件，并且每张图片的</w:t>
            </w:r>
            <w:r>
              <w:rPr>
                <w:rFonts w:hint="eastAsia" w:ascii="宋体" w:hAnsi="宋体" w:cs="宋体"/>
                <w:color w:val="auto"/>
                <w:szCs w:val="21"/>
                <w:highlight w:val="none"/>
                <w:lang w:val="en-US" w:eastAsia="zh-CN"/>
              </w:rPr>
              <w:t>分辨率</w:t>
            </w:r>
            <w:r>
              <w:rPr>
                <w:rFonts w:hint="eastAsia" w:ascii="宋体" w:hAnsi="宋体" w:eastAsia="宋体" w:cs="宋体"/>
                <w:color w:val="auto"/>
                <w:szCs w:val="21"/>
                <w:highlight w:val="none"/>
                <w:lang w:val="en-US" w:eastAsia="zh-CN"/>
              </w:rPr>
              <w:t>建议小于 100dpi，最终的每份标书文件所占用的磁盘空间应小于100M，否则无法生成投标文件。</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投标文件加密要求</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snapToGrid w:val="0"/>
                <w:color w:val="auto"/>
                <w:kern w:val="0"/>
                <w:highlight w:val="none"/>
              </w:rPr>
            </w:pPr>
            <w:r>
              <w:rPr>
                <w:rFonts w:hint="eastAsia" w:ascii="宋体" w:hAnsi="宋体" w:eastAsia="宋体" w:cs="宋体"/>
                <w:color w:val="auto"/>
                <w:szCs w:val="21"/>
                <w:highlight w:val="none"/>
              </w:rPr>
              <w:t>网上递交的投标文件应使用数字证书进行加密；</w:t>
            </w:r>
          </w:p>
        </w:tc>
      </w:tr>
      <w:tr>
        <w:tblPrEx>
          <w:tblCellMar>
            <w:top w:w="0" w:type="dxa"/>
            <w:left w:w="10" w:type="dxa"/>
            <w:bottom w:w="0" w:type="dxa"/>
            <w:right w:w="10" w:type="dxa"/>
          </w:tblCellMar>
        </w:tblPrEx>
        <w:trPr>
          <w:trHeight w:val="416"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4.2.1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投标截止时间</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202</w:t>
            </w:r>
            <w:r>
              <w:rPr>
                <w:rFonts w:hint="eastAsia" w:ascii="宋体" w:hAnsi="宋体" w:eastAsia="宋体" w:cs="宋体"/>
                <w:color w:val="auto"/>
                <w:szCs w:val="21"/>
                <w:highlight w:val="none"/>
                <w:u w:val="single"/>
                <w:lang w:val="en-US" w:eastAsia="zh-CN"/>
              </w:rPr>
              <w:t>6</w:t>
            </w:r>
            <w:r>
              <w:rPr>
                <w:rFonts w:hint="eastAsia" w:ascii="宋体" w:hAnsi="宋体" w:eastAsia="宋体" w:cs="宋体"/>
                <w:color w:val="auto"/>
                <w:szCs w:val="21"/>
                <w:highlight w:val="none"/>
              </w:rPr>
              <w:t>年</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日上午</w:t>
            </w:r>
            <w:r>
              <w:rPr>
                <w:rFonts w:hint="eastAsia" w:ascii="宋体" w:hAnsi="宋体" w:eastAsia="宋体" w:cs="宋体"/>
                <w:color w:val="auto"/>
                <w:szCs w:val="21"/>
                <w:highlight w:val="none"/>
                <w:u w:val="single"/>
              </w:rPr>
              <w:t>09</w:t>
            </w:r>
            <w:r>
              <w:rPr>
                <w:rFonts w:hint="eastAsia" w:ascii="宋体" w:hAnsi="宋体" w:eastAsia="宋体" w:cs="宋体"/>
                <w:color w:val="auto"/>
                <w:szCs w:val="21"/>
                <w:highlight w:val="none"/>
              </w:rPr>
              <w:t>时</w:t>
            </w:r>
            <w:r>
              <w:rPr>
                <w:rFonts w:hint="eastAsia" w:ascii="宋体" w:hAnsi="宋体" w:eastAsia="宋体" w:cs="宋体"/>
                <w:color w:val="auto"/>
                <w:szCs w:val="21"/>
                <w:highlight w:val="none"/>
                <w:u w:val="single"/>
              </w:rPr>
              <w:t>00</w:t>
            </w:r>
            <w:r>
              <w:rPr>
                <w:rFonts w:hint="eastAsia" w:ascii="宋体" w:hAnsi="宋体" w:eastAsia="宋体" w:cs="宋体"/>
                <w:color w:val="auto"/>
                <w:szCs w:val="21"/>
                <w:highlight w:val="none"/>
              </w:rPr>
              <w:t>分</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4.2.2</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递交投标文件地点</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snapToGrid w:val="0"/>
                <w:color w:val="auto"/>
                <w:kern w:val="0"/>
                <w:highlight w:val="none"/>
              </w:rPr>
            </w:pPr>
            <w:r>
              <w:rPr>
                <w:rFonts w:hint="eastAsia" w:ascii="宋体" w:hAnsi="宋体" w:eastAsia="宋体" w:cs="宋体"/>
                <w:b/>
                <w:snapToGrid w:val="0"/>
                <w:color w:val="auto"/>
                <w:kern w:val="0"/>
                <w:highlight w:val="none"/>
              </w:rPr>
              <w:t>1.网上递交：</w:t>
            </w:r>
            <w:r>
              <w:rPr>
                <w:rFonts w:hint="eastAsia" w:ascii="宋体" w:hAnsi="宋体" w:eastAsia="宋体" w:cs="宋体"/>
                <w:snapToGrid w:val="0"/>
                <w:color w:val="auto"/>
                <w:kern w:val="0"/>
                <w:highlight w:val="none"/>
              </w:rPr>
              <w:t>网上递交网址为云南省公共资源交易信息网全国公共资源交易平台(云南省)（https://ggzy.yn.gov.cn），选择地区：</w:t>
            </w:r>
            <w:r>
              <w:rPr>
                <w:rFonts w:hint="eastAsia" w:ascii="宋体" w:hAnsi="宋体" w:eastAsia="宋体" w:cs="宋体"/>
                <w:snapToGrid w:val="0"/>
                <w:color w:val="auto"/>
                <w:kern w:val="0"/>
                <w:highlight w:val="none"/>
                <w:lang w:eastAsia="zh-CN"/>
              </w:rPr>
              <w:t>昆明市</w:t>
            </w:r>
            <w:r>
              <w:rPr>
                <w:rFonts w:hint="eastAsia" w:ascii="宋体" w:hAnsi="宋体" w:eastAsia="宋体" w:cs="宋体"/>
                <w:snapToGrid w:val="0"/>
                <w:color w:val="auto"/>
                <w:kern w:val="0"/>
                <w:highlight w:val="none"/>
              </w:rPr>
              <w:t>，进入</w:t>
            </w:r>
            <w:r>
              <w:rPr>
                <w:rFonts w:hint="eastAsia" w:ascii="宋体" w:hAnsi="宋体" w:eastAsia="宋体" w:cs="宋体"/>
                <w:snapToGrid w:val="0"/>
                <w:color w:val="auto"/>
                <w:kern w:val="0"/>
                <w:highlight w:val="none"/>
                <w:lang w:eastAsia="zh-CN"/>
              </w:rPr>
              <w:t>昆明市</w:t>
            </w:r>
            <w:r>
              <w:rPr>
                <w:rFonts w:hint="eastAsia" w:ascii="宋体" w:hAnsi="宋体" w:eastAsia="宋体" w:cs="宋体"/>
                <w:snapToGrid w:val="0"/>
                <w:color w:val="auto"/>
                <w:kern w:val="0"/>
                <w:highlight w:val="none"/>
              </w:rPr>
              <w:t>公共资源交易电子服务系统全国公共资源交易平台(云南省·</w:t>
            </w:r>
            <w:r>
              <w:rPr>
                <w:rFonts w:hint="eastAsia" w:ascii="宋体" w:hAnsi="宋体" w:eastAsia="宋体" w:cs="宋体"/>
                <w:snapToGrid w:val="0"/>
                <w:color w:val="auto"/>
                <w:kern w:val="0"/>
                <w:highlight w:val="none"/>
                <w:lang w:eastAsia="zh-CN"/>
              </w:rPr>
              <w:t>昆明市</w:t>
            </w:r>
            <w:r>
              <w:rPr>
                <w:rFonts w:hint="eastAsia" w:ascii="宋体" w:hAnsi="宋体" w:eastAsia="宋体" w:cs="宋体"/>
                <w:snapToGrid w:val="0"/>
                <w:color w:val="auto"/>
                <w:kern w:val="0"/>
                <w:highlight w:val="none"/>
              </w:rPr>
              <w:t>)，投标人须在投标截止时间前完成所有投标文件的上传，网上确认电子签名，并打印“上传投标文件回执”，投标截止时间前未完成投标文件传输的，视为撤回投标文件；</w:t>
            </w:r>
          </w:p>
          <w:p>
            <w:pPr>
              <w:spacing w:line="320" w:lineRule="exact"/>
              <w:rPr>
                <w:rFonts w:hint="eastAsia" w:ascii="宋体" w:hAnsi="宋体" w:eastAsia="宋体" w:cs="宋体"/>
                <w:color w:val="auto"/>
                <w:highlight w:val="none"/>
              </w:rPr>
            </w:pPr>
            <w:r>
              <w:rPr>
                <w:rFonts w:hint="eastAsia" w:ascii="宋体" w:hAnsi="宋体" w:eastAsia="宋体" w:cs="宋体"/>
                <w:b/>
                <w:snapToGrid w:val="0"/>
                <w:color w:val="auto"/>
                <w:kern w:val="0"/>
                <w:highlight w:val="none"/>
              </w:rPr>
              <w:t>2.中标通知书发出后10个工作日内，中标方需向招标人递交2份纸质投标文件</w:t>
            </w:r>
            <w:r>
              <w:rPr>
                <w:rFonts w:hint="eastAsia" w:ascii="宋体" w:hAnsi="宋体" w:cs="宋体"/>
                <w:b/>
                <w:snapToGrid w:val="0"/>
                <w:color w:val="auto"/>
                <w:kern w:val="0"/>
                <w:highlight w:val="none"/>
                <w:lang w:val="en-US" w:eastAsia="zh-CN"/>
              </w:rPr>
              <w:t>，</w:t>
            </w:r>
            <w:r>
              <w:rPr>
                <w:rFonts w:hint="eastAsia" w:ascii="宋体" w:hAnsi="宋体" w:eastAsia="宋体" w:cs="宋体"/>
                <w:b/>
                <w:snapToGrid w:val="0"/>
                <w:color w:val="auto"/>
                <w:kern w:val="0"/>
                <w:highlight w:val="none"/>
              </w:rPr>
              <w:t>并保证内容与上传的电子投标文件一致。如内容不一致时，以上传的电子投标文件为准。</w:t>
            </w:r>
          </w:p>
        </w:tc>
      </w:tr>
      <w:tr>
        <w:tblPrEx>
          <w:tblCellMar>
            <w:top w:w="0" w:type="dxa"/>
            <w:left w:w="10" w:type="dxa"/>
            <w:bottom w:w="0" w:type="dxa"/>
            <w:right w:w="10" w:type="dxa"/>
          </w:tblCellMar>
        </w:tblPrEx>
        <w:trPr>
          <w:trHeight w:val="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4.2.</w:t>
            </w:r>
            <w:r>
              <w:rPr>
                <w:rFonts w:hint="eastAsia" w:ascii="宋体" w:hAnsi="宋体" w:eastAsia="宋体" w:cs="宋体"/>
                <w:color w:val="auto"/>
                <w:szCs w:val="21"/>
                <w:highlight w:val="none"/>
                <w:lang w:val="en-US" w:eastAsia="zh-CN"/>
              </w:rPr>
              <w:t>4</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投标文件是否退还</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否，但开标时不足3家的，投标文件可以退还。</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□是，退还时间：</w:t>
            </w:r>
          </w:p>
        </w:tc>
      </w:tr>
      <w:tr>
        <w:tblPrEx>
          <w:tblCellMar>
            <w:top w:w="0" w:type="dxa"/>
            <w:left w:w="10" w:type="dxa"/>
            <w:bottom w:w="0" w:type="dxa"/>
            <w:right w:w="10" w:type="dxa"/>
          </w:tblCellMar>
        </w:tblPrEx>
        <w:tc>
          <w:tcPr>
            <w:tcW w:w="922" w:type="dxa"/>
            <w:tcBorders>
              <w:top w:val="single" w:color="000000" w:sz="4" w:space="0"/>
              <w:left w:val="single" w:color="000000" w:sz="4" w:space="0"/>
              <w:bottom w:val="single" w:color="000000" w:sz="6"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5.1</w:t>
            </w:r>
          </w:p>
        </w:tc>
        <w:tc>
          <w:tcPr>
            <w:tcW w:w="1754" w:type="dxa"/>
            <w:tcBorders>
              <w:top w:val="single" w:color="000000" w:sz="4" w:space="0"/>
              <w:left w:val="single" w:color="000000" w:sz="4" w:space="0"/>
              <w:bottom w:val="single" w:color="000000" w:sz="6"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开标时间和地点</w:t>
            </w:r>
          </w:p>
        </w:tc>
        <w:tc>
          <w:tcPr>
            <w:tcW w:w="7060" w:type="dxa"/>
            <w:tcBorders>
              <w:top w:val="single" w:color="000000" w:sz="4" w:space="0"/>
              <w:left w:val="single" w:color="000000" w:sz="4" w:space="0"/>
              <w:bottom w:val="single" w:color="000000" w:sz="6"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开标时间：同投标截止时间（见本表4.2.1）</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开标地点：云南省公共资源交易信息网全国公共资源交易平台(云南省)（https://ggzy.yn.gov.cn），选择地区：</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，进入</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公共资源交易电子服务系统全国公共资源交易平台(云南省·</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w:t>
            </w:r>
          </w:p>
        </w:tc>
      </w:tr>
      <w:tr>
        <w:tblPrEx>
          <w:tblCellMar>
            <w:top w:w="0" w:type="dxa"/>
            <w:left w:w="10" w:type="dxa"/>
            <w:bottom w:w="0" w:type="dxa"/>
            <w:right w:w="10" w:type="dxa"/>
          </w:tblCellMar>
        </w:tblPrEx>
        <w:tc>
          <w:tcPr>
            <w:tcW w:w="922" w:type="dxa"/>
            <w:tcBorders>
              <w:top w:val="single" w:color="000000" w:sz="4" w:space="0"/>
              <w:left w:val="single" w:color="000000" w:sz="4" w:space="0"/>
              <w:bottom w:val="single" w:color="000000" w:sz="6"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5.2</w:t>
            </w:r>
          </w:p>
        </w:tc>
        <w:tc>
          <w:tcPr>
            <w:tcW w:w="1754" w:type="dxa"/>
            <w:tcBorders>
              <w:top w:val="single" w:color="000000" w:sz="4" w:space="0"/>
              <w:left w:val="single" w:color="000000" w:sz="4" w:space="0"/>
              <w:bottom w:val="single" w:color="000000" w:sz="6"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开标程序</w:t>
            </w:r>
          </w:p>
        </w:tc>
        <w:tc>
          <w:tcPr>
            <w:tcW w:w="7060" w:type="dxa"/>
            <w:tcBorders>
              <w:top w:val="single" w:color="000000" w:sz="4" w:space="0"/>
              <w:left w:val="single" w:color="000000" w:sz="4" w:space="0"/>
              <w:bottom w:val="single" w:color="000000" w:sz="6"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开标顺序：按系统显示顺序</w:t>
            </w:r>
          </w:p>
        </w:tc>
      </w:tr>
      <w:tr>
        <w:tblPrEx>
          <w:tblCellMar>
            <w:top w:w="0" w:type="dxa"/>
            <w:left w:w="10" w:type="dxa"/>
            <w:bottom w:w="0" w:type="dxa"/>
            <w:right w:w="10" w:type="dxa"/>
          </w:tblCellMar>
        </w:tblPrEx>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评标委员会的组建</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评标委员会构成：5人及以上单数</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其中经济及技术方面的专家不少于评标委员会总人数的2/3；</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评标专家确定方式：</w:t>
            </w:r>
            <w:r>
              <w:rPr>
                <w:rFonts w:hint="eastAsia" w:ascii="宋体" w:hAnsi="宋体" w:eastAsia="宋体" w:cs="宋体"/>
                <w:color w:val="auto"/>
                <w:highlight w:val="none"/>
              </w:rPr>
              <w:t>由招标人代表及招标人在专家库中抽取的技术及商务方面的专家组成。</w:t>
            </w:r>
          </w:p>
        </w:tc>
      </w:tr>
      <w:tr>
        <w:tblPrEx>
          <w:tblCellMar>
            <w:top w:w="0" w:type="dxa"/>
            <w:left w:w="10" w:type="dxa"/>
            <w:bottom w:w="0" w:type="dxa"/>
            <w:right w:w="10" w:type="dxa"/>
          </w:tblCellMar>
        </w:tblPrEx>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6.3.2</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评标委员会推荐中标候选人的人数</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不超过3名</w:t>
            </w:r>
          </w:p>
        </w:tc>
      </w:tr>
      <w:tr>
        <w:tblPrEx>
          <w:tblCellMar>
            <w:top w:w="0" w:type="dxa"/>
            <w:left w:w="10" w:type="dxa"/>
            <w:bottom w:w="0" w:type="dxa"/>
            <w:right w:w="10" w:type="dxa"/>
          </w:tblCellMar>
        </w:tblPrEx>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中标候选人公示媒介及期限</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公示媒介：云南省公共资源交易信息网全国公共资源交易平台(云南省)（https://ggzy.yn.gov.cn），选择地区：</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，进入</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公共资源交易电子服务系统全国公共资源交易平台(云南省·</w:t>
            </w:r>
            <w:r>
              <w:rPr>
                <w:rFonts w:hint="eastAsia" w:ascii="宋体" w:hAnsi="宋体" w:eastAsia="宋体" w:cs="宋体"/>
                <w:color w:val="auto"/>
                <w:szCs w:val="21"/>
                <w:highlight w:val="none"/>
                <w:lang w:eastAsia="zh-CN"/>
              </w:rPr>
              <w:t>昆明市</w:t>
            </w:r>
            <w:r>
              <w:rPr>
                <w:rFonts w:hint="eastAsia" w:ascii="宋体" w:hAnsi="宋体" w:eastAsia="宋体" w:cs="宋体"/>
                <w:color w:val="auto"/>
                <w:szCs w:val="21"/>
                <w:highlight w:val="none"/>
              </w:rPr>
              <w:t>)</w:t>
            </w:r>
            <w:r>
              <w:rPr>
                <w:rFonts w:hint="eastAsia" w:ascii="宋体" w:hAnsi="宋体" w:eastAsia="宋体" w:cs="宋体"/>
                <w:color w:val="auto"/>
                <w:spacing w:val="-20"/>
                <w:kern w:val="0"/>
                <w:szCs w:val="28"/>
                <w:highlight w:val="none"/>
              </w:rPr>
              <w:t>。</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公示期限：</w:t>
            </w:r>
            <w:r>
              <w:rPr>
                <w:rFonts w:hint="eastAsia" w:ascii="宋体" w:hAnsi="宋体" w:eastAsia="宋体" w:cs="宋体"/>
                <w:color w:val="auto"/>
                <w:szCs w:val="21"/>
                <w:highlight w:val="none"/>
                <w:u w:val="single"/>
              </w:rPr>
              <w:t xml:space="preserve"> 3 </w:t>
            </w:r>
            <w:r>
              <w:rPr>
                <w:rFonts w:hint="eastAsia" w:ascii="宋体" w:hAnsi="宋体" w:eastAsia="宋体" w:cs="宋体"/>
                <w:color w:val="auto"/>
                <w:szCs w:val="21"/>
                <w:highlight w:val="none"/>
              </w:rPr>
              <w:t>日</w:t>
            </w:r>
          </w:p>
        </w:tc>
      </w:tr>
      <w:tr>
        <w:tblPrEx>
          <w:tblCellMar>
            <w:top w:w="0" w:type="dxa"/>
            <w:left w:w="10" w:type="dxa"/>
            <w:bottom w:w="0" w:type="dxa"/>
            <w:right w:w="10" w:type="dxa"/>
          </w:tblCellMar>
        </w:tblPrEx>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7.4</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是否授权评标委员会确定中标人</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否</w:t>
            </w:r>
          </w:p>
        </w:tc>
      </w:tr>
      <w:tr>
        <w:tblPrEx>
          <w:tblCellMar>
            <w:top w:w="0" w:type="dxa"/>
            <w:left w:w="10" w:type="dxa"/>
            <w:bottom w:w="0" w:type="dxa"/>
            <w:right w:w="10" w:type="dxa"/>
          </w:tblCellMar>
        </w:tblPrEx>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7.6.1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履约保证金</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是否要求中标人提交履约保证金：</w:t>
            </w:r>
          </w:p>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要求</w:t>
            </w:r>
          </w:p>
          <w:p>
            <w:pPr>
              <w:spacing w:line="32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履约保证金的形式：</w:t>
            </w:r>
            <w:r>
              <w:rPr>
                <w:rFonts w:hint="eastAsia" w:ascii="宋体" w:hAnsi="宋体" w:cs="宋体"/>
                <w:color w:val="auto"/>
                <w:szCs w:val="21"/>
                <w:highlight w:val="none"/>
                <w:lang w:val="en-US" w:eastAsia="zh-CN"/>
              </w:rPr>
              <w:t>电汇、保函</w:t>
            </w:r>
          </w:p>
          <w:p>
            <w:pPr>
              <w:spacing w:line="3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履约保证金的金额：金额为合同总价款的5%，在合同签订后5个工作日内</w:t>
            </w:r>
            <w:r>
              <w:rPr>
                <w:rFonts w:hint="eastAsia" w:ascii="宋体" w:hAnsi="宋体" w:eastAsia="宋体" w:cs="宋体"/>
                <w:color w:val="auto"/>
                <w:szCs w:val="21"/>
                <w:highlight w:val="none"/>
                <w:lang w:val="en-US" w:eastAsia="zh-CN"/>
              </w:rPr>
              <w:t>递交</w:t>
            </w:r>
            <w:r>
              <w:rPr>
                <w:rFonts w:hint="eastAsia" w:ascii="宋体" w:hAnsi="宋体" w:cs="宋体"/>
                <w:color w:val="auto"/>
                <w:szCs w:val="21"/>
                <w:highlight w:val="none"/>
                <w:lang w:val="en-US" w:eastAsia="zh-CN"/>
              </w:rPr>
              <w:t>招标人。</w:t>
            </w:r>
            <w:r>
              <w:rPr>
                <w:rFonts w:hint="eastAsia" w:ascii="Times New Roman" w:hAnsi="Times New Roman" w:cs="Times New Roman"/>
              </w:rPr>
              <w:t>履约保证金在全部电梯验收合格并交付使用后，</w:t>
            </w:r>
            <w:r>
              <w:rPr>
                <w:rFonts w:hint="eastAsia" w:ascii="Times New Roman" w:hAnsi="Times New Roman" w:cs="Times New Roman"/>
                <w:highlight w:val="none"/>
              </w:rPr>
              <w:t>扣除应由乙方承担的费用后按照同期利息进行退还。</w:t>
            </w:r>
          </w:p>
          <w:p>
            <w:pPr>
              <w:spacing w:line="320" w:lineRule="exact"/>
              <w:rPr>
                <w:rFonts w:hint="eastAsia" w:ascii="宋体" w:hAnsi="宋体" w:eastAsia="宋体" w:cs="宋体"/>
                <w:strike/>
                <w:color w:val="auto"/>
                <w:szCs w:val="21"/>
                <w:highlight w:val="none"/>
              </w:rPr>
            </w:pPr>
            <w:r>
              <w:rPr>
                <w:rFonts w:hint="eastAsia" w:ascii="宋体" w:hAnsi="宋体" w:eastAsia="宋体" w:cs="宋体"/>
                <w:color w:val="auto"/>
                <w:szCs w:val="21"/>
                <w:highlight w:val="none"/>
              </w:rPr>
              <w:sym w:font="Wingdings 2" w:char="00A3"/>
            </w:r>
            <w:r>
              <w:rPr>
                <w:rFonts w:hint="eastAsia" w:ascii="宋体" w:hAnsi="宋体" w:eastAsia="宋体" w:cs="宋体"/>
                <w:color w:val="auto"/>
                <w:szCs w:val="21"/>
                <w:highlight w:val="none"/>
              </w:rPr>
              <w:t>不要求</w:t>
            </w:r>
          </w:p>
        </w:tc>
      </w:tr>
      <w:tr>
        <w:tblPrEx>
          <w:tblCellMar>
            <w:top w:w="0" w:type="dxa"/>
            <w:left w:w="10" w:type="dxa"/>
            <w:bottom w:w="0" w:type="dxa"/>
            <w:right w:w="10" w:type="dxa"/>
          </w:tblCellMar>
        </w:tblPrEx>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是否采用电子招标投标</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□否</w:t>
            </w:r>
          </w:p>
          <w:p>
            <w:pPr>
              <w:spacing w:line="320" w:lineRule="exact"/>
              <w:rPr>
                <w:rFonts w:hint="eastAsia" w:ascii="宋体" w:hAnsi="宋体" w:eastAsia="宋体" w:cs="宋体"/>
                <w:color w:val="auto"/>
                <w:highlight w:val="none"/>
                <w:lang w:eastAsia="en-US"/>
              </w:rPr>
            </w:pPr>
            <w:r>
              <w:rPr>
                <w:rFonts w:hint="eastAsia" w:ascii="宋体" w:hAnsi="宋体" w:eastAsia="宋体" w:cs="宋体"/>
                <w:color w:val="auto"/>
                <w:szCs w:val="21"/>
                <w:highlight w:val="none"/>
              </w:rPr>
              <w:sym w:font="Wingdings 2" w:char="0052"/>
            </w:r>
            <w:r>
              <w:rPr>
                <w:rFonts w:hint="eastAsia" w:ascii="宋体" w:hAnsi="宋体" w:eastAsia="宋体" w:cs="宋体"/>
                <w:color w:val="auto"/>
                <w:szCs w:val="21"/>
                <w:highlight w:val="none"/>
              </w:rPr>
              <w:t>是</w:t>
            </w:r>
          </w:p>
        </w:tc>
      </w:tr>
      <w:tr>
        <w:tblPrEx>
          <w:tblCellMar>
            <w:top w:w="0" w:type="dxa"/>
            <w:left w:w="10" w:type="dxa"/>
            <w:bottom w:w="0" w:type="dxa"/>
            <w:right w:w="10" w:type="dxa"/>
          </w:tblCellMar>
        </w:tblPrEx>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需要补充的其他内容</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投标文件应当对招标文件的实质性要求和第五章技术要求带*条款作出满足性或更优于招标人的响应，否则，投标人的投标将被否决投标。</w:t>
            </w:r>
          </w:p>
        </w:tc>
      </w:tr>
      <w:tr>
        <w:tblPrEx>
          <w:tblCellMar>
            <w:top w:w="0" w:type="dxa"/>
            <w:left w:w="10" w:type="dxa"/>
            <w:bottom w:w="0" w:type="dxa"/>
            <w:right w:w="10" w:type="dxa"/>
          </w:tblCellMar>
        </w:tblPrEx>
        <w:trPr>
          <w:trHeight w:val="5091" w:hRule="atLeast"/>
        </w:trPr>
        <w:tc>
          <w:tcPr>
            <w:tcW w:w="92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w:t>
            </w:r>
          </w:p>
        </w:tc>
        <w:tc>
          <w:tcPr>
            <w:tcW w:w="17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招标代理服务费</w:t>
            </w:r>
          </w:p>
        </w:tc>
        <w:tc>
          <w:tcPr>
            <w:tcW w:w="70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tabs>
                <w:tab w:val="left" w:pos="180"/>
              </w:tabs>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（1）本项目招标代理服务费由</w:t>
            </w:r>
            <w:r>
              <w:rPr>
                <w:rFonts w:hint="eastAsia" w:ascii="宋体" w:hAnsi="宋体" w:eastAsia="宋体" w:cs="宋体"/>
                <w:color w:val="auto"/>
                <w:szCs w:val="21"/>
                <w:highlight w:val="none"/>
                <w:u w:val="single"/>
              </w:rPr>
              <w:t>中标人</w:t>
            </w:r>
            <w:r>
              <w:rPr>
                <w:rFonts w:hint="eastAsia" w:ascii="宋体" w:hAnsi="宋体" w:eastAsia="宋体" w:cs="宋体"/>
                <w:color w:val="auto"/>
                <w:szCs w:val="21"/>
                <w:highlight w:val="none"/>
              </w:rPr>
              <w:t>支付，以实际中标金额按下表中费率用差额定率累进法计算后下浮</w:t>
            </w:r>
            <w:r>
              <w:rPr>
                <w:rFonts w:hint="eastAsia" w:ascii="宋体" w:hAnsi="宋体" w:eastAsia="宋体" w:cs="宋体"/>
                <w:color w:val="auto"/>
                <w:szCs w:val="21"/>
                <w:highlight w:val="none"/>
                <w:u w:val="single"/>
              </w:rPr>
              <w:t xml:space="preserve"> 0 </w:t>
            </w:r>
            <w:r>
              <w:rPr>
                <w:rFonts w:hint="eastAsia" w:ascii="宋体" w:hAnsi="宋体" w:eastAsia="宋体" w:cs="宋体"/>
                <w:color w:val="auto"/>
                <w:szCs w:val="21"/>
                <w:highlight w:val="none"/>
              </w:rPr>
              <w:t>%计取，不含应由招标人和投标人支付的信息咨询服务等费用。</w:t>
            </w:r>
          </w:p>
          <w:p>
            <w:pPr>
              <w:tabs>
                <w:tab w:val="left" w:pos="180"/>
              </w:tabs>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kern w:val="0"/>
                <w:szCs w:val="21"/>
                <w:highlight w:val="none"/>
              </w:rPr>
              <w:t>中标人应按照规定在收到中标通知书</w:t>
            </w:r>
            <w:r>
              <w:rPr>
                <w:rFonts w:hint="eastAsia" w:ascii="宋体" w:hAnsi="宋体" w:cs="宋体"/>
                <w:color w:val="auto"/>
                <w:kern w:val="0"/>
                <w:szCs w:val="21"/>
                <w:highlight w:val="none"/>
                <w:lang w:val="en-US" w:eastAsia="zh-CN"/>
              </w:rPr>
              <w:t>同时</w:t>
            </w:r>
            <w:r>
              <w:rPr>
                <w:rFonts w:hint="eastAsia" w:ascii="宋体" w:hAnsi="宋体" w:eastAsia="宋体" w:cs="宋体"/>
                <w:color w:val="auto"/>
                <w:kern w:val="0"/>
                <w:szCs w:val="21"/>
                <w:highlight w:val="none"/>
              </w:rPr>
              <w:t>向招标代理机构支付招标代理服务费。</w:t>
            </w:r>
          </w:p>
          <w:tbl>
            <w:tblPr>
              <w:tblStyle w:val="45"/>
              <w:tblW w:w="4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92"/>
              <w:gridCol w:w="2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3" w:hRule="atLeast"/>
                <w:jc w:val="center"/>
              </w:trPr>
              <w:tc>
                <w:tcPr>
                  <w:tcW w:w="1892"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中标金额（万元）</w:t>
                  </w:r>
                </w:p>
              </w:tc>
              <w:tc>
                <w:tcPr>
                  <w:tcW w:w="260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费率</w:t>
                  </w:r>
                  <w:r>
                    <w:rPr>
                      <w:rFonts w:hint="eastAsia" w:ascii="宋体" w:hAnsi="宋体" w:eastAsia="宋体" w:cs="宋体"/>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-9525</wp:posOffset>
                            </wp:positionV>
                            <wp:extent cx="635" cy="0"/>
                            <wp:effectExtent l="0" t="0" r="0" b="0"/>
                            <wp:wrapNone/>
                            <wp:docPr id="1" name="直线 6"/>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6" o:spid="_x0000_s1026" o:spt="20" style="position:absolute;left:0pt;margin-left:-9pt;margin-top:-0.75pt;height:0pt;width:0.05pt;z-index:251659264;mso-width-relative:page;mso-height-relative:page;" filled="f" stroked="t" coordsize="21600,21600" o:allowincell="f" o:gfxdata="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05B57dcAAAAJAQAADwAAAAAA&#10;AAABACAAAAAiAAAAZHJzL2Rvd25yZXYueG1sUEsBAhQAFAAAAAgAh07iQFLqnPXbAQAAywMAAA4A&#10;AAAAAAAAAQAgAAAAJgEAAGRycy9lMm9Eb2MueG1sUEsFBgAAAAAGAAYAWQEAAHMFAAAAAA==&#10;">
                            <v:fill on="f" focussize="0,0"/>
                            <v:stroke color="#000000" joinstyle="round"/>
                            <v:imagedata o:title=""/>
                            <o:lock v:ext="edit" aspectratio="f"/>
                          </v:line>
                        </w:pict>
                      </mc:Fallback>
                    </mc:AlternateContent>
                  </w:r>
                  <w:r>
                    <w:rPr>
                      <w:rFonts w:hint="eastAsia" w:ascii="宋体" w:hAnsi="宋体" w:eastAsia="宋体" w:cs="宋体"/>
                      <w:bCs/>
                      <w:color w:val="auto"/>
                      <w:szCs w:val="21"/>
                      <w:highlight w:val="none"/>
                    </w:rPr>
                    <w:t>（货物招标）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1892"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100以下</w:t>
                  </w:r>
                </w:p>
              </w:tc>
              <w:tc>
                <w:tcPr>
                  <w:tcW w:w="260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1892"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100-500</w:t>
                  </w:r>
                </w:p>
              </w:tc>
              <w:tc>
                <w:tcPr>
                  <w:tcW w:w="260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1892"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500-1000</w:t>
                  </w:r>
                </w:p>
              </w:tc>
              <w:tc>
                <w:tcPr>
                  <w:tcW w:w="260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8" w:hRule="atLeast"/>
                <w:jc w:val="center"/>
              </w:trPr>
              <w:tc>
                <w:tcPr>
                  <w:tcW w:w="1892"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1000-5000</w:t>
                  </w:r>
                </w:p>
              </w:tc>
              <w:tc>
                <w:tcPr>
                  <w:tcW w:w="260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8" w:hRule="atLeast"/>
                <w:jc w:val="center"/>
              </w:trPr>
              <w:tc>
                <w:tcPr>
                  <w:tcW w:w="1892"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5000-10000</w:t>
                  </w:r>
                </w:p>
              </w:tc>
              <w:tc>
                <w:tcPr>
                  <w:tcW w:w="260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8" w:hRule="atLeast"/>
                <w:jc w:val="center"/>
              </w:trPr>
              <w:tc>
                <w:tcPr>
                  <w:tcW w:w="1892"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10000-100000</w:t>
                  </w:r>
                </w:p>
              </w:tc>
              <w:tc>
                <w:tcPr>
                  <w:tcW w:w="260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8" w:hRule="atLeast"/>
                <w:jc w:val="center"/>
              </w:trPr>
              <w:tc>
                <w:tcPr>
                  <w:tcW w:w="1892"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100000以上</w:t>
                  </w:r>
                </w:p>
              </w:tc>
              <w:tc>
                <w:tcPr>
                  <w:tcW w:w="260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0.01%</w:t>
                  </w:r>
                </w:p>
              </w:tc>
            </w:tr>
          </w:tbl>
          <w:p>
            <w:pPr>
              <w:spacing w:line="320" w:lineRule="exact"/>
              <w:rPr>
                <w:rFonts w:hint="eastAsia" w:ascii="宋体" w:hAnsi="宋体" w:eastAsia="宋体" w:cs="宋体"/>
                <w:color w:val="auto"/>
                <w:szCs w:val="21"/>
                <w:highlight w:val="none"/>
              </w:rPr>
            </w:pPr>
          </w:p>
        </w:tc>
      </w:tr>
    </w:tbl>
    <w:p>
      <w:pPr>
        <w:pStyle w:val="27"/>
        <w:spacing w:after="0" w:line="240" w:lineRule="auto"/>
        <w:ind w:left="0" w:leftChars="0"/>
        <w:jc w:val="center"/>
        <w:rPr>
          <w:rFonts w:hint="eastAsia" w:ascii="宋体" w:hAnsi="宋体" w:eastAsia="宋体" w:cs="宋体"/>
          <w:color w:val="auto"/>
          <w:highlight w:val="none"/>
        </w:rPr>
      </w:pP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p>
    <w:p>
      <w:pPr>
        <w:widowControl/>
        <w:spacing w:line="440" w:lineRule="exact"/>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1. 总则</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1.1 招标项目概况</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1.1.1根据《中华人民共和国招标投标法》、《中华人民共和国招标投标法实施条例》等有关法律、法规和规章的规定，本招标项目已具备招标条件，现进行招标。</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1.1.2 招标人：见投标人须知前附表。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1.1.3 招标代理机构：见投标人须知前附表。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1.1.4招标项目名称：见投标人须知前附表。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1.1.5工程项目名称：即招标项目所属的工程建设项目，见投标人须知前附表。</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1.2 招标项目的资金来源和落实情况</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1.2.1 资金来源及比例：见投标人须知前附表。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1.2.2 资金落实情况：见投标人须知前附表。</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1.3招标范围、交货期、交货地点和技术性能指标</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1.3.1 招标范围：见投标人须知前附表。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1.3.2 项目完成时间：见投标人须知前附表。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1.3.3 项目地点：见投标人须知前附表。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1.3.4 质量要求：见投标人须知前附表。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1.3.5 质量保证期：见投标人须知前附表。</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1.4投标人资格要求</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 投标人应具备承担本招标项目资质条件、能力和信誉：</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（1）资质要求：见投标人须知前附表；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（2）财务要求：见投标人须知前附表；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（3）业绩要求：见投标人须知前附表；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（4）信誉要求：见投标人须知前附表；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（5）其他要求：见投标人须知前附表。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需要提交的相关证明材料见本章第3.5款的规定。</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1.4.2投标人须知前附表规定接受联合体投标的，联合体除应符合本章第1.4.1项和投标人须知前附表的要求外，还应遵守以下规定：</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（1）联合体各方应按招标文件提供的格式签订联合体协议书，明确联合体牵头人和各方权利义务，并承诺就中标项目向招标人承担连带责任；</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（2）由同一专业的单位组成的联合体，按照资质等级较低的单位确定资质等级；</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（3）联合体各方不得再以自己名义单独或参加其他联合体在本招标项目中投标，否则各相关投标均无效。</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1.4.3 投标人不得存在下列情形之一：</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（1）与招标人存在利害关系且可能影响招标公正性；</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（2）与本招标项目的其他投标人为同一个单位负责人；</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（3）与本招标项目的其他投标人存在控股、管理关系；</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（4）与本招标项目其他投标人代理同一个制造商同一品牌同一型号的材料投标；</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（5）为本招标项目提供过设计、编制技术规范和其他文件的咨询服务；</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（6）为本工程项目的相关监理人，或者与本工程项目的相关监理人存在隶属关系或者其他利害关系；</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（7）为本招标项目的代建人；</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（8）为本招标项目的招标代理机构；</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（9）与本招标项目的监理人或代建人或招标代理机构同为一个法定代表人；</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（10）与本招标项目的监理人或代建人或招标代理机构存在控股或参股关系；</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（11）被依法暂停或者取消投标资格；</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（12）被责令停产停业、暂扣或者吊销许可证、暂扣或者吊销执照；</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（13）进入清算程序，或被宣告破产，或其他丧失履约能力的情形；</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（14）在最近三年内发生重大产品质量问题（以相关行业主管部门的行政处罚决定或司法机关出具的有关法律文书为准）；</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（15）被工商行政管理机关在</w:t>
      </w:r>
      <w:r>
        <w:rPr>
          <w:rFonts w:hint="eastAsia" w:ascii="宋体" w:hAnsi="宋体" w:cs="宋体"/>
          <w:color w:val="auto"/>
          <w:highlight w:val="none"/>
          <w:lang w:val="en-US" w:eastAsia="zh-CN"/>
        </w:rPr>
        <w:t>国家</w:t>
      </w:r>
      <w:r>
        <w:rPr>
          <w:rFonts w:hint="eastAsia" w:ascii="宋体" w:hAnsi="宋体" w:eastAsia="宋体" w:cs="宋体"/>
          <w:color w:val="auto"/>
          <w:highlight w:val="none"/>
        </w:rPr>
        <w:t>企业信用信息公示系统中列入严重违法失信企业名单；</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（16）被最高人民法院在“信用中国”网站（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www.creditchina.gov.cn</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）或各级信用信息共享平台中列入失信被执行人名单；</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（17）法律法规或投标人须知前附表规定的其他情形。</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1.5 费用承担</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投标人准备和参加投标活动发生的费用自理。</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1.6保密</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参与招标投标活动的各方应对招标文件和投标文件中的商业和技术等秘密保密，否则应承担相应的法律责任。</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1.7 语言文字</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招标投标文件使用的语言文字为中文。专用术语使用外文的，应附有中文注释。</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1.8计量单位</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所有计量均采用中华人民共和国法定计量单位。</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1.9投标预备会</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1.9.1 投标人须知前附表规定召开投标预备会的，招标人按投标人须知前附表规定的时间和地点召开投标预备会，澄清投标人提出的问题。</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1.9.2 投标人应按投标人须知前附表规定的时间和形式将提出的问题送达招标人，以便招标人在会议期间澄清。</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1.9.3 投标预备会后，招标人将对投标人所提问题的澄清，以投标人须知前附表规定的形式通知所有购买招标文件的投标人。该澄清内容为招标文件的组成部分。</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1.10 踏勘现场</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1.10.1 投标人须知前附表规定组织踏勘现场的，招标人按投标人须知前附表规定的时间、地点组织投标人踏勘项目现场。 </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1.10.2 投标人踏勘现场发生的费用自理。</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1.10.3 除招标人的原因外，投标人自行负责在踏勘现场中所发生的人员伤亡和财产损失。</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1.10.4 招标人在踏勘现场中介绍的工程场地和相关的周边环境情况，供投标人在编制投标文件时参考，招标人不对投标人据此作出的判断和决策负责。</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1.11 分包</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1.11.1投标人拟在中标后将中标项目的非主体设备进行分包的，应符合投标人须知前附表规定的分包内容、分包金额和资质要求等限制性条件，除投标人须知前附表规定的非主体设备外，其他工作不得分包。 </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1.11.2中标人不得向他人转让中标项目，接受分包的人不得再次分包。中标人应当就分包项目向招标人负责，接受分包的人就分包项目承担连带责任。</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1.12响应和偏差</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1.12.1投标文件应当对招标文件的实质性要求和条件作出满足性或更有利于招标人的响应，否则，投标人的投标将被否决。实质性要求和条件见投标人须知前附表。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1.12.2 投标人应根据招标文件的要求提供投标设备技术性能指标的详细描述、技术支持资料及技术服务和质保期服务计划等内容以对招标文件作出响应。</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1.12.3 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1.12.4 投标人须知前附表规定了可以偏差的范围和最高偏差项数的，偏差应当符合投标人须知前附表规定的偏差范围和最高项数，超出偏差范围和最高偏差项数的投标将被否决。</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1.12.5 投标文件对招标文件的全部偏差，均应在投标文件的商务和技术偏差表中列明，除列明的内容外，视为投标人响应招标文件的全部要求。</w:t>
      </w:r>
    </w:p>
    <w:p>
      <w:pPr>
        <w:keepNext/>
        <w:keepLines/>
        <w:spacing w:line="44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2. 招标文件</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2.1 招标文件的组成</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本招标文件包括：</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（1）招标公告；</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（2）投标人须知；</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（3）评标办法；</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（4）合同条款及格式；</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（5）技术要求；</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（6）投标文件格式。</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根据本章第1.9款、第2.2款和第2.3款对招标文件所作的澄清、修改，构成招标文件的组成部分。</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2.2 招标文件的澄清</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2.2.2招标文件的澄清以投标人须知前附表规定的形式发给所有购买招标文件的投标人，但不指明澄清问题的来源。澄清发出的时间距本章第4.2.1项规定的投标截止时间不足15日的，并且澄清内容可能影响投标文件编制的，将相应延长投标截止时间。</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2.2.3投标人在收到澄清后，应按投标人须知前附表规定的时间和形式通知招标人，确认已收到该澄清。</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2.2.4除非招标人认为确有必要答复，否则，招标人有权拒绝回复投标人在本章第2.2.1项规定的时间后的任何澄清要求。</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2.3 招标文件的修改</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2.3.1招标人以投标人须知前附表规定的形式修改招标文件，并通知所有已购买招标文件的投标人。修改招标文件的时间距本章第4.2.1项规定的投标截止时间不足15日的，并且修改内容可能影响投标文件编制的，将相应延长投标截止时间。</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2.3.2投标人收到修改内容后，应按投标人须知前附表规定的时间和形式通知招标人，确认已收到该修改。</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2.4 招标文件的异议</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投标人或者其他利害关系人对招标文件有异议的，应当在投标截止时间10日前以书面形式提出。招标人将在收到异议之日起3日内作出答复；作出答复前，将暂停招标投标活动。</w:t>
      </w:r>
    </w:p>
    <w:p>
      <w:pPr>
        <w:keepNext/>
        <w:keepLines/>
        <w:spacing w:line="44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3. 投标文件</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3.1 投标文件的组成</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3.1.1 投标文件应包括下列内容：</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（1）投标（唱标）一览表；</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（2）投标函；</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（3）法定代表人身份证明；</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（4）授权委托书；</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（5）投标保证金；</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（6）商务和技术偏差表；</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（7）分项报价表；</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（8）资格审查资料；</w:t>
      </w:r>
    </w:p>
    <w:p>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（9）</w:t>
      </w:r>
      <w:r>
        <w:rPr>
          <w:rFonts w:hint="eastAsia" w:ascii="宋体" w:hAnsi="宋体" w:eastAsia="宋体" w:cs="宋体"/>
          <w:color w:val="auto"/>
          <w:highlight w:val="none"/>
          <w:lang w:val="en-US" w:eastAsia="zh-CN"/>
        </w:rPr>
        <w:t>设备选型及配置方案</w:t>
      </w:r>
      <w:r>
        <w:rPr>
          <w:rFonts w:hint="eastAsia" w:ascii="宋体" w:hAnsi="宋体" w:eastAsia="宋体" w:cs="宋体"/>
          <w:color w:val="auto"/>
          <w:highlight w:val="none"/>
        </w:rPr>
        <w:t>；</w:t>
      </w:r>
    </w:p>
    <w:p>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（10）</w:t>
      </w:r>
      <w:r>
        <w:rPr>
          <w:rFonts w:hint="eastAsia" w:ascii="宋体" w:hAnsi="宋体" w:eastAsia="宋体" w:cs="宋体"/>
          <w:color w:val="auto"/>
          <w:szCs w:val="21"/>
          <w:highlight w:val="none"/>
          <w:lang w:val="en-US" w:eastAsia="zh-CN"/>
        </w:rPr>
        <w:t>电梯拆除、安装施工技术方案</w:t>
      </w:r>
      <w:r>
        <w:rPr>
          <w:rFonts w:hint="eastAsia" w:ascii="宋体" w:hAnsi="宋体" w:eastAsia="宋体" w:cs="宋体"/>
          <w:color w:val="auto"/>
          <w:highlight w:val="none"/>
        </w:rPr>
        <w:t>；</w:t>
      </w:r>
    </w:p>
    <w:p>
      <w:pPr>
        <w:spacing w:line="360" w:lineRule="auto"/>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（11）</w:t>
      </w:r>
      <w:r>
        <w:rPr>
          <w:rFonts w:hint="eastAsia" w:ascii="宋体" w:hAnsi="宋体" w:eastAsia="宋体" w:cs="宋体"/>
          <w:color w:val="auto"/>
          <w:szCs w:val="21"/>
          <w:highlight w:val="none"/>
        </w:rPr>
        <w:t>供货、安装进度计划及保证措施</w:t>
      </w:r>
      <w:r>
        <w:rPr>
          <w:rFonts w:hint="eastAsia" w:ascii="宋体" w:hAnsi="宋体" w:eastAsia="宋体" w:cs="宋体"/>
          <w:color w:val="auto"/>
          <w:highlight w:val="none"/>
          <w:lang w:val="en-US" w:eastAsia="zh-CN"/>
        </w:rPr>
        <w:t>；</w:t>
      </w:r>
    </w:p>
    <w:p>
      <w:pPr>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（12）</w:t>
      </w:r>
      <w:r>
        <w:rPr>
          <w:rFonts w:hint="eastAsia" w:ascii="宋体" w:hAnsi="宋体" w:eastAsia="宋体" w:cs="宋体"/>
          <w:color w:val="auto"/>
          <w:szCs w:val="21"/>
          <w:highlight w:val="none"/>
        </w:rPr>
        <w:t>供货及安装人员安排</w:t>
      </w:r>
      <w:r>
        <w:rPr>
          <w:rFonts w:hint="eastAsia" w:ascii="宋体" w:hAnsi="宋体" w:eastAsia="宋体" w:cs="宋体"/>
          <w:color w:val="auto"/>
          <w:highlight w:val="none"/>
          <w:lang w:val="en-US" w:eastAsia="zh-CN"/>
        </w:rPr>
        <w:t>；</w:t>
      </w:r>
    </w:p>
    <w:p>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13</w:t>
      </w:r>
      <w:r>
        <w:rPr>
          <w:rFonts w:hint="eastAsia" w:ascii="宋体" w:hAnsi="宋体" w:eastAsia="宋体" w:cs="宋体"/>
          <w:color w:val="auto"/>
          <w:highlight w:val="none"/>
          <w:lang w:eastAsia="zh-CN"/>
        </w:rPr>
        <w:t>）</w:t>
      </w:r>
      <w:r>
        <w:rPr>
          <w:rFonts w:hint="eastAsia" w:ascii="宋体" w:hAnsi="宋体" w:eastAsia="宋体" w:cs="宋体"/>
          <w:color w:val="auto"/>
          <w:szCs w:val="21"/>
          <w:highlight w:val="none"/>
        </w:rPr>
        <w:t>质保期售后服务承诺及售后服务人员安排</w:t>
      </w:r>
      <w:r>
        <w:rPr>
          <w:rFonts w:hint="eastAsia" w:ascii="宋体" w:hAnsi="宋体" w:eastAsia="宋体" w:cs="宋体"/>
          <w:color w:val="auto"/>
          <w:highlight w:val="none"/>
          <w:lang w:val="en-US" w:eastAsia="zh-CN"/>
        </w:rPr>
        <w:t>；</w:t>
      </w:r>
    </w:p>
    <w:p>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14</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技术支持资料；</w:t>
      </w:r>
    </w:p>
    <w:p>
      <w:pPr>
        <w:spacing w:line="360" w:lineRule="auto"/>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（15）原装全新产品承诺书；</w:t>
      </w:r>
    </w:p>
    <w:p>
      <w:pPr>
        <w:spacing w:line="360" w:lineRule="auto"/>
        <w:ind w:firstLine="420"/>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（16）</w:t>
      </w:r>
      <w:r>
        <w:rPr>
          <w:rFonts w:hint="eastAsia" w:ascii="宋体" w:hAnsi="宋体" w:eastAsia="宋体" w:cs="宋体"/>
          <w:color w:val="auto"/>
          <w:highlight w:val="none"/>
        </w:rPr>
        <w:t>其他资料</w:t>
      </w:r>
      <w:r>
        <w:rPr>
          <w:rFonts w:hint="eastAsia" w:ascii="宋体" w:hAnsi="宋体" w:eastAsia="宋体" w:cs="宋体"/>
          <w:color w:val="auto"/>
          <w:highlight w:val="none"/>
          <w:lang w:eastAsia="zh-CN"/>
        </w:rPr>
        <w:t>。</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投标人在评标过程中作出的符合法律法规和招标文件规定的澄清确认，构成投标文件的组成部分。</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3.1.2 投标人须知前附表规定不接受联合体投标的，或投标人没有组成联合体的，投标文件不包括本章第3.1.1（3）目所指的联合体协议书。</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3.1.3 投标人须知前附表未要求提交投标保证金的，投标文件不包括本章第3.1.1（4）目所指的投标保证金。</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3.2 投标报价</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3.2.1 投标报价应包括国家规定的增值税税金，除投标人须知前附表另有规定外，增值税税金按一般计税方法计算。投标人应按第六章“投标文件格式”的要求在投标函中进行报价并填写分项报价表。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3.2.2 投标人应充分了解该项目的总体情况以及影响投标报价的其他要素。</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3.2.3 投标报价为各分项报价金额之和，投标报价与分项报价的合价不一致的，应以各分项合价累计数为准，修正投标报价；如分项报价中存在缺漏项，则视为缺漏项价格已包含在其他分项报价之中。投标人在投标截止时间前修改投标函中的投标报价总额，应同时修改投标文件“分项报价表”中的相应报价。此修改须符合本章第4.3款的有关要求。</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3.2.4 招标人设有最高投标限价的，投标人的投标报价不得超过最高投标限价，最高投标限价在投标人须知前附表中载明。</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3.2.5 投标报价的其他要求见投标人须知前附表。</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3.3 投标有效期</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3.3.1 除投标人须知前附表另有规定外，投标有效期为120日历天。</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3.3.2 在投标有效期内，投标人撤销投标文件的，应承担招标文件和法律规定的责任。</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3.4 投标保证金</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3.4.1 投标人在递交投标文件的同时，应按投标人须知前附表规定的金额、形式和第六章“投标文件格式”规定的投标保证金格式递交投标保证金，并作为其投标文件的组成部分。境内投标人以现金或者支票形式提交的投标保证金，应当从其基本账户转出。联合体投标的，其投标保证金可以由牵头人递交，并应符合投标人须知前附表的规定。</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3.4.2 投标人不按本章第3.4.1项要求提交投标保证金的，评标委员会将否决其投标。</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3.4.3 招标人最迟将在与中标人签订合同后5日内，向未中标的投标人和中标人退还投标保证金。</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3.4.4 有下列情形之一的，投标保证金将不予退还：</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（1）投标人在投标有效期内撤销投标文件；</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（2）中标人在收到中标通知书后，无正当理由不与招标人订立合同，在签订合同时向招标人提出附加条件，或者不按照招标文件要求提交履约保证金；</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（3）发生投标人须知前附表规定的其他可以不予退还投标保证金的情形。</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3.5 资格审查资料</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除投标人须知前附表另有规定外，投标人应按下列规定提供资格审查资料，以证明其满足本章第1.4款规定的资质、财务、信誉等要求。</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3.5.1 “投标人基本情况表”应附投标人营业执照等材料的原件扫描件。</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（1）投标人为企业的，应提交营业执照的扫描件；</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（2）投标人为依法允许经营的事业单位的，应提交事业单位法人证书和组织机构代码证的扫描件。</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3.5.2 投标人具有近三年“财务状况表”应附财务会计报表，包括资产负债表、现金流量表、利润表和财务情况说明书的扫描件，具体年份要求见投标人须知前附表。投标人的成立时间少于投标人须知前附表规定年份的，应提供成立以来的财务状况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3.5.3投标人具有近三年（2024年1月1日至投标截止日）类似项目业绩1项，类似项目是指：电梯改造或销售或安装项目供货业绩（投标时需提供供货合同扫描件，业绩时间以合同签订时间为准）</w:t>
      </w:r>
      <w:r>
        <w:rPr>
          <w:rFonts w:hint="eastAsia" w:ascii="宋体" w:hAnsi="宋体" w:eastAsia="宋体" w:cs="宋体"/>
          <w:color w:val="auto"/>
          <w:szCs w:val="21"/>
          <w:highlight w:val="none"/>
        </w:rPr>
        <w:t>。</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3.5.4 投标人信誉良好，没有处于被责令停业，暂停或取消投标资格，财产被接管或冻结，破产状态，在最近三年内没有骗取中标或严重违约或重大质量问题，无行贿等不良记录。</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3.5.5 投标人未被列入“信用中国”网站（www.creditchina.gov.cn）的失信被执行人名单（提供查询结果网页截图，查询时间为招标公告发布至投标文件递交截止时间</w:t>
      </w:r>
      <w:r>
        <w:rPr>
          <w:rFonts w:hint="eastAsia" w:ascii="宋体" w:hAnsi="宋体" w:eastAsia="宋体" w:cs="宋体"/>
          <w:color w:val="auto"/>
          <w:highlight w:val="none"/>
          <w:lang w:val="en-US" w:eastAsia="zh-CN"/>
        </w:rPr>
        <w:t>期间</w:t>
      </w:r>
      <w:r>
        <w:rPr>
          <w:rFonts w:hint="eastAsia" w:ascii="宋体" w:hAnsi="宋体" w:eastAsia="宋体" w:cs="宋体"/>
          <w:color w:val="auto"/>
          <w:highlight w:val="none"/>
        </w:rPr>
        <w:t>）。</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3.5.6</w:t>
      </w:r>
      <w:r>
        <w:rPr>
          <w:rFonts w:hint="eastAsia" w:ascii="宋体" w:hAnsi="宋体" w:eastAsia="宋体" w:cs="宋体"/>
          <w:color w:val="auto"/>
          <w:szCs w:val="21"/>
          <w:highlight w:val="none"/>
        </w:rPr>
        <w:t>投标人未被列入“国家企业信用信息公示系统”（www.gsxt.gov.cn）的严重违法失信企业名单（提供查询结果网页截图，查询时间为招标公告发布至投标文件递交截止时间</w:t>
      </w:r>
      <w:r>
        <w:rPr>
          <w:rFonts w:hint="eastAsia" w:ascii="宋体" w:hAnsi="宋体" w:eastAsia="宋体" w:cs="宋体"/>
          <w:color w:val="auto"/>
          <w:szCs w:val="21"/>
          <w:highlight w:val="none"/>
          <w:lang w:val="en-US" w:eastAsia="zh-CN"/>
        </w:rPr>
        <w:t>期间</w:t>
      </w:r>
      <w:r>
        <w:rPr>
          <w:rFonts w:hint="eastAsia" w:ascii="宋体" w:hAnsi="宋体" w:eastAsia="宋体" w:cs="宋体"/>
          <w:color w:val="auto"/>
          <w:szCs w:val="21"/>
          <w:highlight w:val="none"/>
        </w:rPr>
        <w:t>）。</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3.5.7 其他要求：</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3.5.7.1本项目不接受联合体投标。</w:t>
      </w:r>
      <w:r>
        <w:rPr>
          <w:rFonts w:hint="eastAsia" w:ascii="宋体" w:hAnsi="宋体" w:eastAsia="宋体" w:cs="宋体"/>
          <w:color w:val="auto"/>
          <w:highlight w:val="none"/>
        </w:rPr>
        <w:tab/>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3.5.7.2本次招标资格审查：资格后审。</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3.6 备选投标方案</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3.6.1 除投标人须知前附表规定允许外，投标人不得递交备选投标方案，否则其投标将被否决。</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3.6.3 投标人提供两个或两个以上投标报价，或者在投标文件中提供一个报价，但同时提供两个或两个以上供货方案的，视为提供备选方案。</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3.7 投标文件的编制</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3.7.1 投标文件应按第六章“投标文件格式”进行编写，如有必要，可以增加附页，作为投标文件的组成部分。</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3.7.2 投标文件应当对招标文件有关供货期、投标有效期、供货要求、招标范围等实质性内容作出响应。投标文件在满足招标文件实质性要求的基础上，可以提出比招标文件要求更有利于招标人的承诺。</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3.7.3投标文件全部采用电子文档，除投标人须知前附表另有规定外，投标文件所附证书证件均为原件扫描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3.7.4投标文件的编制要求：具体要求见投标人须知前附表。</w:t>
      </w:r>
    </w:p>
    <w:p>
      <w:pPr>
        <w:keepNext/>
        <w:keepLines/>
        <w:spacing w:line="44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4. 投标</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4.1 投标文件的密封和标记</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4.1.1投标人应当按照招标文件和电子招标投标交易平台的要求加密投标文件，具体要求见投标人须知前附表。</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4.2 投标文件的递交</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4.2.1 投标人应在投标人须知前附表规定的投标截止时间前递交投标文件。</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4.2.2 投标人递交投标文件的地点：见投标人须知前附表。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4.2.3投标人通过下载招标文件的电子招标投标交易平台递交电子投标文件。</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4.2.4除投标人须知前附表另有规定外，投标人所递交的投标文件不予退还。</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4.2.5投标人完成电子投标文件上传后，电子招标投标交易平台即时向投标人发出递交回执通知。递交时间以递交回执通知载明的传输完成时间为准。</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4.2.6投标人应在本章第4.2.1项规定的投标截止时间前将电子投标文件上传到云南省公共资源交易信息网全国公共资源交易平台(云南省)（https://ggzy.yn.gov.cn），选择地区：</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，进入</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公共资源交易电子服务系统全国公共资源交易平台(云南省·</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)系统 ，未按规定在投标截止时间前上传投标文件的，视为撤回其投标文件。</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4.2.7网上上传投标文件：投标人登录“云南省公共资源交易信息网全国公共资源交易平台(云南省)（https://ggzy.yn.gov.cn），选择地区：</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，进入</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公共资源交易电子服务系统全国公共资源交易平台(云南省·</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4.3 投标文件的修改与撤回</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4.3.1 在本章第4.2.1项规定的投标截止时间前，投标人可以修改或撤回已递交的投标文件，无须书面形式通知招标人。</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4.3.2投标人撤回投标文件的，可在规定时间内申请退还已缴纳的投标保证金。</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4.3.3修改的内容为投标文件的组成部分。修改的投标文件应按照本章第2条、第3条规定进行编制和上传。</w:t>
      </w:r>
    </w:p>
    <w:p>
      <w:pPr>
        <w:keepNext/>
        <w:keepLines/>
        <w:spacing w:line="44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5. 开标</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5.1 开标时间和地点</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招标人在本章第4.2.1项规定的投标截止时间（开标时间）,通过电子招标投标交易平台公开开标，所有投标人的法定代表人（单位负责人）或其委托代理人应当准时参加。</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5.2 开标程序</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主持人按下列程序进行开标：按照云南省公共资源交易信息网全国公共资源交易平台(云南省)（https://ggzy.yn.gov.cn），选择地区：</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，进入</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公共资源交易电子服务系统全国公共资源交易平台(云南省·</w:t>
      </w:r>
      <w:r>
        <w:rPr>
          <w:rFonts w:hint="eastAsia" w:ascii="宋体" w:hAnsi="宋体" w:eastAsia="宋体" w:cs="宋体"/>
          <w:color w:val="auto"/>
          <w:highlight w:val="none"/>
          <w:lang w:eastAsia="zh-CN"/>
        </w:rPr>
        <w:t>昆明市</w:t>
      </w:r>
      <w:r>
        <w:rPr>
          <w:rFonts w:hint="eastAsia" w:ascii="宋体" w:hAnsi="宋体" w:eastAsia="宋体" w:cs="宋体"/>
          <w:color w:val="auto"/>
          <w:highlight w:val="none"/>
        </w:rPr>
        <w:t>)系统自动提取所有投标人的顺序当众解密开标。</w:t>
      </w:r>
    </w:p>
    <w:p>
      <w:pPr>
        <w:keepNext/>
        <w:keepLines/>
        <w:spacing w:line="276" w:lineRule="auto"/>
        <w:ind w:firstLine="560" w:firstLineChars="200"/>
        <w:rPr>
          <w:rFonts w:hint="eastAsia" w:ascii="宋体" w:hAnsi="宋体" w:eastAsia="宋体" w:cs="宋体"/>
          <w:color w:val="auto"/>
          <w:sz w:val="28"/>
          <w:highlight w:val="none"/>
        </w:rPr>
      </w:pPr>
      <w:r>
        <w:rPr>
          <w:rFonts w:hint="eastAsia" w:ascii="宋体" w:hAnsi="宋体" w:eastAsia="宋体" w:cs="宋体"/>
          <w:color w:val="auto"/>
          <w:sz w:val="28"/>
          <w:highlight w:val="none"/>
        </w:rPr>
        <w:t>5.3开标异议</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投标人对开标有异议的，应当在开标现场提出，招标人当场作出答复，并制作记录。</w:t>
      </w:r>
    </w:p>
    <w:p>
      <w:pPr>
        <w:keepNext/>
        <w:keepLines/>
        <w:spacing w:line="44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6. 评标</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6.1 评标委员会</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6.1评标委员会</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6.1.2评标委员会成员有下列情形之一的，应当回避：</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(1)投标人或投标人主要负责人的近亲属；</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(2)项目主管部门或者行政监督部门的人员；</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(3)与投标人有经济利益关系，可能影响对投标公正评审的；</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(4)曾因在招标、评标以及其他与招标投标有关活动中从事违法行为而受过行政处罚或刑事处罚的；</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(5)与投标人有其他利害关系。</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6.1.3评标过程中，评标委员会成员有回避事由、擅离职守或者因健康等原因不能继续评标的，招标人有权更换。被更换的评标委员会成员作出的评审结论无效，由更换后的评标委员会成员重新进行评审。</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6.2评标原则</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评标活动遵循公平、公正、科学和择优的原则。</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6.3评标</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6.3.1评标委员会按照第三章“评标办法”规定的方法、评审因素、标准和程序对投标文件进行评审。第三章“评标办法”没有规定的方法、评审因素和标准，不作为评标依据。</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6.3.2评标完成后，评标委员会应当向招标人提交书面评标报告和中标候选人名单。评标委员会推荐中标候选人的人数见投标人须知前附表。</w:t>
      </w:r>
    </w:p>
    <w:p>
      <w:pPr>
        <w:keepNext/>
        <w:keepLines/>
        <w:spacing w:line="44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7. 合同授予</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7.1 中标候选人公示</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招标人在收到评标报告之日起3日内，按照投标人须知前附表规定的公示媒介和期限公示中标候选人，公示期不得少于3天。</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7.2 评标结果异议</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投标人或者其他利害关系人对评标结果有异议的，应当在中标候选人公示期间提出。招标人将在收到异议之日起3日内作出答复；作出答复前，将暂停招标投标活动。</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7.3 中标候选人履约能力审查</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中标候选人的经营、财务状况发生较大变化或存在违法行为，招标人认为可能影响其履约能力的，将在发出中标通知书前提请原评标委员会按照招标文件规定的标准和方法进行审查确认。</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7.4 定标</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按照投标人须知前附表的规定，招标人或招标人授权的评标委员会依法确定中标人。</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7.5 中标通知</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在本章第3.3款规定的投标有效期内，招标人以书面形式向中标人发出中标通知书，同时将中标结果通知未中标的投标人。</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7.6 履约保证金</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7.6.1 在签订合同前，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10%。联合体中标的，其履约保证金以联合体各方或者联合体中牵头人的名义提交。</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7.6.2 中标人不能按本章第7.6.1项要求提交履约保证金的，视为放弃中标，其投标保证金不予退还，给招标人造成的损失超过投标保证金数额的，中标人还应当对超过部分予以赔偿。</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7.7 签订合同</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7.7.1 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7.7.2 发出中标通知书后，招标人无正当理由拒签合同，或者在签订合同时向中标人提出附加条件的，招标人向中标人退还投标保证金；给中标人造成损失的，还应当赔偿损失。</w:t>
      </w:r>
    </w:p>
    <w:p>
      <w:pPr>
        <w:keepNext/>
        <w:keepLines/>
        <w:spacing w:line="44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8.纪律和监督</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8.1 对招标人的纪律要求</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招标人不得泄露招标投标活动中应当保密的情况和资料，不得与投标人串通损害国家利益、社会公共利益或者他人合法权益。</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8.2 对投标人的纪律要求</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8.3 对评标委员会成员的纪律要求</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8.4 对与评标活动有关的工作人员的纪律要求</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pPr>
        <w:keepNext/>
        <w:keepLines/>
        <w:spacing w:line="44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8.5 投诉</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8.5.1 投标人或者其他利害关系人认为招标投标活动不符合法律、行政法规规定的，可以自知道或者应当知道之日起10日内向有关行政监督部门投诉。投诉应当有明确的请求和必要的证明材料。</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8.5.2 投标人或者其他利害关系人对招标文件、开标和评标结果提出投诉的，应当按照投标人须知第2.4款、第5.3款和第7.2款的规定先向招标人提出异议。异议答复期间不计算在第8.5.1项规定的期限内。</w:t>
      </w:r>
    </w:p>
    <w:p>
      <w:pPr>
        <w:keepNext/>
        <w:keepLines/>
        <w:spacing w:line="44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9. 是否采用电子招标投标</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本招标项目是否采用电子招标投标方式，见投标人须知前附表。</w:t>
      </w:r>
    </w:p>
    <w:p>
      <w:pPr>
        <w:keepNext/>
        <w:keepLines/>
        <w:spacing w:line="44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10. 需要补充的其他内容</w:t>
      </w:r>
    </w:p>
    <w:p>
      <w:pPr>
        <w:spacing w:line="276"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需要补充的其他内容：见投标人须知前附表。</w:t>
      </w:r>
      <w:bookmarkStart w:id="8" w:name="_Toc14426"/>
    </w:p>
    <w:p>
      <w:pPr>
        <w:bidi w:val="0"/>
        <w:rPr>
          <w:rFonts w:hint="eastAsia"/>
        </w:rPr>
      </w:pPr>
      <w:bookmarkStart w:id="9" w:name="_Toc1644"/>
      <w:r>
        <w:rPr>
          <w:rFonts w:hint="eastAsia"/>
        </w:rPr>
        <w:br w:type="page"/>
      </w:r>
    </w:p>
    <w:p>
      <w:pPr>
        <w:spacing w:line="276" w:lineRule="auto"/>
        <w:ind w:firstLine="883" w:firstLineChars="200"/>
        <w:jc w:val="center"/>
        <w:outlineLvl w:val="0"/>
        <w:rPr>
          <w:rFonts w:hint="eastAsia" w:ascii="宋体" w:hAnsi="宋体" w:eastAsia="宋体" w:cs="宋体"/>
          <w:b/>
          <w:color w:val="auto"/>
          <w:sz w:val="44"/>
          <w:highlight w:val="none"/>
        </w:rPr>
      </w:pPr>
      <w:r>
        <w:rPr>
          <w:rFonts w:hint="eastAsia" w:ascii="宋体" w:hAnsi="宋体" w:eastAsia="宋体" w:cs="宋体"/>
          <w:b/>
          <w:color w:val="auto"/>
          <w:sz w:val="44"/>
          <w:highlight w:val="none"/>
        </w:rPr>
        <w:t>第三章 评标办法（综合评估法）</w:t>
      </w:r>
      <w:bookmarkEnd w:id="8"/>
      <w:bookmarkEnd w:id="9"/>
    </w:p>
    <w:p>
      <w:pPr>
        <w:keepNext/>
        <w:keepLines/>
        <w:spacing w:after="156" w:afterLines="50" w:line="276" w:lineRule="auto"/>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评标办法前附表</w:t>
      </w:r>
    </w:p>
    <w:tbl>
      <w:tblPr>
        <w:tblStyle w:val="45"/>
        <w:tblW w:w="9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53"/>
        <w:gridCol w:w="1057"/>
        <w:gridCol w:w="2142"/>
        <w:gridCol w:w="5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1810" w:type="dxa"/>
            <w:gridSpan w:val="2"/>
            <w:shd w:val="clear" w:color="000000" w:fill="FFFFFF"/>
            <w:tcMar>
              <w:left w:w="108" w:type="dxa"/>
              <w:right w:w="108" w:type="dxa"/>
            </w:tcMar>
            <w:vAlign w:val="center"/>
          </w:tcPr>
          <w:p>
            <w:pPr>
              <w:spacing w:line="430" w:lineRule="exact"/>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条款号</w:t>
            </w:r>
          </w:p>
        </w:tc>
        <w:tc>
          <w:tcPr>
            <w:tcW w:w="2142" w:type="dxa"/>
            <w:shd w:val="clear" w:color="000000" w:fill="FFFFFF"/>
            <w:tcMar>
              <w:left w:w="108" w:type="dxa"/>
              <w:right w:w="108" w:type="dxa"/>
            </w:tcMar>
            <w:vAlign w:val="center"/>
          </w:tcPr>
          <w:p>
            <w:pPr>
              <w:spacing w:line="430" w:lineRule="exact"/>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评审因素</w:t>
            </w:r>
          </w:p>
        </w:tc>
        <w:tc>
          <w:tcPr>
            <w:tcW w:w="5522" w:type="dxa"/>
            <w:shd w:val="clear" w:color="000000" w:fill="FFFFFF"/>
            <w:tcMar>
              <w:left w:w="108" w:type="dxa"/>
              <w:right w:w="108" w:type="dxa"/>
            </w:tcMar>
            <w:vAlign w:val="center"/>
          </w:tcPr>
          <w:p>
            <w:pPr>
              <w:spacing w:line="430" w:lineRule="exact"/>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53" w:type="dxa"/>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057"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评标方法</w:t>
            </w: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中标候选人排序方法</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按照本评标办法前附表规定的评分标准进行量化打分，并按得分由高到低顺序推荐中标候选人。综合评分相等时，以投标报价低的优先；投标报价也相等的，由招标人或其授权的评标委员会自行确定。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1" w:hRule="atLeast"/>
          <w:jc w:val="center"/>
        </w:trPr>
        <w:tc>
          <w:tcPr>
            <w:tcW w:w="753" w:type="dxa"/>
            <w:vMerge w:val="restart"/>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w:t>
            </w:r>
          </w:p>
        </w:tc>
        <w:tc>
          <w:tcPr>
            <w:tcW w:w="1057" w:type="dxa"/>
            <w:vMerge w:val="restart"/>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形式评审标准</w:t>
            </w: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与营业执照一致。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身份证明或授权委托书</w:t>
            </w:r>
            <w:r>
              <w:rPr>
                <w:rFonts w:hint="eastAsia" w:ascii="宋体" w:hAnsi="宋体" w:eastAsia="宋体" w:cs="宋体"/>
                <w:color w:val="auto"/>
                <w:szCs w:val="21"/>
                <w:highlight w:val="none"/>
              </w:rPr>
              <w:t>电子签章</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采用企业、法定代表人电子签章及数字证书电子签名。投标文件由法定代表人（单位负责人）签字的，应附法定代表人（单位负责人）身份证明，由代理人签字的，应附授权委托书，身份证明或授权委托书应符合第六章“投标文件格式”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753" w:type="dxa"/>
            <w:vMerge w:val="continue"/>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投标文件格式</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符合《电子投标文件编制及上传要求》及招标文件格式的要求。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法定代表人身份证明或附法定代表人身份证明的授权委托书</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符合投标文件格式要求。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53" w:type="dxa"/>
            <w:vMerge w:val="continue"/>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备选投标方案</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除招标文件明确允许提交备选投标方案外，投标人不得提交备选投标方案。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restart"/>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w:t>
            </w:r>
          </w:p>
        </w:tc>
        <w:tc>
          <w:tcPr>
            <w:tcW w:w="1057" w:type="dxa"/>
            <w:vMerge w:val="restart"/>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资格评审标准</w:t>
            </w: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营业执照</w:t>
            </w:r>
            <w:r>
              <w:rPr>
                <w:rFonts w:hint="eastAsia" w:ascii="宋体" w:hAnsi="宋体" w:eastAsia="宋体" w:cs="宋体"/>
                <w:color w:val="auto"/>
                <w:szCs w:val="21"/>
                <w:highlight w:val="none"/>
                <w:lang w:val="en-US" w:eastAsia="zh-CN"/>
              </w:rPr>
              <w:t>等证明文件</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制造商授权书</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项目负责人要求</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财务要求</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业绩要求</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信誉要求</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其他要求</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不存在禁止投标的情形</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不存在第二章“投标人须知”第1.4.3项规定的任何一种情形。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restart"/>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2.1.3</w:t>
            </w:r>
          </w:p>
        </w:tc>
        <w:tc>
          <w:tcPr>
            <w:tcW w:w="1057" w:type="dxa"/>
            <w:vMerge w:val="restart"/>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响应性评审标准</w:t>
            </w: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最高限价</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投标人的总报价不得高于最高投标限价，否则评标委员会将否决其投标，作为无效标处理。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投标内容</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项目完成时间</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符合第二章“投标人须知”第1.3.2项规定。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5"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项目地点</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符合第二章“投标人须知”第1.3.3项规定。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80"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质量要求</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w:t>
            </w:r>
            <w:bookmarkStart w:id="188" w:name="_GoBack"/>
            <w:bookmarkEnd w:id="188"/>
            <w:r>
              <w:rPr>
                <w:rFonts w:hint="eastAsia" w:ascii="宋体" w:hAnsi="宋体" w:eastAsia="宋体" w:cs="宋体"/>
                <w:color w:val="auto"/>
                <w:szCs w:val="21"/>
                <w:highlight w:val="none"/>
              </w:rPr>
              <w:t>第二章“投标人须知”第1.3.4项规定及第五章“技术要求”的规定。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27"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质量保证期</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符合第二章“投标人须知”第1.3.5项规定。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符合第二章“投标人须知”第3.3.1项规定。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符合第二章“投标人须知”第3.4.1项规定。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权利义务</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符合第二章“投标人须知”第1.12.1项规定和第四章“合同条款及格式”中的实质性要求和条件。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30"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highlight w:val="none"/>
              </w:rPr>
              <w:t>投标设备及技术服务和质保期服务</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符合第五章“技术要求”。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技术支持资料</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符合第二章“投标人须知”第1.12.3项规定。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bookmarkStart w:id="10" w:name="_Hlk97629459"/>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highlight w:val="none"/>
                <w:lang w:val="en-US"/>
              </w:rPr>
              <w:t>投标</w:t>
            </w:r>
            <w:r>
              <w:rPr>
                <w:rFonts w:hint="eastAsia" w:ascii="宋体" w:hAnsi="宋体" w:eastAsia="宋体" w:cs="宋体"/>
                <w:color w:val="auto"/>
                <w:highlight w:val="none"/>
                <w:lang w:val="en-US" w:eastAsia="zh-CN"/>
              </w:rPr>
              <w:t>产品</w:t>
            </w:r>
            <w:r>
              <w:rPr>
                <w:rFonts w:hint="eastAsia" w:ascii="宋体" w:hAnsi="宋体" w:eastAsia="宋体" w:cs="宋体"/>
                <w:color w:val="auto"/>
                <w:highlight w:val="none"/>
                <w:lang w:val="en-US"/>
              </w:rPr>
              <w:t>的主要</w:t>
            </w:r>
            <w:r>
              <w:rPr>
                <w:rFonts w:hint="eastAsia" w:ascii="宋体" w:hAnsi="宋体" w:eastAsia="宋体" w:cs="宋体"/>
                <w:color w:val="auto"/>
                <w:highlight w:val="none"/>
                <w:lang w:val="en-US" w:eastAsia="zh-CN"/>
              </w:rPr>
              <w:t>工艺</w:t>
            </w:r>
            <w:r>
              <w:rPr>
                <w:rFonts w:hint="eastAsia" w:ascii="宋体" w:hAnsi="宋体" w:eastAsia="宋体" w:cs="宋体"/>
                <w:color w:val="auto"/>
                <w:highlight w:val="none"/>
                <w:lang w:val="en-US"/>
              </w:rPr>
              <w:t>技术参数满足招标文件中*</w:t>
            </w:r>
            <w:r>
              <w:rPr>
                <w:rFonts w:hint="eastAsia" w:ascii="宋体" w:hAnsi="宋体" w:eastAsia="宋体" w:cs="宋体"/>
                <w:color w:val="auto"/>
                <w:highlight w:val="none"/>
                <w:lang w:val="en-US" w:eastAsia="zh-CN"/>
              </w:rPr>
              <w:t>条款的</w:t>
            </w:r>
            <w:r>
              <w:rPr>
                <w:rFonts w:hint="eastAsia" w:ascii="宋体" w:hAnsi="宋体" w:eastAsia="宋体" w:cs="宋体"/>
                <w:color w:val="auto"/>
                <w:highlight w:val="none"/>
                <w:lang w:val="en-US"/>
              </w:rPr>
              <w:t>要求</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val="en-US"/>
              </w:rPr>
              <w:t>相关条款与标书关键条款有实质性偏离将被否决</w:t>
            </w:r>
            <w:r>
              <w:rPr>
                <w:rFonts w:hint="eastAsia" w:ascii="宋体" w:hAnsi="宋体" w:eastAsia="宋体" w:cs="宋体"/>
                <w:color w:val="auto"/>
                <w:highlight w:val="none"/>
                <w:lang w:val="en-US" w:eastAsia="zh-CN"/>
              </w:rPr>
              <w:t>）</w:t>
            </w:r>
          </w:p>
        </w:tc>
        <w:tc>
          <w:tcPr>
            <w:tcW w:w="5522" w:type="dxa"/>
            <w:shd w:val="clear" w:color="000000" w:fill="FFFFFF"/>
            <w:tcMar>
              <w:left w:w="108" w:type="dxa"/>
              <w:right w:w="108" w:type="dxa"/>
            </w:tcMar>
            <w:vAlign w:val="center"/>
          </w:tcPr>
          <w:p>
            <w:pPr>
              <w:spacing w:line="276" w:lineRule="auto"/>
              <w:jc w:val="left"/>
              <w:rPr>
                <w:rFonts w:hint="eastAsia"/>
                <w:highlight w:val="none"/>
                <w:lang w:eastAsia="zh-CN"/>
              </w:rPr>
            </w:pPr>
            <w:r>
              <w:rPr>
                <w:rFonts w:hint="eastAsia"/>
                <w:highlight w:val="none"/>
                <w:lang w:val="en-US" w:eastAsia="zh-CN"/>
              </w:rPr>
              <w:t>1、</w:t>
            </w:r>
            <w:r>
              <w:rPr>
                <w:rFonts w:hint="eastAsia"/>
                <w:highlight w:val="none"/>
              </w:rPr>
              <w:t>曳引机：永磁同步曳引机、要求原厂原品牌</w:t>
            </w:r>
            <w:r>
              <w:rPr>
                <w:rFonts w:hint="eastAsia"/>
                <w:highlight w:val="none"/>
                <w:lang w:eastAsia="zh-CN"/>
              </w:rPr>
              <w:t>，</w:t>
            </w:r>
            <w:r>
              <w:rPr>
                <w:rFonts w:hint="eastAsia"/>
                <w:highlight w:val="none"/>
                <w:lang w:val="en-US" w:eastAsia="zh-CN"/>
              </w:rPr>
              <w:t>不接受贴牌产品，</w:t>
            </w:r>
            <w:r>
              <w:rPr>
                <w:rFonts w:hint="eastAsia"/>
                <w:highlight w:val="none"/>
              </w:rPr>
              <w:t>提供原厂原品牌型式试验证书作为证明材料</w:t>
            </w:r>
            <w:r>
              <w:rPr>
                <w:rFonts w:hint="eastAsia"/>
                <w:highlight w:val="none"/>
                <w:lang w:eastAsia="zh-CN"/>
              </w:rPr>
              <w:t>。</w:t>
            </w:r>
          </w:p>
          <w:p>
            <w:pPr>
              <w:spacing w:line="276" w:lineRule="auto"/>
              <w:jc w:val="left"/>
              <w:rPr>
                <w:rFonts w:hint="eastAsia"/>
                <w:highlight w:val="none"/>
                <w:lang w:eastAsia="zh-CN"/>
              </w:rPr>
            </w:pPr>
            <w:r>
              <w:rPr>
                <w:rFonts w:hint="eastAsia"/>
                <w:highlight w:val="none"/>
                <w:lang w:val="en-US" w:eastAsia="zh-CN"/>
              </w:rPr>
              <w:t>2、</w:t>
            </w:r>
            <w:r>
              <w:rPr>
                <w:rFonts w:hint="eastAsia"/>
                <w:highlight w:val="none"/>
              </w:rPr>
              <w:t>控制柜：全电脑全集选方式、要求原厂原品牌</w:t>
            </w:r>
            <w:r>
              <w:rPr>
                <w:rFonts w:hint="eastAsia"/>
                <w:highlight w:val="none"/>
                <w:lang w:eastAsia="zh-CN"/>
              </w:rPr>
              <w:t>，</w:t>
            </w:r>
            <w:r>
              <w:rPr>
                <w:rFonts w:hint="eastAsia"/>
                <w:highlight w:val="none"/>
                <w:lang w:val="en-US" w:eastAsia="zh-CN"/>
              </w:rPr>
              <w:t>不接受贴牌产品，</w:t>
            </w:r>
            <w:r>
              <w:rPr>
                <w:rFonts w:hint="eastAsia"/>
                <w:highlight w:val="none"/>
              </w:rPr>
              <w:t>提供原厂原品牌型式试验证书作为证明材料</w:t>
            </w:r>
            <w:r>
              <w:rPr>
                <w:rFonts w:hint="eastAsia"/>
                <w:highlight w:val="none"/>
                <w:lang w:eastAsia="zh-CN"/>
              </w:rPr>
              <w:t>。</w:t>
            </w:r>
          </w:p>
          <w:p>
            <w:pPr>
              <w:spacing w:line="276" w:lineRule="auto"/>
              <w:jc w:val="left"/>
              <w:rPr>
                <w:rFonts w:hint="eastAsia"/>
                <w:highlight w:val="none"/>
                <w:lang w:eastAsia="zh-CN"/>
              </w:rPr>
            </w:pPr>
            <w:r>
              <w:rPr>
                <w:rFonts w:hint="eastAsia"/>
                <w:highlight w:val="none"/>
                <w:lang w:val="en-US" w:eastAsia="zh-CN"/>
              </w:rPr>
              <w:t>3、主机：采用永磁同步无齿轮电机驱动，</w:t>
            </w:r>
            <w:r>
              <w:rPr>
                <w:rFonts w:hint="eastAsia"/>
                <w:highlight w:val="none"/>
              </w:rPr>
              <w:t>要求原厂原品牌</w:t>
            </w:r>
            <w:r>
              <w:rPr>
                <w:rFonts w:hint="eastAsia"/>
                <w:highlight w:val="none"/>
                <w:lang w:eastAsia="zh-CN"/>
              </w:rPr>
              <w:t>，</w:t>
            </w:r>
            <w:r>
              <w:rPr>
                <w:rFonts w:hint="eastAsia"/>
                <w:highlight w:val="none"/>
                <w:lang w:val="en-US" w:eastAsia="zh-CN"/>
              </w:rPr>
              <w:t>不接受贴牌产品，</w:t>
            </w:r>
            <w:r>
              <w:rPr>
                <w:rFonts w:hint="eastAsia"/>
                <w:highlight w:val="none"/>
              </w:rPr>
              <w:t>提供原厂原品牌型式试验证书作为证明材料</w:t>
            </w:r>
            <w:r>
              <w:rPr>
                <w:rFonts w:hint="eastAsia"/>
                <w:highlight w:val="none"/>
                <w:lang w:eastAsia="zh-CN"/>
              </w:rPr>
              <w:t>。</w:t>
            </w:r>
          </w:p>
          <w:p>
            <w:pPr>
              <w:spacing w:line="276" w:lineRule="auto"/>
              <w:jc w:val="left"/>
              <w:rPr>
                <w:rFonts w:hint="eastAsia"/>
                <w:highlight w:val="none"/>
                <w:lang w:eastAsia="zh-CN"/>
              </w:rPr>
            </w:pPr>
            <w:r>
              <w:rPr>
                <w:rFonts w:hint="eastAsia"/>
                <w:highlight w:val="none"/>
                <w:lang w:val="en-US" w:eastAsia="zh-CN"/>
              </w:rPr>
              <w:t>4、</w:t>
            </w:r>
            <w:r>
              <w:rPr>
                <w:rFonts w:hint="eastAsia"/>
                <w:highlight w:val="none"/>
              </w:rPr>
              <w:t>门机：中分</w:t>
            </w:r>
            <w:r>
              <w:rPr>
                <w:rFonts w:hint="eastAsia"/>
                <w:highlight w:val="none"/>
                <w:lang w:val="en-US" w:eastAsia="zh-CN"/>
              </w:rPr>
              <w:t>永磁</w:t>
            </w:r>
            <w:r>
              <w:rPr>
                <w:rFonts w:hint="eastAsia"/>
                <w:highlight w:val="none"/>
              </w:rPr>
              <w:t>变频门机、要求原厂原品牌</w:t>
            </w:r>
            <w:r>
              <w:rPr>
                <w:rFonts w:hint="eastAsia"/>
                <w:highlight w:val="none"/>
                <w:lang w:eastAsia="zh-CN"/>
              </w:rPr>
              <w:t>，</w:t>
            </w:r>
            <w:r>
              <w:rPr>
                <w:rFonts w:hint="eastAsia"/>
                <w:highlight w:val="none"/>
                <w:lang w:val="en-US" w:eastAsia="zh-CN"/>
              </w:rPr>
              <w:t>不接受贴牌产品，</w:t>
            </w:r>
            <w:r>
              <w:rPr>
                <w:rFonts w:hint="eastAsia"/>
                <w:highlight w:val="none"/>
              </w:rPr>
              <w:t>提供原厂原品牌型式试验证书作为证明材料</w:t>
            </w:r>
            <w:r>
              <w:rPr>
                <w:rFonts w:hint="eastAsia"/>
                <w:highlight w:val="none"/>
                <w:lang w:eastAsia="zh-CN"/>
              </w:rPr>
              <w:t>。</w:t>
            </w:r>
          </w:p>
          <w:p>
            <w:pPr>
              <w:pStyle w:val="44"/>
              <w:ind w:left="0" w:leftChars="0" w:firstLine="0" w:firstLineChars="0"/>
              <w:rPr>
                <w:rFonts w:hint="eastAsia"/>
                <w:highlight w:val="none"/>
                <w:lang w:eastAsia="zh-CN"/>
              </w:rPr>
            </w:pPr>
            <w:r>
              <w:rPr>
                <w:rFonts w:hint="eastAsia" w:ascii="Times New Roman" w:hAnsi="Times New Roman" w:eastAsia="宋体" w:cs="Times New Roman"/>
                <w:kern w:val="2"/>
                <w:sz w:val="21"/>
                <w:szCs w:val="22"/>
                <w:highlight w:val="none"/>
                <w:lang w:val="en-US" w:eastAsia="zh-CN" w:bidi="ar-SA"/>
              </w:rPr>
              <w:t>5、光幕保护：光幕，光束≥150束 、要求原厂原品牌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1810" w:type="dxa"/>
            <w:gridSpan w:val="2"/>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条款号</w:t>
            </w: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条款内容</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1810" w:type="dxa"/>
            <w:gridSpan w:val="2"/>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w:t>
            </w: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分值构成</w:t>
            </w:r>
          </w:p>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(总分100.00分)</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商务部分：</w:t>
            </w:r>
            <w:r>
              <w:rPr>
                <w:rFonts w:hint="eastAsia" w:ascii="宋体" w:hAnsi="宋体" w:cs="宋体"/>
                <w:color w:val="auto"/>
                <w:szCs w:val="21"/>
                <w:highlight w:val="none"/>
                <w:u w:val="single"/>
                <w:lang w:val="en-US" w:eastAsia="zh-CN"/>
              </w:rPr>
              <w:t>6</w:t>
            </w:r>
            <w:r>
              <w:rPr>
                <w:rFonts w:hint="eastAsia" w:ascii="宋体" w:hAnsi="宋体" w:eastAsia="宋体" w:cs="宋体"/>
                <w:color w:val="auto"/>
                <w:szCs w:val="21"/>
                <w:highlight w:val="none"/>
                <w:u w:val="single"/>
              </w:rPr>
              <w:t>.00</w:t>
            </w:r>
            <w:r>
              <w:rPr>
                <w:rFonts w:hint="eastAsia" w:ascii="宋体" w:hAnsi="宋体" w:eastAsia="宋体" w:cs="宋体"/>
                <w:color w:val="auto"/>
                <w:szCs w:val="21"/>
                <w:highlight w:val="none"/>
              </w:rPr>
              <w:t>分</w:t>
            </w:r>
          </w:p>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技术部分：</w:t>
            </w:r>
            <w:r>
              <w:rPr>
                <w:rFonts w:hint="eastAsia" w:ascii="宋体" w:hAnsi="宋体" w:eastAsia="宋体" w:cs="宋体"/>
                <w:color w:val="auto"/>
                <w:szCs w:val="21"/>
                <w:highlight w:val="none"/>
                <w:u w:val="single"/>
                <w:lang w:val="en-US" w:eastAsia="zh-CN"/>
              </w:rPr>
              <w:t>6</w:t>
            </w:r>
            <w:r>
              <w:rPr>
                <w:rFonts w:hint="eastAsia" w:ascii="宋体" w:hAnsi="宋体" w:cs="宋体"/>
                <w:color w:val="auto"/>
                <w:szCs w:val="21"/>
                <w:highlight w:val="none"/>
                <w:u w:val="single"/>
                <w:lang w:val="en-US" w:eastAsia="zh-CN"/>
              </w:rPr>
              <w:t>4</w:t>
            </w:r>
            <w:r>
              <w:rPr>
                <w:rFonts w:hint="eastAsia" w:ascii="宋体" w:hAnsi="宋体" w:eastAsia="宋体" w:cs="宋体"/>
                <w:color w:val="auto"/>
                <w:szCs w:val="21"/>
                <w:highlight w:val="none"/>
                <w:u w:val="single"/>
              </w:rPr>
              <w:t xml:space="preserve">.00 </w:t>
            </w:r>
            <w:r>
              <w:rPr>
                <w:rFonts w:hint="eastAsia" w:ascii="宋体" w:hAnsi="宋体" w:eastAsia="宋体" w:cs="宋体"/>
                <w:color w:val="auto"/>
                <w:szCs w:val="21"/>
                <w:highlight w:val="none"/>
              </w:rPr>
              <w:t>分</w:t>
            </w:r>
          </w:p>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r>
              <w:rPr>
                <w:rFonts w:hint="eastAsia" w:ascii="宋体" w:hAnsi="宋体" w:eastAsia="宋体" w:cs="宋体"/>
                <w:color w:val="auto"/>
                <w:szCs w:val="21"/>
                <w:highlight w:val="none"/>
                <w:u w:val="single"/>
                <w:lang w:val="en-US" w:eastAsia="zh-CN"/>
              </w:rPr>
              <w:t>30</w:t>
            </w:r>
            <w:r>
              <w:rPr>
                <w:rFonts w:hint="eastAsia" w:ascii="宋体" w:hAnsi="宋体" w:eastAsia="宋体" w:cs="宋体"/>
                <w:color w:val="auto"/>
                <w:szCs w:val="21"/>
                <w:highlight w:val="none"/>
                <w:u w:val="single"/>
              </w:rPr>
              <w:t xml:space="preserve">.00 </w:t>
            </w:r>
            <w:r>
              <w:rPr>
                <w:rFonts w:hint="eastAsia" w:ascii="宋体" w:hAnsi="宋体" w:eastAsia="宋体" w:cs="宋体"/>
                <w:color w:val="auto"/>
                <w:szCs w:val="21"/>
                <w:highlight w:val="none"/>
              </w:rPr>
              <w:t>分</w:t>
            </w:r>
          </w:p>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其他评分因素：</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1810" w:type="dxa"/>
            <w:gridSpan w:val="2"/>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w:t>
            </w: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评标基准价计算方法</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评标基准价为有效投标报价的</w:t>
            </w:r>
            <w:r>
              <w:rPr>
                <w:rFonts w:hint="eastAsia" w:ascii="宋体" w:hAnsi="宋体" w:cs="宋体"/>
                <w:color w:val="auto"/>
                <w:szCs w:val="21"/>
                <w:highlight w:val="none"/>
                <w:lang w:val="en-US" w:eastAsia="zh-CN"/>
              </w:rPr>
              <w:t>平均</w:t>
            </w:r>
            <w:r>
              <w:rPr>
                <w:rFonts w:hint="eastAsia" w:ascii="宋体" w:hAnsi="宋体" w:eastAsia="宋体" w:cs="宋体"/>
                <w:color w:val="auto"/>
                <w:szCs w:val="21"/>
                <w:highlight w:val="none"/>
              </w:rPr>
              <w:t>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810" w:type="dxa"/>
            <w:gridSpan w:val="2"/>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2.2.3</w:t>
            </w: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投标报价的偏差率</w:t>
            </w:r>
          </w:p>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计算公式</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偏差率=100% ×（投标人报价-评标基准价）/评标基准价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4" w:hRule="atLeast"/>
          <w:jc w:val="center"/>
        </w:trPr>
        <w:tc>
          <w:tcPr>
            <w:tcW w:w="1810" w:type="dxa"/>
            <w:gridSpan w:val="2"/>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条款号</w:t>
            </w: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评分因素（偏差率）</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4" w:hRule="atLeast"/>
          <w:jc w:val="center"/>
        </w:trPr>
        <w:tc>
          <w:tcPr>
            <w:tcW w:w="753"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2.2.4(1)</w:t>
            </w:r>
          </w:p>
        </w:tc>
        <w:tc>
          <w:tcPr>
            <w:tcW w:w="1057" w:type="dxa"/>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商务评分标准</w:t>
            </w:r>
          </w:p>
        </w:tc>
        <w:tc>
          <w:tcPr>
            <w:tcW w:w="2142" w:type="dxa"/>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业绩（</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.00分）</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投标人具有近三年（2024年1月1日至</w:t>
            </w:r>
            <w:r>
              <w:rPr>
                <w:rFonts w:hint="eastAsia" w:ascii="宋体" w:hAnsi="宋体" w:cs="宋体"/>
                <w:color w:val="auto"/>
                <w:szCs w:val="21"/>
                <w:highlight w:val="none"/>
                <w:lang w:val="en-US" w:eastAsia="zh-CN"/>
              </w:rPr>
              <w:t>投标截止日</w:t>
            </w:r>
            <w:r>
              <w:rPr>
                <w:rFonts w:hint="eastAsia" w:ascii="宋体" w:hAnsi="宋体" w:eastAsia="宋体" w:cs="宋体"/>
                <w:color w:val="auto"/>
                <w:szCs w:val="21"/>
                <w:highlight w:val="none"/>
                <w:lang w:val="en-US" w:eastAsia="zh-CN"/>
              </w:rPr>
              <w:t>）类似项目业绩1项，类似项目是指：电梯改造</w:t>
            </w:r>
            <w:r>
              <w:rPr>
                <w:rFonts w:hint="eastAsia" w:ascii="宋体" w:hAnsi="宋体" w:cs="宋体"/>
                <w:color w:val="auto"/>
                <w:szCs w:val="21"/>
                <w:highlight w:val="none"/>
                <w:lang w:val="en-US" w:eastAsia="zh-CN"/>
              </w:rPr>
              <w:t>或销售或安装</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业绩</w:t>
            </w:r>
            <w:r>
              <w:rPr>
                <w:rFonts w:hint="eastAsia" w:ascii="宋体" w:hAnsi="宋体" w:eastAsia="宋体" w:cs="宋体"/>
                <w:color w:val="auto"/>
                <w:szCs w:val="21"/>
                <w:highlight w:val="none"/>
                <w:lang w:val="en-US" w:eastAsia="zh-CN"/>
              </w:rPr>
              <w:t>，在满足招标文件业绩资格要求的基础上，</w:t>
            </w:r>
            <w:r>
              <w:rPr>
                <w:rFonts w:hint="eastAsia" w:ascii="宋体" w:hAnsi="宋体" w:cs="宋体"/>
                <w:color w:val="auto"/>
                <w:szCs w:val="21"/>
                <w:highlight w:val="none"/>
                <w:lang w:val="en-US" w:eastAsia="zh-CN"/>
              </w:rPr>
              <w:t>每多提供一份</w:t>
            </w:r>
            <w:r>
              <w:rPr>
                <w:rFonts w:hint="eastAsia" w:ascii="宋体" w:hAnsi="宋体" w:eastAsia="宋体" w:cs="宋体"/>
                <w:color w:val="auto"/>
                <w:szCs w:val="21"/>
                <w:highlight w:val="none"/>
                <w:lang w:val="en-US" w:eastAsia="zh-CN"/>
              </w:rPr>
              <w:t>单个项目合同电梯改造</w:t>
            </w:r>
            <w:r>
              <w:rPr>
                <w:rFonts w:hint="eastAsia" w:ascii="宋体" w:hAnsi="宋体" w:cs="宋体"/>
                <w:color w:val="auto"/>
                <w:szCs w:val="21"/>
                <w:highlight w:val="none"/>
                <w:lang w:val="en-US" w:eastAsia="zh-CN"/>
              </w:rPr>
              <w:t>或销售或安装</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业绩</w:t>
            </w:r>
            <w:r>
              <w:rPr>
                <w:rFonts w:hint="eastAsia" w:ascii="宋体" w:hAnsi="宋体" w:eastAsia="宋体" w:cs="宋体"/>
                <w:color w:val="auto"/>
                <w:szCs w:val="21"/>
                <w:highlight w:val="none"/>
                <w:lang w:val="en-US" w:eastAsia="zh-CN"/>
              </w:rPr>
              <w:t>数</w:t>
            </w:r>
            <w:r>
              <w:rPr>
                <w:rFonts w:hint="eastAsia" w:ascii="宋体" w:hAnsi="宋体" w:eastAsia="宋体" w:cs="宋体"/>
                <w:b w:val="0"/>
                <w:bCs w:val="0"/>
                <w:color w:val="auto"/>
                <w:szCs w:val="21"/>
                <w:highlight w:val="none"/>
                <w:lang w:val="en-US" w:eastAsia="zh-CN"/>
              </w:rPr>
              <w:t>量不低于</w:t>
            </w:r>
            <w:r>
              <w:rPr>
                <w:rFonts w:hint="eastAsia" w:ascii="宋体" w:hAnsi="宋体" w:cs="宋体"/>
                <w:b w:val="0"/>
                <w:bCs w:val="0"/>
                <w:color w:val="auto"/>
                <w:szCs w:val="21"/>
                <w:highlight w:val="none"/>
                <w:lang w:val="en-US" w:eastAsia="zh-CN"/>
              </w:rPr>
              <w:t>15</w:t>
            </w:r>
            <w:r>
              <w:rPr>
                <w:rFonts w:hint="eastAsia" w:ascii="宋体" w:hAnsi="宋体" w:eastAsia="宋体" w:cs="宋体"/>
                <w:b w:val="0"/>
                <w:bCs w:val="0"/>
                <w:color w:val="auto"/>
                <w:szCs w:val="21"/>
                <w:highlight w:val="none"/>
                <w:lang w:val="en-US" w:eastAsia="zh-CN"/>
              </w:rPr>
              <w:t>台或单项合同金额不低于</w:t>
            </w:r>
            <w:r>
              <w:rPr>
                <w:rFonts w:hint="eastAsia" w:ascii="宋体" w:hAnsi="宋体" w:cs="宋体"/>
                <w:b w:val="0"/>
                <w:bCs w:val="0"/>
                <w:color w:val="auto"/>
                <w:szCs w:val="21"/>
                <w:highlight w:val="none"/>
                <w:lang w:val="en-US" w:eastAsia="zh-CN"/>
              </w:rPr>
              <w:t>270</w:t>
            </w:r>
            <w:r>
              <w:rPr>
                <w:rFonts w:hint="eastAsia" w:ascii="宋体" w:hAnsi="宋体" w:eastAsia="宋体" w:cs="宋体"/>
                <w:b w:val="0"/>
                <w:bCs w:val="0"/>
                <w:color w:val="auto"/>
                <w:szCs w:val="21"/>
                <w:highlight w:val="none"/>
                <w:lang w:val="en-US" w:eastAsia="zh-CN"/>
              </w:rPr>
              <w:t>万元</w:t>
            </w:r>
            <w:r>
              <w:rPr>
                <w:rFonts w:hint="eastAsia" w:ascii="宋体" w:hAnsi="宋体" w:cs="宋体"/>
                <w:b w:val="0"/>
                <w:bCs w:val="0"/>
                <w:color w:val="auto"/>
                <w:szCs w:val="21"/>
                <w:highlight w:val="none"/>
                <w:lang w:val="en-US" w:eastAsia="zh-CN"/>
              </w:rPr>
              <w:t>业绩合同加2分</w:t>
            </w:r>
            <w:r>
              <w:rPr>
                <w:rFonts w:hint="eastAsia" w:ascii="宋体" w:hAnsi="宋体" w:eastAsia="宋体" w:cs="宋体"/>
                <w:b w:val="0"/>
                <w:bCs w:val="0"/>
                <w:color w:val="auto"/>
                <w:szCs w:val="21"/>
                <w:highlight w:val="none"/>
                <w:lang w:val="en-US" w:eastAsia="zh-CN"/>
              </w:rPr>
              <w:t>，</w:t>
            </w:r>
            <w:r>
              <w:rPr>
                <w:rFonts w:hint="eastAsia" w:ascii="宋体" w:hAnsi="宋体" w:eastAsia="宋体" w:cs="宋体"/>
                <w:color w:val="auto"/>
                <w:szCs w:val="21"/>
                <w:highlight w:val="none"/>
                <w:lang w:val="en-US" w:eastAsia="zh-CN"/>
              </w:rPr>
              <w:t>加满为止。</w:t>
            </w:r>
            <w:r>
              <w:rPr>
                <w:rFonts w:hint="eastAsia" w:ascii="宋体" w:hAnsi="宋体" w:eastAsia="宋体" w:cs="宋体"/>
                <w:b w:val="0"/>
                <w:bCs w:val="0"/>
                <w:color w:val="auto"/>
                <w:szCs w:val="21"/>
                <w:highlight w:val="none"/>
                <w:lang w:val="en-US" w:eastAsia="zh-CN"/>
              </w:rPr>
              <w:t>业绩证明材料应提供合同</w:t>
            </w:r>
            <w:r>
              <w:rPr>
                <w:rFonts w:hint="eastAsia" w:ascii="宋体" w:hAnsi="宋体" w:eastAsia="宋体" w:cs="宋体"/>
                <w:b w:val="0"/>
                <w:bCs w:val="0"/>
                <w:color w:val="auto"/>
                <w:szCs w:val="21"/>
                <w:highlight w:val="none"/>
              </w:rPr>
              <w:t>扫描件，代理商</w:t>
            </w:r>
            <w:r>
              <w:rPr>
                <w:rFonts w:hint="eastAsia" w:ascii="宋体" w:hAnsi="宋体" w:cs="宋体"/>
                <w:b w:val="0"/>
                <w:bCs w:val="0"/>
                <w:color w:val="auto"/>
                <w:szCs w:val="21"/>
                <w:highlight w:val="none"/>
                <w:lang w:val="en-US" w:eastAsia="zh-CN"/>
              </w:rPr>
              <w:t>投标的</w:t>
            </w:r>
            <w:r>
              <w:rPr>
                <w:rFonts w:hint="eastAsia" w:ascii="宋体" w:hAnsi="宋体" w:eastAsia="宋体" w:cs="宋体"/>
                <w:b w:val="0"/>
                <w:bCs w:val="0"/>
                <w:color w:val="auto"/>
                <w:szCs w:val="21"/>
                <w:highlight w:val="none"/>
              </w:rPr>
              <w:t>提供</w:t>
            </w:r>
            <w:r>
              <w:rPr>
                <w:rFonts w:hint="eastAsia" w:ascii="宋体" w:hAnsi="宋体" w:cs="宋体"/>
                <w:b w:val="0"/>
                <w:bCs w:val="0"/>
                <w:color w:val="auto"/>
                <w:szCs w:val="21"/>
                <w:highlight w:val="none"/>
                <w:lang w:val="en-US" w:eastAsia="zh-CN"/>
              </w:rPr>
              <w:t>所投产品</w:t>
            </w:r>
            <w:r>
              <w:rPr>
                <w:rFonts w:hint="eastAsia" w:ascii="宋体" w:hAnsi="宋体" w:eastAsia="宋体" w:cs="宋体"/>
                <w:b w:val="0"/>
                <w:bCs w:val="0"/>
                <w:color w:val="auto"/>
                <w:szCs w:val="21"/>
                <w:highlight w:val="none"/>
              </w:rPr>
              <w:t>制造商供货业绩</w:t>
            </w:r>
            <w:r>
              <w:rPr>
                <w:rFonts w:hint="eastAsia" w:ascii="宋体" w:hAnsi="宋体" w:cs="宋体"/>
                <w:b w:val="0"/>
                <w:bCs w:val="0"/>
                <w:color w:val="auto"/>
                <w:szCs w:val="21"/>
                <w:highlight w:val="none"/>
                <w:lang w:val="en-US" w:eastAsia="zh-CN"/>
              </w:rPr>
              <w:t>也可纳入计算</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lang w:val="en-US" w:eastAsia="zh-CN"/>
              </w:rPr>
              <w:t>业绩时间以合同签订时间为准，投标人提供的业绩证明材料不能反映项目</w:t>
            </w:r>
            <w:r>
              <w:rPr>
                <w:rFonts w:hint="eastAsia" w:ascii="宋体" w:hAnsi="宋体" w:cs="宋体"/>
                <w:b w:val="0"/>
                <w:bCs w:val="0"/>
                <w:color w:val="auto"/>
                <w:szCs w:val="21"/>
                <w:highlight w:val="none"/>
                <w:lang w:val="en-US" w:eastAsia="zh-CN"/>
              </w:rPr>
              <w:t>电梯</w:t>
            </w:r>
            <w:r>
              <w:rPr>
                <w:rFonts w:hint="eastAsia" w:ascii="宋体" w:hAnsi="宋体" w:eastAsia="宋体" w:cs="宋体"/>
                <w:b w:val="0"/>
                <w:bCs w:val="0"/>
                <w:color w:val="auto"/>
                <w:szCs w:val="21"/>
                <w:highlight w:val="none"/>
                <w:lang w:val="en-US" w:eastAsia="zh-CN"/>
              </w:rPr>
              <w:t>数量或金额的，不予认可。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5" w:hRule="atLeast"/>
          <w:jc w:val="center"/>
        </w:trPr>
        <w:tc>
          <w:tcPr>
            <w:tcW w:w="753" w:type="dxa"/>
            <w:vMerge w:val="restart"/>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2.2.4（2）</w:t>
            </w:r>
          </w:p>
        </w:tc>
        <w:tc>
          <w:tcPr>
            <w:tcW w:w="1057" w:type="dxa"/>
            <w:vMerge w:val="restart"/>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技术评分标准（</w:t>
            </w:r>
            <w:r>
              <w:rPr>
                <w:rFonts w:hint="eastAsia" w:ascii="宋体" w:hAnsi="宋体" w:eastAsia="宋体" w:cs="宋体"/>
                <w:color w:val="auto"/>
                <w:szCs w:val="21"/>
                <w:highlight w:val="none"/>
                <w:lang w:val="en-US" w:eastAsia="zh-CN"/>
              </w:rPr>
              <w:t>65</w:t>
            </w:r>
            <w:r>
              <w:rPr>
                <w:rFonts w:hint="eastAsia" w:ascii="宋体" w:hAnsi="宋体" w:eastAsia="宋体" w:cs="宋体"/>
                <w:color w:val="auto"/>
                <w:szCs w:val="21"/>
                <w:highlight w:val="none"/>
              </w:rPr>
              <w:t>.00分）</w:t>
            </w:r>
          </w:p>
        </w:tc>
        <w:tc>
          <w:tcPr>
            <w:tcW w:w="2142" w:type="dxa"/>
            <w:shd w:val="clear" w:color="000000" w:fill="FFFFFF"/>
            <w:tcMar>
              <w:left w:w="108" w:type="dxa"/>
              <w:right w:w="108" w:type="dxa"/>
            </w:tcMar>
            <w:vAlign w:val="center"/>
          </w:tcPr>
          <w:p>
            <w:pPr>
              <w:spacing w:line="276"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en-US" w:eastAsia="zh-CN"/>
              </w:rPr>
              <w:t>设备选型及配置方案评审评分             （</w:t>
            </w:r>
            <w:r>
              <w:rPr>
                <w:rFonts w:hint="eastAsia" w:ascii="宋体" w:hAnsi="宋体" w:cs="宋体"/>
                <w:color w:val="auto"/>
                <w:szCs w:val="21"/>
                <w:highlight w:val="none"/>
                <w:lang w:val="en-US" w:eastAsia="zh-CN"/>
              </w:rPr>
              <w:t>20</w:t>
            </w:r>
            <w:r>
              <w:rPr>
                <w:rFonts w:hint="eastAsia" w:ascii="宋体" w:hAnsi="宋体" w:eastAsia="宋体" w:cs="宋体"/>
                <w:color w:val="auto"/>
                <w:szCs w:val="21"/>
                <w:highlight w:val="none"/>
                <w:lang w:val="en-US" w:eastAsia="zh-CN"/>
              </w:rPr>
              <w:t>.00分）</w:t>
            </w:r>
          </w:p>
        </w:tc>
        <w:tc>
          <w:tcPr>
            <w:tcW w:w="5522" w:type="dxa"/>
            <w:shd w:val="clear" w:color="000000" w:fill="FFFFFF"/>
            <w:tcMar>
              <w:left w:w="108" w:type="dxa"/>
              <w:right w:w="108" w:type="dxa"/>
            </w:tcMar>
            <w:vAlign w:val="center"/>
          </w:tcPr>
          <w:p>
            <w:pPr>
              <w:pStyle w:val="44"/>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第一档（12.1-20.0分）：投标设备选型及配置优越，所供产品性能描述、性能保障承诺优于招标文件要求，能较好满足招标文件的要求；</w:t>
            </w:r>
          </w:p>
          <w:p>
            <w:pPr>
              <w:pStyle w:val="44"/>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第二档（5.1-12.0分）：投标设备选型及配置良好，所供产品性能描述、性能保障承诺能满足招标文件的要求；</w:t>
            </w:r>
          </w:p>
          <w:p>
            <w:pPr>
              <w:pStyle w:val="44"/>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第三档（0.1-5.0分）：投标设备选型及配置一般，所供产品性能描述、性能保障承诺能基本满足招标文件的要求。</w:t>
            </w:r>
          </w:p>
          <w:p>
            <w:pPr>
              <w:pStyle w:val="44"/>
              <w:ind w:left="0" w:leftChars="0" w:firstLine="0" w:firstLineChars="0"/>
              <w:rPr>
                <w:rFonts w:hint="eastAsia" w:ascii="宋体" w:hAnsi="宋体" w:eastAsia="宋体" w:cs="宋体"/>
              </w:rPr>
            </w:pPr>
            <w:r>
              <w:rPr>
                <w:rFonts w:hint="eastAsia" w:ascii="宋体" w:hAnsi="宋体" w:eastAsia="宋体" w:cs="宋体"/>
                <w:color w:val="auto"/>
                <w:kern w:val="2"/>
                <w:sz w:val="21"/>
                <w:szCs w:val="21"/>
                <w:highlight w:val="none"/>
                <w:lang w:val="en-US" w:eastAsia="zh-CN" w:bidi="ar-SA"/>
              </w:rPr>
              <w:t>注：未作任何说明的不得分。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5"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电梯拆除、安装施工技术方案评审评分（满分10分）</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rPr>
            </w:pPr>
            <w:r>
              <w:rPr>
                <w:rFonts w:hint="eastAsia" w:ascii="宋体" w:hAnsi="宋体" w:eastAsia="宋体" w:cs="宋体"/>
              </w:rPr>
              <w:t>第一档（</w:t>
            </w:r>
            <w:r>
              <w:rPr>
                <w:rFonts w:hint="eastAsia" w:ascii="宋体" w:hAnsi="宋体" w:eastAsia="宋体" w:cs="宋体"/>
                <w:lang w:val="en-US" w:eastAsia="zh-CN"/>
              </w:rPr>
              <w:t>6</w:t>
            </w:r>
            <w:r>
              <w:rPr>
                <w:rFonts w:hint="eastAsia" w:ascii="宋体" w:hAnsi="宋体" w:eastAsia="宋体" w:cs="宋体"/>
              </w:rPr>
              <w:t>.1-</w:t>
            </w:r>
            <w:r>
              <w:rPr>
                <w:rFonts w:hint="eastAsia" w:ascii="宋体" w:hAnsi="宋体" w:eastAsia="宋体" w:cs="宋体"/>
                <w:lang w:val="en-US" w:eastAsia="zh-CN"/>
              </w:rPr>
              <w:t>10</w:t>
            </w:r>
            <w:r>
              <w:rPr>
                <w:rFonts w:hint="eastAsia" w:ascii="宋体" w:hAnsi="宋体" w:eastAsia="宋体" w:cs="宋体"/>
              </w:rPr>
              <w:t>.0分）：拆除、安装施工技术方案有针对性,阐述详细、合理，工期及安全保证措施完善,安装组织设计全面主要工种施工方法得当,并且有较好的安装业绩客户满意度的；</w:t>
            </w:r>
          </w:p>
          <w:p>
            <w:pPr>
              <w:spacing w:line="276" w:lineRule="auto"/>
              <w:jc w:val="left"/>
              <w:rPr>
                <w:rFonts w:hint="eastAsia" w:ascii="宋体" w:hAnsi="宋体" w:eastAsia="宋体" w:cs="宋体"/>
              </w:rPr>
            </w:pPr>
            <w:r>
              <w:rPr>
                <w:rFonts w:hint="eastAsia" w:ascii="宋体" w:hAnsi="宋体" w:eastAsia="宋体" w:cs="宋体"/>
              </w:rPr>
              <w:t>第二档（</w:t>
            </w:r>
            <w:r>
              <w:rPr>
                <w:rFonts w:hint="eastAsia" w:ascii="宋体" w:hAnsi="宋体" w:eastAsia="宋体" w:cs="宋体"/>
                <w:lang w:val="en-US" w:eastAsia="zh-CN"/>
              </w:rPr>
              <w:t>3</w:t>
            </w:r>
            <w:r>
              <w:rPr>
                <w:rFonts w:hint="eastAsia" w:ascii="宋体" w:hAnsi="宋体" w:eastAsia="宋体" w:cs="宋体"/>
              </w:rPr>
              <w:t>.1-</w:t>
            </w:r>
            <w:r>
              <w:rPr>
                <w:rFonts w:hint="eastAsia" w:ascii="宋体" w:hAnsi="宋体" w:eastAsia="宋体" w:cs="宋体"/>
                <w:lang w:val="en-US" w:eastAsia="zh-CN"/>
              </w:rPr>
              <w:t>6</w:t>
            </w:r>
            <w:r>
              <w:rPr>
                <w:rFonts w:hint="eastAsia" w:ascii="宋体" w:hAnsi="宋体" w:eastAsia="宋体" w:cs="宋体"/>
              </w:rPr>
              <w:t>.0分）：拆除、安装施工技术方案有阐述、安排基本合理，安装组织设计基本全面的；</w:t>
            </w:r>
          </w:p>
          <w:p>
            <w:pPr>
              <w:spacing w:line="276" w:lineRule="auto"/>
              <w:jc w:val="left"/>
              <w:rPr>
                <w:rFonts w:hint="eastAsia" w:ascii="宋体" w:hAnsi="宋体" w:eastAsia="宋体" w:cs="宋体"/>
                <w:lang w:eastAsia="zh-CN"/>
              </w:rPr>
            </w:pPr>
            <w:r>
              <w:rPr>
                <w:rFonts w:hint="eastAsia" w:ascii="宋体" w:hAnsi="宋体" w:eastAsia="宋体" w:cs="宋体"/>
              </w:rPr>
              <w:t>第三档（</w:t>
            </w:r>
            <w:r>
              <w:rPr>
                <w:rFonts w:hint="eastAsia" w:ascii="宋体" w:hAnsi="宋体" w:eastAsia="宋体" w:cs="宋体"/>
                <w:lang w:val="en-US" w:eastAsia="zh-CN"/>
              </w:rPr>
              <w:t>0.1</w:t>
            </w: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.0分）：拆除、安装施工技术方案有阐述、安排基本合理，安装组织设计不够全面的</w:t>
            </w:r>
            <w:r>
              <w:rPr>
                <w:rFonts w:hint="eastAsia" w:ascii="宋体" w:hAnsi="宋体" w:eastAsia="宋体" w:cs="宋体"/>
                <w:lang w:eastAsia="zh-CN"/>
              </w:rPr>
              <w:t>。</w:t>
            </w:r>
          </w:p>
          <w:p>
            <w:pPr>
              <w:spacing w:line="276" w:lineRule="auto"/>
              <w:jc w:val="left"/>
              <w:rPr>
                <w:rFonts w:hint="eastAsia" w:ascii="宋体" w:hAnsi="宋体" w:eastAsia="宋体" w:cs="宋体"/>
                <w:lang w:val="en-US" w:eastAsia="zh-CN"/>
              </w:rPr>
            </w:pPr>
            <w:r>
              <w:rPr>
                <w:rFonts w:hint="eastAsia" w:ascii="宋体" w:hAnsi="宋体" w:eastAsia="宋体" w:cs="宋体"/>
                <w:lang w:val="en-US" w:eastAsia="zh-CN"/>
              </w:rPr>
              <w:t>注：未作任何说明的不得分。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5"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供货、安装进度计划及保证措施评审评分（满分</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5522" w:type="dxa"/>
            <w:shd w:val="clear" w:color="000000" w:fill="FFFFFF"/>
            <w:tcMar>
              <w:left w:w="108" w:type="dxa"/>
              <w:right w:w="108" w:type="dxa"/>
            </w:tcMar>
            <w:vAlign w:val="center"/>
          </w:tcPr>
          <w:p>
            <w:pPr>
              <w:pStyle w:val="44"/>
              <w:ind w:left="0" w:leftChars="0" w:firstLine="0" w:firstLineChars="0"/>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第一档（6.1-10.0分）：供货、安装进度计划及保证措施全面、具体、切实可行，充分满足工程需求的；</w:t>
            </w:r>
          </w:p>
          <w:p>
            <w:pPr>
              <w:pStyle w:val="44"/>
              <w:ind w:left="0" w:leftChars="0" w:firstLine="0" w:firstLineChars="0"/>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第二档（3.1-6.0分）：供货、安装进度计划及保证措施完善、措施基本可行的；</w:t>
            </w:r>
          </w:p>
          <w:p>
            <w:pPr>
              <w:pStyle w:val="44"/>
              <w:ind w:left="0" w:leftChars="0" w:firstLine="0" w:firstLineChars="0"/>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第三档（0.1-3.0分）：供货、安装进度计划及保证措施，不具体，有疏漏，对按计划供货有一定影响的。</w:t>
            </w:r>
          </w:p>
          <w:p>
            <w:pPr>
              <w:pStyle w:val="44"/>
              <w:ind w:left="0" w:leftChars="0" w:firstLine="0" w:firstLineChars="0"/>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注：未作任何说明的不得分。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5"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供货及安装人员安排评审评分（满分</w:t>
            </w: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rPr>
              <w:t>分）</w:t>
            </w:r>
          </w:p>
        </w:tc>
        <w:tc>
          <w:tcPr>
            <w:tcW w:w="5522" w:type="dxa"/>
            <w:shd w:val="clear" w:color="000000" w:fill="FFFFFF"/>
            <w:tcMar>
              <w:left w:w="108" w:type="dxa"/>
              <w:right w:w="108" w:type="dxa"/>
            </w:tcMar>
            <w:vAlign w:val="center"/>
          </w:tcPr>
          <w:p>
            <w:pPr>
              <w:pStyle w:val="44"/>
              <w:ind w:left="0" w:leftChars="0" w:firstLine="0" w:firstLineChars="0"/>
              <w:jc w:val="left"/>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第一档（6.1-</w:t>
            </w:r>
            <w:r>
              <w:rPr>
                <w:rFonts w:hint="eastAsia" w:ascii="宋体" w:hAnsi="宋体" w:cs="宋体"/>
                <w:kern w:val="2"/>
                <w:sz w:val="21"/>
                <w:szCs w:val="22"/>
                <w:lang w:val="en-US" w:eastAsia="zh-CN" w:bidi="ar-SA"/>
              </w:rPr>
              <w:t>9</w:t>
            </w:r>
            <w:r>
              <w:rPr>
                <w:rFonts w:hint="eastAsia" w:ascii="宋体" w:hAnsi="宋体" w:eastAsia="宋体" w:cs="宋体"/>
                <w:kern w:val="2"/>
                <w:sz w:val="21"/>
                <w:szCs w:val="22"/>
                <w:lang w:val="en-US" w:eastAsia="zh-CN" w:bidi="ar-SA"/>
              </w:rPr>
              <w:t>.0分）：供货及安装人员安排、组织得当，配置合理，岗位划分明确的；</w:t>
            </w:r>
          </w:p>
          <w:p>
            <w:pPr>
              <w:pStyle w:val="44"/>
              <w:ind w:left="0" w:leftChars="0" w:firstLine="0" w:firstLineChars="0"/>
              <w:jc w:val="left"/>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第二档（3.1-6.0分）：供货及安装人员安排、组织及配置基本合理，岗位划分不明确；</w:t>
            </w:r>
          </w:p>
          <w:p>
            <w:pPr>
              <w:pStyle w:val="44"/>
              <w:ind w:left="0" w:leftChars="0" w:firstLine="0" w:firstLineChars="0"/>
              <w:jc w:val="left"/>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第三档（0.1-3.0分）：供货及安装人员安排、组织及配置有疏漏，岗位划分不明确。</w:t>
            </w:r>
          </w:p>
          <w:p>
            <w:pPr>
              <w:pStyle w:val="44"/>
              <w:ind w:left="0" w:leftChars="0" w:firstLine="0" w:firstLineChars="0"/>
              <w:jc w:val="left"/>
              <w:rPr>
                <w:rFonts w:hint="default"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注：未作任何说明的不得分。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5"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质保期售后服务承诺及售后服务人员安排评审评分（满分</w:t>
            </w:r>
            <w:r>
              <w:rPr>
                <w:rFonts w:hint="eastAsia" w:ascii="宋体" w:hAnsi="宋体" w:cs="宋体"/>
                <w:color w:val="auto"/>
                <w:szCs w:val="21"/>
                <w:highlight w:val="none"/>
                <w:lang w:val="en-US" w:eastAsia="zh-CN"/>
              </w:rPr>
              <w:t>15</w:t>
            </w:r>
            <w:r>
              <w:rPr>
                <w:rFonts w:hint="eastAsia" w:ascii="宋体" w:hAnsi="宋体" w:eastAsia="宋体" w:cs="宋体"/>
                <w:color w:val="auto"/>
                <w:szCs w:val="21"/>
                <w:highlight w:val="none"/>
              </w:rPr>
              <w:t>分）</w:t>
            </w:r>
          </w:p>
        </w:tc>
        <w:tc>
          <w:tcPr>
            <w:tcW w:w="5522" w:type="dxa"/>
            <w:shd w:val="clear" w:color="000000" w:fill="FFFFFF"/>
            <w:tcMar>
              <w:left w:w="108" w:type="dxa"/>
              <w:right w:w="108" w:type="dxa"/>
            </w:tcMar>
            <w:vAlign w:val="center"/>
          </w:tcPr>
          <w:p>
            <w:pPr>
              <w:spacing w:line="276" w:lineRule="auto"/>
              <w:jc w:val="left"/>
              <w:rPr>
                <w:rFonts w:hint="eastAsia"/>
                <w:highlight w:val="none"/>
                <w:lang w:val="en-US" w:eastAsia="zh-CN"/>
              </w:rPr>
            </w:pPr>
            <w:r>
              <w:rPr>
                <w:rFonts w:hint="eastAsia"/>
                <w:highlight w:val="none"/>
                <w:lang w:val="en-US" w:eastAsia="zh-CN"/>
              </w:rPr>
              <w:t>第一档</w:t>
            </w:r>
            <w:r>
              <w:rPr>
                <w:rFonts w:hint="eastAsia" w:ascii="宋体" w:hAnsi="宋体" w:eastAsia="宋体" w:cs="宋体"/>
                <w:kern w:val="2"/>
                <w:sz w:val="21"/>
                <w:szCs w:val="22"/>
                <w:lang w:val="en-US" w:eastAsia="zh-CN" w:bidi="ar-SA"/>
              </w:rPr>
              <w:t>（10.1-15.0分）：</w:t>
            </w:r>
            <w:r>
              <w:rPr>
                <w:rFonts w:hint="eastAsia" w:ascii="宋体" w:hAnsi="宋体" w:eastAsia="宋体" w:cs="宋体"/>
                <w:color w:val="auto"/>
                <w:szCs w:val="21"/>
                <w:highlight w:val="none"/>
              </w:rPr>
              <w:t>质保期售后服务承诺及售后服务人员安排</w:t>
            </w:r>
            <w:r>
              <w:rPr>
                <w:rFonts w:hint="eastAsia"/>
                <w:highlight w:val="none"/>
                <w:lang w:val="en-US" w:eastAsia="zh-CN"/>
              </w:rPr>
              <w:t>优于招标文件且有具体的违约责任承诺，质量保证措施优于招标文件要求及相关技术规范、标准，且针对性好；</w:t>
            </w:r>
          </w:p>
          <w:p>
            <w:pPr>
              <w:spacing w:line="276" w:lineRule="auto"/>
              <w:jc w:val="left"/>
              <w:rPr>
                <w:rFonts w:hint="eastAsia"/>
                <w:highlight w:val="none"/>
                <w:lang w:val="en-US" w:eastAsia="zh-CN"/>
              </w:rPr>
            </w:pPr>
            <w:r>
              <w:rPr>
                <w:rFonts w:hint="eastAsia"/>
                <w:highlight w:val="none"/>
                <w:lang w:val="en-US" w:eastAsia="zh-CN"/>
              </w:rPr>
              <w:t>第二档</w:t>
            </w:r>
            <w:r>
              <w:rPr>
                <w:rFonts w:hint="eastAsia" w:ascii="宋体" w:hAnsi="宋体" w:eastAsia="宋体" w:cs="宋体"/>
                <w:kern w:val="2"/>
                <w:sz w:val="21"/>
                <w:szCs w:val="22"/>
                <w:lang w:val="en-US" w:eastAsia="zh-CN" w:bidi="ar-SA"/>
              </w:rPr>
              <w:t>（5.1-10.0分）：质</w:t>
            </w:r>
            <w:r>
              <w:rPr>
                <w:rFonts w:hint="eastAsia" w:ascii="宋体" w:hAnsi="宋体" w:eastAsia="宋体" w:cs="宋体"/>
                <w:color w:val="auto"/>
                <w:szCs w:val="21"/>
                <w:highlight w:val="none"/>
              </w:rPr>
              <w:t>保期售后服务承诺及售后服务人员安排</w:t>
            </w:r>
            <w:r>
              <w:rPr>
                <w:rFonts w:hint="eastAsia"/>
                <w:highlight w:val="none"/>
                <w:lang w:val="en-US" w:eastAsia="zh-CN"/>
              </w:rPr>
              <w:t>满足招标文件且有具体的违约责任承诺，质量保证措施满足招标文件要求及相关技术规范、标准，针对性一般；</w:t>
            </w:r>
          </w:p>
          <w:p>
            <w:pPr>
              <w:spacing w:line="276" w:lineRule="auto"/>
              <w:jc w:val="left"/>
              <w:rPr>
                <w:rFonts w:hint="eastAsia"/>
                <w:highlight w:val="none"/>
                <w:lang w:val="en-US" w:eastAsia="zh-CN"/>
              </w:rPr>
            </w:pPr>
            <w:r>
              <w:rPr>
                <w:rFonts w:hint="eastAsia"/>
                <w:highlight w:val="none"/>
                <w:lang w:val="en-US" w:eastAsia="zh-CN"/>
              </w:rPr>
              <w:t>第三档</w:t>
            </w:r>
            <w:r>
              <w:rPr>
                <w:rFonts w:hint="eastAsia" w:ascii="宋体" w:hAnsi="宋体" w:eastAsia="宋体" w:cs="宋体"/>
                <w:kern w:val="2"/>
                <w:sz w:val="21"/>
                <w:szCs w:val="22"/>
                <w:lang w:val="en-US" w:eastAsia="zh-CN" w:bidi="ar-SA"/>
              </w:rPr>
              <w:t>（0.1-5.0分）：质</w:t>
            </w:r>
            <w:r>
              <w:rPr>
                <w:rFonts w:hint="eastAsia" w:ascii="宋体" w:hAnsi="宋体" w:eastAsia="宋体" w:cs="宋体"/>
                <w:color w:val="auto"/>
                <w:szCs w:val="21"/>
                <w:highlight w:val="none"/>
              </w:rPr>
              <w:t>保期售后服务承诺及售后服务人员安排</w:t>
            </w:r>
            <w:r>
              <w:rPr>
                <w:rFonts w:hint="eastAsia"/>
                <w:highlight w:val="none"/>
                <w:lang w:val="en-US" w:eastAsia="zh-CN"/>
              </w:rPr>
              <w:t>基本满足招标文件，质量保证措施基本满足招标文件要求及相关技术规范、标准，但针对性较差。</w:t>
            </w:r>
          </w:p>
          <w:p>
            <w:pPr>
              <w:pStyle w:val="44"/>
              <w:ind w:left="0" w:leftChars="0" w:firstLine="0" w:firstLineChars="0"/>
              <w:rPr>
                <w:rFonts w:hint="default"/>
                <w:highlight w:val="none"/>
                <w:lang w:val="en-US"/>
              </w:rPr>
            </w:pPr>
            <w:r>
              <w:rPr>
                <w:rFonts w:hint="eastAsia" w:ascii="宋体" w:hAnsi="宋体" w:eastAsia="宋体" w:cs="宋体"/>
                <w:b w:val="0"/>
                <w:bCs w:val="0"/>
                <w:kern w:val="2"/>
                <w:sz w:val="21"/>
                <w:szCs w:val="22"/>
                <w:highlight w:val="none"/>
                <w:lang w:val="en-US" w:eastAsia="zh-CN" w:bidi="ar-SA"/>
              </w:rPr>
              <w:t>注：未作任何说明的不得分。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 w:hRule="atLeast"/>
          <w:jc w:val="center"/>
        </w:trPr>
        <w:tc>
          <w:tcPr>
            <w:tcW w:w="753" w:type="dxa"/>
            <w:vMerge w:val="restart"/>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2.2.4（3）</w:t>
            </w:r>
          </w:p>
        </w:tc>
        <w:tc>
          <w:tcPr>
            <w:tcW w:w="1057" w:type="dxa"/>
            <w:vMerge w:val="restart"/>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投标报价评分标准（</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.00分）</w:t>
            </w: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投标报价得分</w:t>
            </w:r>
          </w:p>
        </w:tc>
        <w:tc>
          <w:tcPr>
            <w:tcW w:w="5522" w:type="dxa"/>
            <w:shd w:val="clear" w:color="000000" w:fill="FFFFFF"/>
            <w:tcMar>
              <w:left w:w="108" w:type="dxa"/>
              <w:right w:w="108" w:type="dxa"/>
            </w:tcMar>
            <w:vAlign w:val="center"/>
          </w:tcPr>
          <w:p>
            <w:pPr>
              <w:pStyle w:val="209"/>
              <w:spacing w:line="276" w:lineRule="auto"/>
              <w:ind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投标人的有效投标报价等于评标基准价时得</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.0</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分；投标报价与基准价相比每向上浮动1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%扣</w:t>
            </w:r>
            <w:r>
              <w:rPr>
                <w:rFonts w:hint="eastAsia" w:ascii="宋体" w:hAnsi="宋体" w:eastAsia="宋体" w:cs="宋体"/>
                <w:color w:val="auto"/>
                <w:szCs w:val="21"/>
                <w:highlight w:val="none"/>
                <w:lang w:val="en-US" w:eastAsia="zh-CN"/>
              </w:rPr>
              <w:t>0.</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分，扣完为止</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投标报价与基准价相比每向</w:t>
            </w:r>
            <w:r>
              <w:rPr>
                <w:rFonts w:hint="eastAsia" w:ascii="宋体" w:hAnsi="宋体" w:cs="宋体"/>
                <w:color w:val="auto"/>
                <w:szCs w:val="21"/>
                <w:highlight w:val="none"/>
                <w:lang w:val="en-US" w:eastAsia="zh-CN"/>
              </w:rPr>
              <w:t>下</w:t>
            </w:r>
            <w:r>
              <w:rPr>
                <w:rFonts w:hint="eastAsia" w:ascii="宋体" w:hAnsi="宋体" w:eastAsia="宋体" w:cs="宋体"/>
                <w:color w:val="auto"/>
                <w:szCs w:val="21"/>
                <w:highlight w:val="none"/>
              </w:rPr>
              <w:t>浮动1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扣</w:t>
            </w:r>
            <w:r>
              <w:rPr>
                <w:rFonts w:hint="eastAsia" w:ascii="宋体" w:hAnsi="宋体" w:eastAsia="宋体" w:cs="宋体"/>
                <w:color w:val="auto"/>
                <w:szCs w:val="21"/>
                <w:highlight w:val="none"/>
                <w:lang w:val="en-US" w:eastAsia="zh-CN"/>
              </w:rPr>
              <w:t>0.</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分，扣完为止。（加减分值的中间值用插入法，小数点后保留两位）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8" w:hRule="atLeast"/>
          <w:jc w:val="center"/>
        </w:trPr>
        <w:tc>
          <w:tcPr>
            <w:tcW w:w="753"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1057" w:type="dxa"/>
            <w:vMerge w:val="continue"/>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有效报价</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指通过初步评审的投标人的投标报价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53"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2.2.4（4）</w:t>
            </w:r>
          </w:p>
        </w:tc>
        <w:tc>
          <w:tcPr>
            <w:tcW w:w="1057"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其他因素评分标准</w:t>
            </w:r>
          </w:p>
        </w:tc>
        <w:tc>
          <w:tcPr>
            <w:tcW w:w="214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5522" w:type="dxa"/>
            <w:shd w:val="clear" w:color="000000" w:fill="FFFFFF"/>
            <w:tcMar>
              <w:left w:w="108" w:type="dxa"/>
              <w:right w:w="108" w:type="dxa"/>
            </w:tcMar>
            <w:vAlign w:val="center"/>
          </w:tcPr>
          <w:p>
            <w:pPr>
              <w:spacing w:line="27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bookmarkEnd w:id="10"/>
    </w:tbl>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p>
    <w:p>
      <w:pPr>
        <w:keepNext/>
        <w:keepLines/>
        <w:spacing w:line="43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1. 评标方法</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以技术得分高的优先；如果技术得分也相等，按照评标办法前附表的规定确定中标候选人顺序。</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评标委员会对一部分投标人作否决处理后，其它有效投标人不足3家的，评标委员会应当开展竞争性分析。评标委员会认为剩余有效投标人的投标文件仍能满足招标文件要求，并具有竞争性的，评标委员会仍按本招标项目评标办法评审后推荐中标候选人。</w:t>
      </w:r>
    </w:p>
    <w:p>
      <w:pPr>
        <w:keepNext/>
        <w:keepLines/>
        <w:spacing w:line="43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2. 评审标准</w:t>
      </w:r>
    </w:p>
    <w:p>
      <w:pPr>
        <w:keepNext/>
        <w:keepLines/>
        <w:spacing w:line="43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2.1 初步评审标准</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2.1.1 形式评审标准：见评标办法前附表。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2.1.2 资格评审标准：见评标办法前附表。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2.1.3 响应性评审标准：见评标办法前附表。</w:t>
      </w:r>
    </w:p>
    <w:p>
      <w:pPr>
        <w:keepNext/>
        <w:keepLines/>
        <w:spacing w:line="43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2.2 分值构成与评分标准</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2.2.1 分值构成</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（1）商务部分：见评标办法前附表；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（2）技术部分：见评标办法前附表；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（3）投标报价：见评标办法前附表；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（4）其他评分因素：见评标办法前附表。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2.2.2 评标基准价计算</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评标基准价计算方法：见评标办法前附表。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2.2.3 投标报价的偏差率计算</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投标报价的偏差率计算公式：见评标办法前附表。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2.2.4 评分标准</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（1）商务评分标准：见评标办法前附表；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（2）技术评分标准：见评标办法前附表；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（3）投标报价评分标准：见评标办法前附表；</w:t>
      </w:r>
    </w:p>
    <w:p>
      <w:pPr>
        <w:spacing w:line="276"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（4）其他因素评分标准：见评标办法前附表。</w:t>
      </w:r>
    </w:p>
    <w:p>
      <w:pPr>
        <w:keepNext/>
        <w:keepLines/>
        <w:spacing w:line="36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3. 评标程序</w:t>
      </w:r>
    </w:p>
    <w:p>
      <w:pPr>
        <w:keepNext/>
        <w:keepLines/>
        <w:spacing w:line="36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3.1 初步评审</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3.1.1 评标委员会可以要求投标人提交第二章“投标人须知”规定的有关证明和证件的原件，以便核验。评标委员会依据本章第2.1款规定的标准对投标文件进行初步评审。有一项不符合评审标准的，评标委员会应当否决其投标。</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3.1.2 投标人有以下情形之一的，评标委员会应当否决其投标：</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（1）投标文件没有对招标文件的实质性要求和条件作出响应，或者对招标文件的偏差超出招标文件规定的偏差范围或最高项数；</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（2）有串通投标、弄虚作假、行贿等违法行为。</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3.1.3 投标报价有算术错误及其他错误的，评标委员会按以下原则要求投标人对投标报价进行修正，并要求投标人书面澄清确认。投标人拒不澄清确认的，评标委员会应当否决其投标：</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（1）投标文件中的大写金额与小写金额不一致的，以大写金额为准；</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（2）总价金额与单价金额不一致的，以单价金额为准，但单价金额小数点有明显错误的除外；</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（3）投标报价为各分项报价金额之和，投标报价与分项报价的合价不一致的，应以各分项合价累计数为准，修正投标报价；</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（4）如果分项报价中存在缺漏项，则视为缺漏项价格已包含在其他分项报价之中。</w:t>
      </w:r>
    </w:p>
    <w:p>
      <w:pPr>
        <w:keepNext/>
        <w:keepLines/>
        <w:spacing w:line="36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3.2 详细评审</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3.2.1 评标委员会按本章第2.2款规定的量化因素和分值进行打分，并计算出综合评估得分。</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（1）按本章第2.2.4（1）目规定的评审因素和分值对商务部分计算出得分A；</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（2）按本章第2.2.4（2）目规定的评审因素和分值对技术部分计算出得分B；</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（3）按本章第2.2.4（3）目规定的评审因素和分值对投标报价计算出得分C；</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（4）按本章第2.2.4（4）目规定的评审因素和分值对其他部分计算出得分D。</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3.2.2 评分分值计算保留小数点后两位，小数点后第三位“四舍五入”。</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3.2.3 投标人得分=A+B+C+D。</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3.2.4 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pPr>
        <w:keepNext/>
        <w:keepLines/>
        <w:spacing w:line="36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3.3 投标文件的澄清</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3.3.1 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3.3.2 澄清、说明或补正不得超出投标文件的范围且不得改变投标文件的实质性内容，并构成投标文件的组成部分。</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3.3.3 评标委员会对投标人提交的澄清、说明或补正有疑问的，可以要求投标人进一步澄清、说明或补正，直至满足评标委员会的要求。</w:t>
      </w:r>
    </w:p>
    <w:p>
      <w:pPr>
        <w:keepNext/>
        <w:keepLines/>
        <w:spacing w:line="36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3.4 评标结果</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3.4.1 除第二章“投标人须知”前附表授权直接确定中标人外，评标委员会按照得分由高到低的顺序推荐中标候选人，并标明排序。</w:t>
      </w:r>
    </w:p>
    <w:p>
      <w:pPr>
        <w:spacing w:line="3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3.4.2 评标委员会完成评标后，应当向招标人提交书面评标报告和中标候选人名单。</w:t>
      </w:r>
      <w:bookmarkStart w:id="11" w:name="_Toc22660"/>
      <w:bookmarkStart w:id="12" w:name="_Toc14678"/>
    </w:p>
    <w:p>
      <w:pPr>
        <w:spacing w:line="480" w:lineRule="exact"/>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column"/>
      </w:r>
      <w:r>
        <w:rPr>
          <w:rFonts w:hint="eastAsia" w:ascii="宋体" w:hAnsi="宋体" w:eastAsia="宋体" w:cs="宋体"/>
          <w:b/>
          <w:color w:val="auto"/>
          <w:sz w:val="44"/>
          <w:highlight w:val="none"/>
        </w:rPr>
        <w:t>第四章 合同条款及格式</w:t>
      </w:r>
      <w:bookmarkEnd w:id="11"/>
      <w:bookmarkEnd w:id="12"/>
    </w:p>
    <w:p>
      <w:pPr>
        <w:spacing w:after="156" w:afterLines="50" w:line="276"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一、合同条款前附表</w:t>
      </w:r>
    </w:p>
    <w:tbl>
      <w:tblPr>
        <w:tblStyle w:val="45"/>
        <w:tblW w:w="9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5"/>
        <w:gridCol w:w="79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995" w:type="dxa"/>
            <w:vAlign w:val="center"/>
          </w:tcPr>
          <w:p>
            <w:pPr>
              <w:spacing w:line="20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7904" w:type="dxa"/>
            <w:vAlign w:val="center"/>
          </w:tcPr>
          <w:p>
            <w:pPr>
              <w:spacing w:line="20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995" w:type="dxa"/>
            <w:vAlign w:val="center"/>
          </w:tcPr>
          <w:p>
            <w:pPr>
              <w:spacing w:line="200" w:lineRule="atLeas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履约</w:t>
            </w:r>
            <w:r>
              <w:rPr>
                <w:rFonts w:hint="eastAsia" w:ascii="宋体" w:hAnsi="宋体" w:cs="宋体"/>
                <w:color w:val="auto"/>
                <w:szCs w:val="21"/>
                <w:highlight w:val="none"/>
                <w:lang w:val="en-US" w:eastAsia="zh-CN"/>
              </w:rPr>
              <w:t>保证金</w:t>
            </w:r>
          </w:p>
        </w:tc>
        <w:tc>
          <w:tcPr>
            <w:tcW w:w="7904" w:type="dxa"/>
            <w:vAlign w:val="center"/>
          </w:tcPr>
          <w:p>
            <w:pPr>
              <w:spacing w:line="320" w:lineRule="exact"/>
              <w:rPr>
                <w:rFonts w:hint="default" w:ascii="Times New Roman" w:hAnsi="Times New Roman" w:cs="Times New Roman"/>
                <w:lang w:val="en-US" w:eastAsia="zh-CN"/>
              </w:rPr>
            </w:pPr>
            <w:r>
              <w:rPr>
                <w:rFonts w:hint="eastAsia" w:ascii="Times New Roman" w:hAnsi="Times New Roman" w:cs="Times New Roman"/>
              </w:rPr>
              <w:t>履约保证金的形式：</w:t>
            </w:r>
            <w:r>
              <w:rPr>
                <w:rFonts w:hint="eastAsia" w:ascii="Times New Roman" w:hAnsi="Times New Roman" w:cs="Times New Roman"/>
                <w:lang w:val="en-US" w:eastAsia="zh-CN"/>
              </w:rPr>
              <w:t>电汇、保函</w:t>
            </w:r>
          </w:p>
          <w:p>
            <w:pPr>
              <w:spacing w:line="320" w:lineRule="exact"/>
              <w:rPr>
                <w:rFonts w:hint="eastAsia" w:ascii="Times New Roman" w:hAnsi="Times New Roman" w:cs="Times New Roman"/>
                <w:lang w:val="en-US" w:eastAsia="zh-CN"/>
              </w:rPr>
            </w:pPr>
            <w:r>
              <w:rPr>
                <w:rFonts w:hint="eastAsia" w:ascii="Times New Roman" w:hAnsi="Times New Roman" w:cs="Times New Roman"/>
              </w:rPr>
              <w:t>履约保证金的金额：金额为合同总价款的5%，在合同签订后5个工作日内</w:t>
            </w:r>
            <w:r>
              <w:rPr>
                <w:rFonts w:hint="eastAsia" w:ascii="Times New Roman" w:hAnsi="Times New Roman" w:cs="Times New Roman"/>
                <w:lang w:val="en-US" w:eastAsia="zh-CN"/>
              </w:rPr>
              <w:t>递交招标人</w:t>
            </w:r>
          </w:p>
          <w:p>
            <w:pPr>
              <w:spacing w:line="200" w:lineRule="atLeast"/>
              <w:jc w:val="left"/>
              <w:rPr>
                <w:rFonts w:hint="eastAsia" w:ascii="宋体" w:hAnsi="宋体" w:eastAsia="宋体" w:cs="宋体"/>
                <w:color w:val="auto"/>
                <w:szCs w:val="21"/>
                <w:highlight w:val="none"/>
              </w:rPr>
            </w:pPr>
            <w:r>
              <w:rPr>
                <w:rFonts w:hint="eastAsia" w:ascii="Times New Roman" w:hAnsi="Times New Roman" w:cs="Times New Roman"/>
              </w:rPr>
              <w:t>履约保证金在全部电梯验收合格并交付使用后，</w:t>
            </w:r>
            <w:r>
              <w:rPr>
                <w:rFonts w:hint="eastAsia" w:ascii="Times New Roman" w:hAnsi="Times New Roman" w:cs="Times New Roman"/>
                <w:highlight w:val="none"/>
              </w:rPr>
              <w:t>扣除应由乙方承担的费用后按照同期利息进行退还。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1" w:hRule="atLeast"/>
          <w:jc w:val="center"/>
        </w:trPr>
        <w:tc>
          <w:tcPr>
            <w:tcW w:w="1995" w:type="dxa"/>
            <w:vAlign w:val="center"/>
          </w:tcPr>
          <w:p>
            <w:pPr>
              <w:spacing w:line="200" w:lineRule="atLeas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付款方式及期限</w:t>
            </w:r>
          </w:p>
        </w:tc>
        <w:tc>
          <w:tcPr>
            <w:tcW w:w="7904" w:type="dxa"/>
            <w:vAlign w:val="center"/>
          </w:tcPr>
          <w:p>
            <w:pPr>
              <w:spacing w:line="200" w:lineRule="atLeast"/>
              <w:jc w:val="left"/>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val="zh-CN" w:eastAsia="zh-CN"/>
              </w:rPr>
              <w:t>超长期国债支付部分（政府部门支付电梯设备款项）：本项目无预付款，乙方根据甲方要求在合同期内进行供货，设备安装验收完毕，运行正常，并取得验收合格证30天内，甲方配合乙方对接政府部门超长国债要求，由属地政府部门进行支付；</w:t>
            </w:r>
          </w:p>
          <w:p>
            <w:pPr>
              <w:spacing w:line="200" w:lineRule="atLeas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val="zh-CN" w:eastAsia="zh-CN"/>
              </w:rPr>
              <w:t>自筹部分（支付拆除、安装费用）：本项目无预付款，甲方将本合同自筹部分价款扣除电梯残值费用（以甲方委托的评估公司评估价为准，详见附件）后，一次性支付至乙方账户。乙方须在甲方付款前向甲方提供合法有效的等额增值税专用发票，否则甲方有权顺延付款且不承担违约责任。甲方有权从应付乙方款项中直接扣除乙方应承担的违约金、赔偿金、质保金及其他应由乙方承担的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995" w:type="dxa"/>
            <w:vAlign w:val="center"/>
          </w:tcPr>
          <w:p>
            <w:pPr>
              <w:spacing w:line="20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质量保证期</w:t>
            </w:r>
          </w:p>
        </w:tc>
        <w:tc>
          <w:tcPr>
            <w:tcW w:w="7904" w:type="dxa"/>
            <w:vAlign w:val="center"/>
          </w:tcPr>
          <w:p>
            <w:pPr>
              <w:spacing w:line="200" w:lineRule="atLeas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电梯整体质量保证期及免费保养期限不低于自监督检验合格之日起</w:t>
            </w:r>
            <w:r>
              <w:rPr>
                <w:rFonts w:hint="eastAsia" w:ascii="宋体" w:hAnsi="宋体" w:eastAsia="宋体" w:cs="宋体"/>
                <w:color w:val="auto"/>
                <w:szCs w:val="21"/>
                <w:highlight w:val="none"/>
                <w:lang w:val="en-US" w:eastAsia="zh-CN"/>
              </w:rPr>
              <w:t>24个月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995" w:type="dxa"/>
            <w:vAlign w:val="center"/>
          </w:tcPr>
          <w:p>
            <w:pPr>
              <w:spacing w:line="20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地点</w:t>
            </w:r>
          </w:p>
        </w:tc>
        <w:tc>
          <w:tcPr>
            <w:tcW w:w="7904" w:type="dxa"/>
            <w:vAlign w:val="center"/>
          </w:tcPr>
          <w:p>
            <w:pPr>
              <w:spacing w:line="200" w:lineRule="atLeast"/>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西山区怡芳苑小区</w:t>
            </w:r>
            <w:r>
              <w:rPr>
                <w:rFonts w:hint="eastAsia" w:ascii="宋体" w:hAnsi="宋体" w:eastAsia="宋体" w:cs="宋体"/>
                <w:color w:val="auto"/>
                <w:szCs w:val="21"/>
                <w:highlight w:val="none"/>
                <w:lang w:val="en-US" w:eastAsia="zh-CN"/>
              </w:rPr>
              <w:t>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995" w:type="dxa"/>
            <w:vAlign w:val="center"/>
          </w:tcPr>
          <w:p>
            <w:pPr>
              <w:spacing w:line="200" w:lineRule="atLeas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项目完成</w:t>
            </w:r>
            <w:r>
              <w:rPr>
                <w:rFonts w:hint="eastAsia" w:ascii="宋体" w:hAnsi="宋体" w:eastAsia="宋体" w:cs="宋体"/>
                <w:color w:val="auto"/>
                <w:szCs w:val="21"/>
                <w:highlight w:val="none"/>
              </w:rPr>
              <w:t>时间</w:t>
            </w:r>
          </w:p>
        </w:tc>
        <w:tc>
          <w:tcPr>
            <w:tcW w:w="7904" w:type="dxa"/>
            <w:vAlign w:val="center"/>
          </w:tcPr>
          <w:p>
            <w:pPr>
              <w:spacing w:line="200" w:lineRule="atLeas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合同签订生效之日起</w:t>
            </w:r>
            <w:r>
              <w:rPr>
                <w:rFonts w:hint="eastAsia" w:ascii="宋体" w:hAnsi="宋体" w:cs="宋体"/>
                <w:color w:val="auto"/>
                <w:szCs w:val="21"/>
                <w:highlight w:val="none"/>
                <w:lang w:val="en-US" w:eastAsia="zh-CN"/>
              </w:rPr>
              <w:t>90</w:t>
            </w:r>
            <w:r>
              <w:rPr>
                <w:rFonts w:hint="eastAsia" w:ascii="宋体" w:hAnsi="宋体" w:eastAsia="宋体" w:cs="宋体"/>
                <w:color w:val="auto"/>
                <w:szCs w:val="21"/>
                <w:highlight w:val="none"/>
                <w:lang w:val="en-US" w:eastAsia="zh-CN"/>
              </w:rPr>
              <w:t>日历天内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995" w:type="dxa"/>
            <w:vAlign w:val="center"/>
          </w:tcPr>
          <w:p>
            <w:pPr>
              <w:spacing w:line="200" w:lineRule="atLeas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发票要求</w:t>
            </w:r>
          </w:p>
        </w:tc>
        <w:tc>
          <w:tcPr>
            <w:tcW w:w="7904" w:type="dxa"/>
            <w:vAlign w:val="center"/>
          </w:tcPr>
          <w:p>
            <w:pPr>
              <w:spacing w:line="200" w:lineRule="atLeast"/>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13%增值税专用发票</w:t>
            </w:r>
          </w:p>
        </w:tc>
      </w:tr>
    </w:tbl>
    <w:p>
      <w:pPr>
        <w:spacing w:line="430" w:lineRule="exact"/>
        <w:rPr>
          <w:rFonts w:hint="eastAsia" w:ascii="宋体" w:hAnsi="宋体" w:eastAsia="宋体" w:cs="宋体"/>
          <w:color w:val="auto"/>
          <w:sz w:val="28"/>
          <w:szCs w:val="28"/>
          <w:highlight w:val="none"/>
        </w:rPr>
      </w:pPr>
    </w:p>
    <w:p>
      <w:pPr>
        <w:pStyle w:val="27"/>
        <w:rPr>
          <w:rFonts w:hint="eastAsia" w:ascii="宋体" w:hAnsi="宋体" w:eastAsia="宋体" w:cs="宋体"/>
          <w:color w:val="auto"/>
          <w:sz w:val="28"/>
          <w:szCs w:val="28"/>
          <w:highlight w:val="none"/>
        </w:rPr>
      </w:pPr>
    </w:p>
    <w:p>
      <w:pPr>
        <w:pStyle w:val="27"/>
        <w:rPr>
          <w:rFonts w:hint="eastAsia" w:ascii="宋体" w:hAnsi="宋体" w:eastAsia="宋体" w:cs="宋体"/>
          <w:color w:val="auto"/>
          <w:sz w:val="28"/>
          <w:szCs w:val="28"/>
          <w:highlight w:val="none"/>
        </w:rPr>
      </w:pPr>
    </w:p>
    <w:p>
      <w:pPr>
        <w:spacing w:line="430" w:lineRule="exact"/>
        <w:jc w:val="cente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pPr>
        <w:spacing w:line="43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二、合同格式</w:t>
      </w:r>
      <w:bookmarkStart w:id="13" w:name="_Toc17970"/>
    </w:p>
    <w:p>
      <w:pPr>
        <w:spacing w:line="430" w:lineRule="exact"/>
        <w:jc w:val="center"/>
        <w:rPr>
          <w:rFonts w:hint="eastAsia" w:ascii="宋体" w:hAnsi="宋体" w:eastAsia="宋体" w:cs="宋体"/>
          <w:b/>
          <w:bCs/>
          <w:color w:val="auto"/>
          <w:w w:val="90"/>
          <w:sz w:val="44"/>
          <w:szCs w:val="44"/>
          <w:highlight w:val="none"/>
        </w:rPr>
      </w:pPr>
    </w:p>
    <w:p>
      <w:pPr>
        <w:spacing w:line="430" w:lineRule="exact"/>
        <w:jc w:val="center"/>
        <w:rPr>
          <w:rFonts w:hint="eastAsia" w:ascii="宋体" w:hAnsi="宋体" w:eastAsia="宋体" w:cs="宋体"/>
          <w:b/>
          <w:bCs/>
          <w:color w:val="auto"/>
          <w:w w:val="90"/>
          <w:sz w:val="44"/>
          <w:szCs w:val="44"/>
          <w:highlight w:val="none"/>
        </w:rPr>
      </w:pPr>
    </w:p>
    <w:p>
      <w:pPr>
        <w:spacing w:line="360" w:lineRule="auto"/>
        <w:jc w:val="center"/>
        <w:rPr>
          <w:rFonts w:hint="eastAsia" w:ascii="宋体" w:hAnsi="宋体" w:cs="宋体"/>
          <w:b/>
          <w:color w:val="000000"/>
          <w:sz w:val="44"/>
          <w:szCs w:val="24"/>
          <w:highlight w:val="none"/>
          <w:lang w:eastAsia="zh-CN"/>
        </w:rPr>
      </w:pPr>
      <w:bookmarkStart w:id="14" w:name="_Toc30339"/>
      <w:bookmarkStart w:id="15" w:name="_Toc24683"/>
      <w:r>
        <w:rPr>
          <w:rFonts w:hint="eastAsia" w:ascii="宋体" w:hAnsi="宋体" w:cs="宋体"/>
          <w:b/>
          <w:color w:val="000000"/>
          <w:sz w:val="44"/>
          <w:szCs w:val="24"/>
          <w:highlight w:val="none"/>
          <w:lang w:eastAsia="zh-CN"/>
        </w:rPr>
        <w:t>西山区怡芳苑小区老旧电梯</w:t>
      </w:r>
    </w:p>
    <w:p>
      <w:pPr>
        <w:spacing w:line="360" w:lineRule="auto"/>
        <w:jc w:val="center"/>
        <w:rPr>
          <w:rFonts w:hint="eastAsia" w:ascii="宋体" w:hAnsi="宋体" w:cs="宋体"/>
          <w:b/>
          <w:color w:val="000000"/>
          <w:sz w:val="44"/>
          <w:szCs w:val="24"/>
          <w:highlight w:val="none"/>
        </w:rPr>
      </w:pPr>
      <w:r>
        <w:rPr>
          <w:rFonts w:hint="eastAsia" w:ascii="宋体" w:hAnsi="宋体" w:cs="宋体"/>
          <w:b/>
          <w:color w:val="000000"/>
          <w:sz w:val="44"/>
          <w:szCs w:val="24"/>
          <w:highlight w:val="none"/>
          <w:lang w:eastAsia="zh-CN"/>
        </w:rPr>
        <w:t>更新更换项目</w:t>
      </w:r>
    </w:p>
    <w:p>
      <w:pPr>
        <w:spacing w:line="360" w:lineRule="auto"/>
        <w:jc w:val="center"/>
        <w:rPr>
          <w:rFonts w:hint="eastAsia" w:ascii="宋体" w:hAnsi="宋体" w:cs="宋体"/>
          <w:b/>
          <w:color w:val="000000"/>
          <w:sz w:val="44"/>
          <w:szCs w:val="24"/>
          <w:highlight w:val="none"/>
        </w:rPr>
      </w:pPr>
    </w:p>
    <w:p>
      <w:pPr>
        <w:spacing w:line="360" w:lineRule="auto"/>
        <w:jc w:val="center"/>
        <w:rPr>
          <w:rFonts w:hint="eastAsia" w:ascii="宋体" w:hAnsi="宋体" w:cs="宋体"/>
          <w:b/>
          <w:color w:val="000000"/>
          <w:sz w:val="84"/>
          <w:szCs w:val="84"/>
          <w:highlight w:val="none"/>
        </w:rPr>
      </w:pPr>
      <w:r>
        <w:rPr>
          <w:rFonts w:hint="eastAsia" w:ascii="宋体" w:hAnsi="宋体" w:cs="宋体"/>
          <w:b/>
          <w:color w:val="000000"/>
          <w:sz w:val="84"/>
          <w:szCs w:val="84"/>
          <w:highlight w:val="none"/>
        </w:rPr>
        <w:t>合</w:t>
      </w:r>
    </w:p>
    <w:p>
      <w:pPr>
        <w:spacing w:line="360" w:lineRule="auto"/>
        <w:jc w:val="center"/>
        <w:rPr>
          <w:rFonts w:hint="eastAsia" w:ascii="宋体" w:hAnsi="宋体" w:cs="宋体"/>
          <w:b/>
          <w:color w:val="000000"/>
          <w:sz w:val="84"/>
          <w:szCs w:val="84"/>
          <w:highlight w:val="none"/>
        </w:rPr>
      </w:pPr>
      <w:r>
        <w:rPr>
          <w:rFonts w:hint="eastAsia" w:ascii="宋体" w:hAnsi="宋体" w:cs="宋体"/>
          <w:b/>
          <w:color w:val="000000"/>
          <w:sz w:val="84"/>
          <w:szCs w:val="84"/>
          <w:highlight w:val="none"/>
        </w:rPr>
        <w:t>同</w:t>
      </w:r>
    </w:p>
    <w:p>
      <w:pPr>
        <w:spacing w:line="360" w:lineRule="auto"/>
        <w:jc w:val="center"/>
        <w:rPr>
          <w:rFonts w:hint="eastAsia" w:ascii="宋体" w:hAnsi="宋体" w:cs="宋体"/>
          <w:b/>
          <w:color w:val="000000"/>
          <w:sz w:val="84"/>
          <w:szCs w:val="84"/>
          <w:highlight w:val="none"/>
        </w:rPr>
      </w:pPr>
      <w:r>
        <w:rPr>
          <w:rFonts w:hint="eastAsia" w:ascii="宋体" w:hAnsi="宋体" w:cs="宋体"/>
          <w:b/>
          <w:color w:val="000000"/>
          <w:sz w:val="84"/>
          <w:szCs w:val="84"/>
          <w:highlight w:val="none"/>
        </w:rPr>
        <w:t>书</w:t>
      </w:r>
    </w:p>
    <w:p>
      <w:pPr>
        <w:spacing w:line="360" w:lineRule="auto"/>
        <w:ind w:firstLine="480"/>
        <w:rPr>
          <w:rFonts w:hint="eastAsia" w:ascii="宋体" w:hAnsi="宋体" w:cs="宋体"/>
          <w:b/>
          <w:color w:val="000000"/>
          <w:szCs w:val="24"/>
          <w:highlight w:val="none"/>
        </w:rPr>
      </w:pPr>
    </w:p>
    <w:p>
      <w:pPr>
        <w:tabs>
          <w:tab w:val="left" w:pos="3105"/>
        </w:tabs>
        <w:spacing w:line="360" w:lineRule="auto"/>
        <w:rPr>
          <w:rFonts w:hint="eastAsia" w:ascii="宋体" w:hAnsi="宋体" w:cs="宋体"/>
          <w:b/>
          <w:color w:val="000000"/>
          <w:sz w:val="36"/>
          <w:szCs w:val="24"/>
          <w:highlight w:val="none"/>
        </w:rPr>
      </w:pPr>
      <w:r>
        <w:rPr>
          <w:rFonts w:hint="eastAsia" w:ascii="宋体" w:hAnsi="宋体" w:cs="宋体"/>
          <w:b/>
          <w:color w:val="000000"/>
          <w:sz w:val="36"/>
          <w:szCs w:val="24"/>
          <w:highlight w:val="none"/>
        </w:rPr>
        <w:tab/>
      </w:r>
    </w:p>
    <w:p>
      <w:pPr>
        <w:spacing w:line="360" w:lineRule="auto"/>
        <w:rPr>
          <w:rFonts w:hint="eastAsia" w:ascii="宋体" w:hAnsi="宋体" w:eastAsia="宋体" w:cs="宋体"/>
          <w:b/>
          <w:color w:val="000000"/>
          <w:sz w:val="32"/>
          <w:szCs w:val="24"/>
          <w:highlight w:val="none"/>
          <w:lang w:eastAsia="zh-CN"/>
        </w:rPr>
      </w:pPr>
      <w:r>
        <w:rPr>
          <w:rFonts w:hint="eastAsia" w:ascii="宋体" w:hAnsi="宋体" w:cs="宋体"/>
          <w:b/>
          <w:color w:val="000000"/>
          <w:sz w:val="32"/>
          <w:szCs w:val="24"/>
          <w:highlight w:val="none"/>
        </w:rPr>
        <w:t>甲方：</w:t>
      </w:r>
      <w:r>
        <w:rPr>
          <w:rFonts w:hint="eastAsia" w:ascii="宋体" w:hAnsi="宋体" w:cs="宋体"/>
          <w:b/>
          <w:color w:val="000000"/>
          <w:sz w:val="32"/>
          <w:szCs w:val="24"/>
          <w:highlight w:val="none"/>
          <w:lang w:eastAsia="zh-CN"/>
        </w:rPr>
        <w:t>云南昆钢兴达物业服务有限公司</w:t>
      </w:r>
    </w:p>
    <w:p>
      <w:pPr>
        <w:spacing w:line="360" w:lineRule="auto"/>
        <w:rPr>
          <w:rFonts w:hint="eastAsia" w:ascii="宋体" w:hAnsi="宋体" w:cs="宋体"/>
          <w:b/>
          <w:color w:val="000000"/>
          <w:sz w:val="28"/>
          <w:szCs w:val="24"/>
          <w:highlight w:val="none"/>
        </w:rPr>
      </w:pPr>
      <w:r>
        <w:rPr>
          <w:rFonts w:hint="eastAsia" w:ascii="宋体" w:hAnsi="宋体" w:cs="宋体"/>
          <w:b/>
          <w:color w:val="000000"/>
          <w:sz w:val="32"/>
          <w:szCs w:val="24"/>
          <w:highlight w:val="none"/>
        </w:rPr>
        <w:t>乙方：</w:t>
      </w:r>
    </w:p>
    <w:p>
      <w:pPr>
        <w:spacing w:line="360" w:lineRule="auto"/>
        <w:ind w:firstLine="2891" w:firstLineChars="900"/>
        <w:jc w:val="center"/>
        <w:rPr>
          <w:rFonts w:hint="eastAsia" w:ascii="宋体" w:hAnsi="宋体" w:cs="宋体"/>
          <w:b/>
          <w:color w:val="000000"/>
          <w:sz w:val="32"/>
          <w:szCs w:val="32"/>
          <w:highlight w:val="none"/>
        </w:rPr>
      </w:pPr>
    </w:p>
    <w:p>
      <w:pPr>
        <w:spacing w:line="360" w:lineRule="auto"/>
        <w:ind w:firstLine="2891" w:firstLineChars="900"/>
        <w:jc w:val="center"/>
        <w:rPr>
          <w:rFonts w:hint="eastAsia" w:ascii="宋体" w:hAnsi="宋体" w:cs="宋体"/>
          <w:b/>
          <w:color w:val="000000"/>
          <w:sz w:val="32"/>
          <w:szCs w:val="32"/>
          <w:highlight w:val="none"/>
        </w:rPr>
      </w:pPr>
    </w:p>
    <w:p>
      <w:pPr>
        <w:adjustRightInd w:val="0"/>
        <w:snapToGrid w:val="0"/>
        <w:spacing w:line="360" w:lineRule="auto"/>
        <w:jc w:val="center"/>
        <w:rPr>
          <w:rFonts w:ascii="宋体" w:hAnsi="宋体" w:cs="Times New Roman"/>
          <w:b w:val="0"/>
          <w:color w:val="000000"/>
          <w:szCs w:val="24"/>
          <w:highlight w:val="none"/>
        </w:rPr>
      </w:pPr>
      <w:r>
        <w:rPr>
          <w:rFonts w:hint="eastAsia" w:ascii="宋体" w:hAnsi="宋体" w:cs="宋体"/>
          <w:b w:val="0"/>
          <w:color w:val="000000"/>
          <w:szCs w:val="24"/>
          <w:highlight w:val="none"/>
        </w:rPr>
        <w:t>签订时间:   年  月  日</w:t>
      </w:r>
      <w:r>
        <w:rPr>
          <w:rFonts w:ascii="宋体" w:hAnsi="宋体" w:cs="Times New Roman"/>
          <w:b w:val="0"/>
          <w:color w:val="000000"/>
          <w:szCs w:val="24"/>
          <w:highlight w:val="none"/>
        </w:rPr>
        <w:br w:type="page"/>
      </w:r>
      <w:bookmarkEnd w:id="14"/>
      <w:bookmarkEnd w:id="15"/>
    </w:p>
    <w:p>
      <w:pPr>
        <w:keepNext/>
        <w:keepLines/>
        <w:widowControl w:val="0"/>
        <w:adjustRightInd w:val="0"/>
        <w:snapToGrid w:val="0"/>
        <w:spacing w:before="0" w:after="0" w:line="360" w:lineRule="auto"/>
        <w:ind w:firstLine="643" w:firstLineChars="200"/>
        <w:jc w:val="center"/>
        <w:outlineLvl w:val="2"/>
        <w:rPr>
          <w:rFonts w:hint="eastAsia" w:ascii="仿宋_GB2312" w:hAnsi="仿宋_GB2312" w:eastAsia="仿宋_GB2312" w:cs="仿宋_GB2312"/>
          <w:b/>
          <w:bCs w:val="0"/>
          <w:color w:val="000000"/>
          <w:kern w:val="44"/>
          <w:sz w:val="32"/>
          <w:szCs w:val="32"/>
          <w:highlight w:val="none"/>
          <w:lang w:val="en-US" w:eastAsia="zh-CN" w:bidi="ar-SA"/>
        </w:rPr>
      </w:pPr>
      <w:bookmarkStart w:id="16" w:name="_Toc19295"/>
      <w:bookmarkStart w:id="17" w:name="_Toc2429"/>
      <w:bookmarkStart w:id="18" w:name="_Toc9377"/>
      <w:bookmarkStart w:id="19" w:name="_Toc8210"/>
      <w:bookmarkStart w:id="20" w:name="_Toc4427"/>
      <w:bookmarkStart w:id="21" w:name="_Toc15766"/>
      <w:bookmarkStart w:id="22" w:name="_Toc4575"/>
      <w:bookmarkStart w:id="23" w:name="_Toc11922658"/>
      <w:bookmarkStart w:id="24" w:name="_Toc879"/>
      <w:bookmarkStart w:id="25" w:name="_Toc14345"/>
      <w:bookmarkStart w:id="26" w:name="_Toc24896"/>
      <w:bookmarkStart w:id="27" w:name="_Toc3261"/>
      <w:bookmarkStart w:id="28" w:name="_Toc67404836"/>
      <w:bookmarkStart w:id="29" w:name="_Toc26546"/>
      <w:bookmarkStart w:id="30" w:name="_Toc8185"/>
      <w:bookmarkStart w:id="31" w:name="_Toc9048"/>
      <w:bookmarkStart w:id="32" w:name="_Toc27872"/>
      <w:bookmarkStart w:id="33" w:name="_Toc3838"/>
      <w:bookmarkStart w:id="34" w:name="_Toc28920"/>
      <w:bookmarkStart w:id="35" w:name="_Toc285"/>
      <w:bookmarkStart w:id="36" w:name="_Toc21443"/>
      <w:bookmarkStart w:id="37" w:name="_Toc67400182"/>
      <w:bookmarkStart w:id="38" w:name="_Toc17602"/>
      <w:bookmarkStart w:id="39" w:name="_Toc22014"/>
      <w:bookmarkStart w:id="40" w:name="_Toc22575"/>
      <w:r>
        <w:rPr>
          <w:rFonts w:hint="eastAsia" w:ascii="仿宋_GB2312" w:hAnsi="仿宋_GB2312" w:eastAsia="仿宋_GB2312" w:cs="仿宋_GB2312"/>
          <w:b/>
          <w:bCs w:val="0"/>
          <w:color w:val="000000"/>
          <w:kern w:val="44"/>
          <w:sz w:val="32"/>
          <w:szCs w:val="32"/>
          <w:highlight w:val="none"/>
          <w:lang w:val="en-US" w:eastAsia="zh-CN" w:bidi="ar-SA"/>
        </w:rPr>
        <w:t>第一部分  协 议 书</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pPr>
        <w:adjustRightInd w:val="0"/>
        <w:snapToGrid w:val="0"/>
        <w:spacing w:line="360" w:lineRule="auto"/>
        <w:ind w:firstLine="422" w:firstLineChars="200"/>
        <w:rPr>
          <w:rFonts w:hint="eastAsia" w:ascii="仿宋_GB2312" w:hAnsi="仿宋_GB2312" w:eastAsia="仿宋_GB2312" w:cs="仿宋_GB2312"/>
          <w:b/>
          <w:bCs/>
          <w:color w:val="000000"/>
          <w:sz w:val="21"/>
          <w:szCs w:val="21"/>
          <w:highlight w:val="none"/>
          <w:u w:val="single"/>
        </w:rPr>
      </w:pPr>
      <w:r>
        <w:rPr>
          <w:rFonts w:hint="eastAsia" w:ascii="仿宋_GB2312" w:hAnsi="仿宋_GB2312" w:eastAsia="仿宋_GB2312" w:cs="仿宋_GB2312"/>
          <w:b/>
          <w:bCs/>
          <w:color w:val="000000"/>
          <w:sz w:val="21"/>
          <w:szCs w:val="21"/>
          <w:highlight w:val="none"/>
        </w:rPr>
        <w:t>甲方（全称）：</w:t>
      </w:r>
    </w:p>
    <w:p>
      <w:pPr>
        <w:spacing w:line="360" w:lineRule="auto"/>
        <w:ind w:firstLine="422" w:firstLineChars="200"/>
        <w:rPr>
          <w:rFonts w:hint="default" w:ascii="仿宋_GB2312" w:hAnsi="仿宋_GB2312" w:eastAsia="仿宋_GB2312" w:cs="仿宋_GB2312"/>
          <w:b/>
          <w:bCs/>
          <w:color w:val="000000"/>
          <w:sz w:val="30"/>
          <w:szCs w:val="30"/>
          <w:highlight w:val="none"/>
          <w:u w:val="single"/>
          <w:lang w:val="en-US" w:eastAsia="zh-CN"/>
        </w:rPr>
      </w:pPr>
      <w:r>
        <w:rPr>
          <w:rFonts w:hint="eastAsia" w:ascii="仿宋_GB2312" w:hAnsi="仿宋_GB2312" w:eastAsia="仿宋_GB2312" w:cs="仿宋_GB2312"/>
          <w:b/>
          <w:bCs/>
          <w:color w:val="000000"/>
          <w:sz w:val="21"/>
          <w:szCs w:val="21"/>
          <w:highlight w:val="none"/>
        </w:rPr>
        <w:t>乙方（全称）</w:t>
      </w:r>
      <w:r>
        <w:rPr>
          <w:rFonts w:hint="eastAsia" w:ascii="仿宋_GB2312" w:hAnsi="仿宋_GB2312" w:eastAsia="仿宋_GB2312" w:cs="仿宋_GB2312"/>
          <w:b/>
          <w:bCs/>
          <w:color w:val="000000"/>
          <w:sz w:val="21"/>
          <w:szCs w:val="21"/>
          <w:highlight w:val="none"/>
          <w:u w:val="none"/>
        </w:rPr>
        <w:t>：</w:t>
      </w:r>
    </w:p>
    <w:p>
      <w:pPr>
        <w:adjustRightInd w:val="0"/>
        <w:snapToGrid w:val="0"/>
        <w:spacing w:line="360" w:lineRule="auto"/>
        <w:ind w:firstLine="420" w:firstLineChars="200"/>
        <w:rPr>
          <w:rFonts w:hint="eastAsia" w:ascii="仿宋_GB2312" w:hAnsi="仿宋_GB2312" w:eastAsia="仿宋_GB2312" w:cs="仿宋_GB2312"/>
          <w:color w:val="000000"/>
          <w:sz w:val="21"/>
          <w:szCs w:val="21"/>
          <w:highlight w:val="none"/>
          <w:u w:val="single"/>
        </w:rPr>
      </w:pPr>
    </w:p>
    <w:p>
      <w:pPr>
        <w:adjustRightInd w:val="0"/>
        <w:snapToGrid w:val="0"/>
        <w:spacing w:line="360" w:lineRule="auto"/>
        <w:ind w:firstLine="420" w:firstLineChars="20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依照《中华人民共和国民法典》、《特种设备安全监察条例》和《电梯工程施工质量验收规范》及其它有关法律、行政法规，遵循平等、自愿、公平和诚实信用的原则，甲方和乙方双方就</w:t>
      </w:r>
      <w:r>
        <w:rPr>
          <w:rFonts w:hint="eastAsia" w:ascii="仿宋_GB2312" w:hAnsi="仿宋_GB2312" w:eastAsia="仿宋_GB2312" w:cs="仿宋_GB2312"/>
          <w:color w:val="000000"/>
          <w:sz w:val="21"/>
          <w:szCs w:val="21"/>
          <w:highlight w:val="none"/>
        </w:rPr>
        <w:fldChar w:fldCharType="begin"/>
      </w:r>
      <w:r>
        <w:rPr>
          <w:rFonts w:hint="eastAsia" w:ascii="仿宋_GB2312" w:hAnsi="仿宋_GB2312" w:eastAsia="仿宋_GB2312" w:cs="仿宋_GB2312"/>
          <w:color w:val="000000"/>
          <w:sz w:val="21"/>
          <w:szCs w:val="21"/>
          <w:highlight w:val="none"/>
        </w:rPr>
        <w:instrText xml:space="preserve"> HYPERLINK "javascript:;" \o "云南昆钢兴达物业服务有限公司2026年西山区怡芳苑小区老旧电梯更新更换项目" </w:instrText>
      </w:r>
      <w:r>
        <w:rPr>
          <w:rFonts w:hint="eastAsia" w:ascii="仿宋_GB2312" w:hAnsi="仿宋_GB2312" w:eastAsia="仿宋_GB2312" w:cs="仿宋_GB2312"/>
          <w:color w:val="000000"/>
          <w:sz w:val="21"/>
          <w:szCs w:val="21"/>
          <w:highlight w:val="none"/>
        </w:rPr>
        <w:fldChar w:fldCharType="separate"/>
      </w:r>
      <w:r>
        <w:rPr>
          <w:rFonts w:hint="eastAsia" w:ascii="仿宋_GB2312" w:hAnsi="仿宋_GB2312" w:eastAsia="仿宋_GB2312" w:cs="仿宋_GB2312"/>
          <w:color w:val="000000"/>
          <w:sz w:val="21"/>
          <w:szCs w:val="21"/>
          <w:highlight w:val="none"/>
        </w:rPr>
        <w:t>西山区怡芳苑</w:t>
      </w:r>
      <w:r>
        <w:rPr>
          <w:rFonts w:hint="eastAsia" w:ascii="仿宋_GB2312" w:hAnsi="仿宋_GB2312" w:eastAsia="仿宋_GB2312" w:cs="仿宋_GB2312"/>
          <w:color w:val="000000"/>
          <w:sz w:val="21"/>
          <w:szCs w:val="21"/>
          <w:highlight w:val="none"/>
        </w:rPr>
        <w:fldChar w:fldCharType="end"/>
      </w:r>
      <w:r>
        <w:rPr>
          <w:rFonts w:hint="eastAsia" w:ascii="仿宋_GB2312" w:hAnsi="仿宋_GB2312" w:eastAsia="仿宋_GB2312" w:cs="仿宋_GB2312"/>
          <w:color w:val="000000"/>
          <w:sz w:val="21"/>
          <w:szCs w:val="21"/>
          <w:highlight w:val="none"/>
        </w:rPr>
        <w:t>小区老旧电梯更新更换项目事项经协商达成一致，订立本合同。</w:t>
      </w:r>
    </w:p>
    <w:p>
      <w:pPr>
        <w:keepNext/>
        <w:keepLines/>
        <w:widowControl w:val="0"/>
        <w:adjustRightInd w:val="0"/>
        <w:snapToGrid w:val="0"/>
        <w:spacing w:before="0" w:after="0" w:line="360" w:lineRule="auto"/>
        <w:ind w:firstLine="420" w:firstLineChars="200"/>
        <w:jc w:val="both"/>
        <w:outlineLvl w:val="2"/>
        <w:rPr>
          <w:rFonts w:hint="eastAsia" w:ascii="仿宋_GB2312" w:hAnsi="仿宋_GB2312" w:eastAsia="仿宋_GB2312" w:cs="仿宋_GB2312"/>
          <w:b w:val="0"/>
          <w:bCs/>
          <w:color w:val="000000"/>
          <w:kern w:val="2"/>
          <w:sz w:val="21"/>
          <w:szCs w:val="21"/>
          <w:highlight w:val="none"/>
          <w:lang w:val="en-US" w:eastAsia="zh-CN" w:bidi="ar-SA"/>
        </w:rPr>
      </w:pPr>
      <w:bookmarkStart w:id="41" w:name="_Toc11922659"/>
      <w:bookmarkStart w:id="42" w:name="_Toc4904"/>
      <w:bookmarkStart w:id="43" w:name="_Toc9361"/>
      <w:bookmarkStart w:id="44" w:name="_Toc31242"/>
      <w:bookmarkStart w:id="45" w:name="_Toc4043"/>
      <w:bookmarkStart w:id="46" w:name="_Toc133"/>
      <w:bookmarkStart w:id="47" w:name="_Toc67404837"/>
      <w:bookmarkStart w:id="48" w:name="_Toc25432"/>
      <w:bookmarkStart w:id="49" w:name="_Toc10157"/>
      <w:bookmarkStart w:id="50" w:name="_Toc11922752"/>
      <w:bookmarkStart w:id="51" w:name="_Toc22396"/>
      <w:bookmarkStart w:id="52" w:name="_Toc9595"/>
      <w:bookmarkStart w:id="53" w:name="_Toc13744"/>
      <w:bookmarkStart w:id="54" w:name="_Toc11130"/>
      <w:bookmarkStart w:id="55" w:name="_Toc4790"/>
      <w:bookmarkStart w:id="56" w:name="_Toc7021"/>
      <w:bookmarkStart w:id="57" w:name="_Toc67400183"/>
      <w:bookmarkStart w:id="58" w:name="_Toc28835"/>
      <w:bookmarkStart w:id="59" w:name="_Toc13484"/>
      <w:bookmarkStart w:id="60" w:name="_Toc24034"/>
      <w:bookmarkStart w:id="61" w:name="_Toc18262"/>
      <w:r>
        <w:rPr>
          <w:rFonts w:hint="eastAsia" w:ascii="仿宋_GB2312" w:hAnsi="仿宋_GB2312" w:eastAsia="仿宋_GB2312" w:cs="仿宋_GB2312"/>
          <w:b w:val="0"/>
          <w:bCs/>
          <w:color w:val="000000"/>
          <w:kern w:val="2"/>
          <w:sz w:val="21"/>
          <w:szCs w:val="21"/>
          <w:highlight w:val="none"/>
          <w:lang w:val="en-US" w:eastAsia="zh-CN" w:bidi="ar-SA"/>
        </w:rPr>
        <w:t>一、项目概况</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pPr>
        <w:tabs>
          <w:tab w:val="left" w:pos="0"/>
        </w:tabs>
        <w:adjustRightInd w:val="0"/>
        <w:snapToGrid w:val="0"/>
        <w:spacing w:line="360" w:lineRule="auto"/>
        <w:ind w:firstLine="420" w:firstLineChars="200"/>
        <w:rPr>
          <w:rFonts w:hint="eastAsia" w:ascii="仿宋_GB2312" w:hAnsi="仿宋_GB2312" w:eastAsia="仿宋_GB2312" w:cs="仿宋_GB2312"/>
          <w:b/>
          <w:bCs/>
          <w:color w:val="000000"/>
          <w:sz w:val="21"/>
          <w:szCs w:val="21"/>
          <w:highlight w:val="none"/>
          <w:u w:val="single"/>
        </w:rPr>
      </w:pPr>
      <w:bookmarkStart w:id="62" w:name="_Toc13065_WPSOffice_Level2"/>
      <w:r>
        <w:rPr>
          <w:rFonts w:hint="eastAsia" w:ascii="仿宋_GB2312" w:hAnsi="仿宋_GB2312" w:eastAsia="仿宋_GB2312" w:cs="仿宋_GB2312"/>
          <w:bCs/>
          <w:color w:val="000000"/>
          <w:sz w:val="21"/>
          <w:szCs w:val="21"/>
          <w:highlight w:val="none"/>
        </w:rPr>
        <w:t>1.</w:t>
      </w:r>
      <w:r>
        <w:rPr>
          <w:rFonts w:hint="eastAsia" w:ascii="仿宋_GB2312" w:hAnsi="仿宋_GB2312" w:eastAsia="仿宋_GB2312" w:cs="仿宋_GB2312"/>
          <w:bCs/>
          <w:color w:val="000000"/>
          <w:sz w:val="21"/>
          <w:szCs w:val="21"/>
          <w:highlight w:val="none"/>
          <w:lang w:val="en-US" w:eastAsia="zh-CN"/>
        </w:rPr>
        <w:t>项目</w:t>
      </w:r>
      <w:r>
        <w:rPr>
          <w:rFonts w:hint="eastAsia" w:ascii="仿宋_GB2312" w:hAnsi="仿宋_GB2312" w:eastAsia="仿宋_GB2312" w:cs="仿宋_GB2312"/>
          <w:bCs/>
          <w:color w:val="000000"/>
          <w:sz w:val="21"/>
          <w:szCs w:val="21"/>
          <w:highlight w:val="none"/>
        </w:rPr>
        <w:t>名称：</w:t>
      </w:r>
      <w:bookmarkEnd w:id="62"/>
      <w:r>
        <w:rPr>
          <w:rFonts w:hint="eastAsia" w:ascii="仿宋_GB2312" w:hAnsi="仿宋_GB2312" w:eastAsia="仿宋_GB2312" w:cs="仿宋_GB2312"/>
          <w:b/>
          <w:bCs/>
          <w:color w:val="000000" w:themeColor="text1"/>
          <w:sz w:val="21"/>
          <w:szCs w:val="21"/>
          <w:highlight w:val="none"/>
          <w:u w:val="single"/>
          <w:lang w:val="en-US" w:eastAsia="zh-CN"/>
          <w14:textFill>
            <w14:solidFill>
              <w14:schemeClr w14:val="tx1"/>
            </w14:solidFill>
          </w14:textFill>
        </w:rPr>
        <w:t xml:space="preserve">                  </w:t>
      </w:r>
      <w:r>
        <w:rPr>
          <w:rFonts w:hint="eastAsia" w:ascii="仿宋_GB2312" w:hAnsi="仿宋_GB2312" w:eastAsia="仿宋_GB2312" w:cs="仿宋_GB2312"/>
          <w:b/>
          <w:bCs/>
          <w:color w:val="000000"/>
          <w:sz w:val="21"/>
          <w:szCs w:val="21"/>
          <w:highlight w:val="none"/>
          <w:u w:val="single"/>
          <w:lang w:val="en-US" w:eastAsia="zh-CN"/>
        </w:rPr>
        <w:t xml:space="preserve">  。</w:t>
      </w:r>
    </w:p>
    <w:p>
      <w:pPr>
        <w:tabs>
          <w:tab w:val="left" w:pos="0"/>
        </w:tabs>
        <w:adjustRightInd w:val="0"/>
        <w:snapToGrid w:val="0"/>
        <w:spacing w:line="360" w:lineRule="auto"/>
        <w:ind w:firstLine="420" w:firstLineChars="200"/>
        <w:rPr>
          <w:rFonts w:hint="eastAsia" w:ascii="仿宋_GB2312" w:hAnsi="仿宋_GB2312" w:eastAsia="仿宋_GB2312" w:cs="仿宋_GB2312"/>
          <w:bCs/>
          <w:color w:val="000000"/>
          <w:sz w:val="21"/>
          <w:szCs w:val="21"/>
          <w:highlight w:val="none"/>
          <w:lang w:eastAsia="zh-CN"/>
        </w:rPr>
      </w:pPr>
      <w:bookmarkStart w:id="63" w:name="_Toc16081_WPSOffice_Level2"/>
      <w:r>
        <w:rPr>
          <w:rFonts w:hint="eastAsia" w:ascii="仿宋_GB2312" w:hAnsi="仿宋_GB2312" w:eastAsia="仿宋_GB2312" w:cs="仿宋_GB2312"/>
          <w:bCs/>
          <w:color w:val="000000"/>
          <w:sz w:val="21"/>
          <w:szCs w:val="21"/>
          <w:highlight w:val="none"/>
        </w:rPr>
        <w:t>2.</w:t>
      </w:r>
      <w:r>
        <w:rPr>
          <w:rFonts w:hint="eastAsia" w:ascii="仿宋_GB2312" w:hAnsi="仿宋_GB2312" w:eastAsia="仿宋_GB2312" w:cs="仿宋_GB2312"/>
          <w:bCs/>
          <w:color w:val="000000"/>
          <w:sz w:val="21"/>
          <w:szCs w:val="21"/>
          <w:highlight w:val="none"/>
          <w:lang w:val="en-US" w:eastAsia="zh-CN"/>
        </w:rPr>
        <w:t>项目</w:t>
      </w:r>
      <w:r>
        <w:rPr>
          <w:rFonts w:hint="eastAsia" w:ascii="仿宋_GB2312" w:hAnsi="仿宋_GB2312" w:eastAsia="仿宋_GB2312" w:cs="仿宋_GB2312"/>
          <w:bCs/>
          <w:color w:val="000000"/>
          <w:sz w:val="21"/>
          <w:szCs w:val="21"/>
          <w:highlight w:val="none"/>
        </w:rPr>
        <w:t>地点：</w:t>
      </w:r>
      <w:bookmarkEnd w:id="63"/>
      <w:bookmarkStart w:id="64" w:name="_Toc7897_WPSOffice_Level2"/>
      <w:r>
        <w:rPr>
          <w:rFonts w:hint="eastAsia" w:ascii="仿宋_GB2312" w:hAnsi="仿宋_GB2312" w:eastAsia="仿宋_GB2312" w:cs="仿宋_GB2312"/>
          <w:b/>
          <w:bCs/>
          <w:color w:val="000000"/>
          <w:sz w:val="21"/>
          <w:szCs w:val="21"/>
          <w:highlight w:val="none"/>
          <w:u w:val="single"/>
          <w:lang w:val="en-US" w:eastAsia="zh-CN"/>
        </w:rPr>
        <w:t xml:space="preserve">                    。</w:t>
      </w:r>
    </w:p>
    <w:p>
      <w:pPr>
        <w:tabs>
          <w:tab w:val="left" w:pos="0"/>
        </w:tabs>
        <w:adjustRightInd w:val="0"/>
        <w:snapToGrid w:val="0"/>
        <w:spacing w:line="360" w:lineRule="auto"/>
        <w:ind w:firstLine="420" w:firstLineChars="200"/>
        <w:rPr>
          <w:rFonts w:hint="eastAsia" w:ascii="仿宋_GB2312" w:hAnsi="仿宋_GB2312" w:eastAsia="仿宋_GB2312" w:cs="仿宋_GB2312"/>
          <w:b/>
          <w:bCs/>
          <w:color w:val="000000"/>
          <w:sz w:val="21"/>
          <w:szCs w:val="21"/>
          <w:highlight w:val="none"/>
          <w:u w:val="single"/>
        </w:rPr>
      </w:pPr>
      <w:r>
        <w:rPr>
          <w:rFonts w:hint="eastAsia" w:ascii="仿宋_GB2312" w:hAnsi="仿宋_GB2312" w:eastAsia="仿宋_GB2312" w:cs="仿宋_GB2312"/>
          <w:bCs/>
          <w:color w:val="000000"/>
          <w:sz w:val="21"/>
          <w:szCs w:val="21"/>
          <w:highlight w:val="none"/>
          <w:lang w:val="en-US" w:eastAsia="zh-CN"/>
        </w:rPr>
        <w:t>3</w:t>
      </w:r>
      <w:r>
        <w:rPr>
          <w:rFonts w:hint="eastAsia" w:ascii="仿宋_GB2312" w:hAnsi="仿宋_GB2312" w:eastAsia="仿宋_GB2312" w:cs="仿宋_GB2312"/>
          <w:bCs/>
          <w:color w:val="000000"/>
          <w:sz w:val="21"/>
          <w:szCs w:val="21"/>
          <w:highlight w:val="none"/>
        </w:rPr>
        <w:t>.</w:t>
      </w:r>
      <w:bookmarkEnd w:id="64"/>
      <w:r>
        <w:rPr>
          <w:rFonts w:hint="eastAsia" w:ascii="仿宋_GB2312" w:hAnsi="仿宋_GB2312" w:eastAsia="仿宋_GB2312" w:cs="仿宋_GB2312"/>
          <w:bCs/>
          <w:color w:val="000000"/>
          <w:sz w:val="21"/>
          <w:szCs w:val="21"/>
          <w:highlight w:val="none"/>
        </w:rPr>
        <w:t>台量：</w:t>
      </w:r>
      <w:r>
        <w:rPr>
          <w:rFonts w:hint="eastAsia" w:ascii="仿宋_GB2312" w:hAnsi="仿宋_GB2312" w:eastAsia="仿宋_GB2312" w:cs="仿宋_GB2312"/>
          <w:b/>
          <w:bCs/>
          <w:color w:val="000000"/>
          <w:sz w:val="21"/>
          <w:szCs w:val="21"/>
          <w:highlight w:val="none"/>
          <w:u w:val="single"/>
          <w:lang w:val="en-US" w:eastAsia="zh-CN"/>
        </w:rPr>
        <w:t xml:space="preserve">             。</w:t>
      </w:r>
      <w:r>
        <w:rPr>
          <w:rFonts w:hint="eastAsia" w:ascii="仿宋_GB2312" w:hAnsi="仿宋_GB2312" w:eastAsia="仿宋_GB2312" w:cs="仿宋_GB2312"/>
          <w:b/>
          <w:bCs/>
          <w:color w:val="000000"/>
          <w:sz w:val="21"/>
          <w:szCs w:val="21"/>
          <w:highlight w:val="none"/>
          <w:u w:val="single"/>
        </w:rPr>
        <w:t xml:space="preserve">       </w:t>
      </w:r>
    </w:p>
    <w:p>
      <w:pPr>
        <w:keepNext/>
        <w:keepLines/>
        <w:widowControl w:val="0"/>
        <w:adjustRightInd w:val="0"/>
        <w:snapToGrid w:val="0"/>
        <w:spacing w:before="0" w:after="0" w:line="360" w:lineRule="auto"/>
        <w:ind w:firstLine="420" w:firstLineChars="200"/>
        <w:jc w:val="both"/>
        <w:outlineLvl w:val="2"/>
        <w:rPr>
          <w:rFonts w:hint="eastAsia" w:ascii="仿宋_GB2312" w:hAnsi="仿宋_GB2312" w:eastAsia="仿宋_GB2312" w:cs="仿宋_GB2312"/>
          <w:b w:val="0"/>
          <w:bCs/>
          <w:color w:val="000000"/>
          <w:kern w:val="2"/>
          <w:sz w:val="21"/>
          <w:szCs w:val="21"/>
          <w:highlight w:val="none"/>
          <w:lang w:val="en-US" w:eastAsia="zh-CN" w:bidi="ar-SA"/>
        </w:rPr>
      </w:pPr>
      <w:bookmarkStart w:id="65" w:name="_Toc23604"/>
      <w:bookmarkStart w:id="66" w:name="_Toc8776"/>
      <w:bookmarkStart w:id="67" w:name="_Toc12015"/>
      <w:bookmarkStart w:id="68" w:name="_Toc11922660"/>
      <w:bookmarkStart w:id="69" w:name="_Toc15840"/>
      <w:bookmarkStart w:id="70" w:name="_Toc32489"/>
      <w:bookmarkStart w:id="71" w:name="_Toc4472"/>
      <w:bookmarkStart w:id="72" w:name="_Toc67404838"/>
      <w:bookmarkStart w:id="73" w:name="_Toc11922753"/>
      <w:bookmarkStart w:id="74" w:name="_Toc12050"/>
      <w:bookmarkStart w:id="75" w:name="_Toc4083"/>
      <w:bookmarkStart w:id="76" w:name="_Toc28742"/>
      <w:bookmarkStart w:id="77" w:name="_Toc18654"/>
      <w:bookmarkStart w:id="78" w:name="_Toc29442"/>
      <w:bookmarkStart w:id="79" w:name="_Toc16361"/>
      <w:bookmarkStart w:id="80" w:name="_Toc8050"/>
      <w:bookmarkStart w:id="81" w:name="_Toc8034"/>
      <w:bookmarkStart w:id="82" w:name="_Toc21327"/>
      <w:bookmarkStart w:id="83" w:name="_Toc67400184"/>
      <w:bookmarkStart w:id="84" w:name="_Toc6790"/>
      <w:bookmarkStart w:id="85" w:name="_Toc15545"/>
      <w:r>
        <w:rPr>
          <w:rFonts w:hint="eastAsia" w:ascii="仿宋_GB2312" w:hAnsi="仿宋_GB2312" w:eastAsia="仿宋_GB2312" w:cs="仿宋_GB2312"/>
          <w:b w:val="0"/>
          <w:bCs/>
          <w:color w:val="000000"/>
          <w:kern w:val="2"/>
          <w:sz w:val="21"/>
          <w:szCs w:val="21"/>
          <w:highlight w:val="none"/>
          <w:lang w:val="en-US" w:eastAsia="zh-CN" w:bidi="ar-SA"/>
        </w:rPr>
        <w:t>二、乙方资质情况</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pPr>
        <w:adjustRightInd w:val="0"/>
        <w:snapToGrid w:val="0"/>
        <w:spacing w:line="360" w:lineRule="auto"/>
        <w:ind w:firstLine="420" w:firstLineChars="200"/>
        <w:rPr>
          <w:rFonts w:hint="eastAsia" w:ascii="仿宋_GB2312" w:hAnsi="仿宋_GB2312" w:eastAsia="仿宋_GB2312" w:cs="仿宋_GB2312"/>
          <w:color w:val="000000"/>
          <w:sz w:val="21"/>
          <w:szCs w:val="21"/>
          <w:highlight w:val="none"/>
        </w:rPr>
      </w:pPr>
      <w:bookmarkStart w:id="86" w:name="_Toc12835_WPSOffice_Level2"/>
      <w:r>
        <w:rPr>
          <w:rFonts w:hint="eastAsia" w:ascii="仿宋_GB2312" w:hAnsi="仿宋_GB2312" w:eastAsia="仿宋_GB2312" w:cs="仿宋_GB2312"/>
          <w:bCs/>
          <w:color w:val="000000"/>
          <w:sz w:val="21"/>
          <w:szCs w:val="21"/>
          <w:highlight w:val="none"/>
        </w:rPr>
        <w:t>1.资质证书号码：</w:t>
      </w:r>
      <w:bookmarkEnd w:id="86"/>
      <w:r>
        <w:rPr>
          <w:rFonts w:hint="eastAsia" w:ascii="仿宋_GB2312" w:hAnsi="仿宋_GB2312" w:eastAsia="仿宋_GB2312" w:cs="仿宋_GB2312"/>
          <w:b/>
          <w:bCs/>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u w:val="single"/>
        </w:rPr>
        <w:t xml:space="preserve"> </w:t>
      </w:r>
    </w:p>
    <w:p>
      <w:pPr>
        <w:adjustRightInd w:val="0"/>
        <w:snapToGrid w:val="0"/>
        <w:spacing w:line="360" w:lineRule="auto"/>
        <w:ind w:firstLine="420" w:firstLineChars="200"/>
        <w:rPr>
          <w:rFonts w:hint="eastAsia" w:ascii="仿宋_GB2312" w:hAnsi="仿宋_GB2312" w:eastAsia="仿宋_GB2312" w:cs="仿宋_GB2312"/>
          <w:b/>
          <w:bCs/>
          <w:color w:val="000000"/>
          <w:sz w:val="21"/>
          <w:szCs w:val="21"/>
          <w:highlight w:val="none"/>
          <w:u w:val="single"/>
        </w:rPr>
      </w:pPr>
      <w:bookmarkStart w:id="87" w:name="_Toc31004_WPSOffice_Level2"/>
      <w:r>
        <w:rPr>
          <w:rFonts w:hint="eastAsia" w:ascii="仿宋_GB2312" w:hAnsi="仿宋_GB2312" w:eastAsia="仿宋_GB2312" w:cs="仿宋_GB2312"/>
          <w:bCs/>
          <w:color w:val="000000"/>
          <w:sz w:val="21"/>
          <w:szCs w:val="21"/>
          <w:highlight w:val="none"/>
        </w:rPr>
        <w:t>2.发证机关：</w:t>
      </w:r>
      <w:bookmarkEnd w:id="87"/>
      <w:r>
        <w:rPr>
          <w:rFonts w:hint="eastAsia" w:ascii="仿宋_GB2312" w:hAnsi="仿宋_GB2312" w:eastAsia="仿宋_GB2312" w:cs="仿宋_GB2312"/>
          <w:b/>
          <w:bCs/>
          <w:color w:val="000000"/>
          <w:sz w:val="21"/>
          <w:szCs w:val="21"/>
          <w:highlight w:val="none"/>
          <w:u w:val="single"/>
        </w:rPr>
        <w:t xml:space="preserve"> </w:t>
      </w:r>
      <w:bookmarkStart w:id="88" w:name="_Toc12680_WPSOffice_Level2"/>
    </w:p>
    <w:p>
      <w:pPr>
        <w:adjustRightInd w:val="0"/>
        <w:snapToGrid w:val="0"/>
        <w:spacing w:line="360" w:lineRule="auto"/>
        <w:ind w:firstLine="420" w:firstLineChars="200"/>
        <w:rPr>
          <w:rFonts w:hint="eastAsia" w:ascii="仿宋_GB2312" w:hAnsi="仿宋_GB2312" w:eastAsia="仿宋_GB2312" w:cs="仿宋_GB2312"/>
          <w:b/>
          <w:bCs/>
          <w:color w:val="000000"/>
          <w:sz w:val="21"/>
          <w:szCs w:val="21"/>
          <w:highlight w:val="none"/>
          <w:u w:val="single"/>
          <w:lang w:val="en-US" w:eastAsia="zh-CN"/>
        </w:rPr>
      </w:pPr>
      <w:r>
        <w:rPr>
          <w:rFonts w:hint="eastAsia" w:ascii="仿宋_GB2312" w:hAnsi="仿宋_GB2312" w:eastAsia="仿宋_GB2312" w:cs="仿宋_GB2312"/>
          <w:bCs/>
          <w:color w:val="000000"/>
          <w:sz w:val="21"/>
          <w:szCs w:val="21"/>
          <w:highlight w:val="none"/>
        </w:rPr>
        <w:t>3.资质专业类别及等级：</w:t>
      </w:r>
      <w:bookmarkEnd w:id="88"/>
      <w:r>
        <w:rPr>
          <w:rFonts w:hint="eastAsia" w:ascii="仿宋_GB2312" w:hAnsi="仿宋_GB2312" w:eastAsia="仿宋_GB2312" w:cs="仿宋_GB2312"/>
          <w:b/>
          <w:bCs/>
          <w:color w:val="000000"/>
          <w:sz w:val="21"/>
          <w:szCs w:val="21"/>
          <w:highlight w:val="none"/>
          <w:u w:val="single"/>
          <w:lang w:val="en-US" w:eastAsia="zh-CN"/>
        </w:rPr>
        <w:t xml:space="preserve">  </w:t>
      </w:r>
      <w:bookmarkStart w:id="89" w:name="_Toc6383_WPSOffice_Level2"/>
    </w:p>
    <w:p>
      <w:pPr>
        <w:adjustRightInd w:val="0"/>
        <w:snapToGrid w:val="0"/>
        <w:spacing w:line="360" w:lineRule="auto"/>
        <w:ind w:firstLine="420" w:firstLineChars="200"/>
        <w:rPr>
          <w:rFonts w:hint="eastAsia" w:ascii="仿宋_GB2312" w:hAnsi="仿宋_GB2312" w:eastAsia="仿宋_GB2312" w:cs="仿宋_GB2312"/>
          <w:b/>
          <w:bCs w:val="0"/>
          <w:color w:val="000000"/>
          <w:sz w:val="21"/>
          <w:szCs w:val="21"/>
          <w:highlight w:val="none"/>
        </w:rPr>
      </w:pPr>
      <w:r>
        <w:rPr>
          <w:rFonts w:hint="eastAsia" w:ascii="仿宋_GB2312" w:hAnsi="仿宋_GB2312" w:eastAsia="仿宋_GB2312" w:cs="仿宋_GB2312"/>
          <w:bCs/>
          <w:color w:val="000000"/>
          <w:sz w:val="21"/>
          <w:szCs w:val="21"/>
          <w:highlight w:val="none"/>
        </w:rPr>
        <w:t>4.资质授予时间及有效期</w:t>
      </w:r>
      <w:r>
        <w:rPr>
          <w:rFonts w:hint="eastAsia" w:ascii="仿宋_GB2312" w:hAnsi="仿宋_GB2312" w:eastAsia="仿宋_GB2312" w:cs="仿宋_GB2312"/>
          <w:b/>
          <w:bCs w:val="0"/>
          <w:color w:val="000000"/>
          <w:sz w:val="21"/>
          <w:szCs w:val="21"/>
          <w:highlight w:val="none"/>
        </w:rPr>
        <w:t>：</w:t>
      </w:r>
      <w:bookmarkEnd w:id="89"/>
      <w:r>
        <w:rPr>
          <w:rFonts w:hint="eastAsia" w:ascii="仿宋_GB2312" w:hAnsi="仿宋_GB2312" w:eastAsia="仿宋_GB2312" w:cs="仿宋_GB2312"/>
          <w:b/>
          <w:bCs w:val="0"/>
          <w:color w:val="000000"/>
          <w:sz w:val="21"/>
          <w:szCs w:val="21"/>
          <w:highlight w:val="none"/>
          <w:u w:val="single"/>
        </w:rPr>
        <w:t xml:space="preserve"> </w:t>
      </w:r>
    </w:p>
    <w:p>
      <w:pPr>
        <w:keepNext/>
        <w:keepLines/>
        <w:widowControl w:val="0"/>
        <w:adjustRightInd w:val="0"/>
        <w:snapToGrid w:val="0"/>
        <w:spacing w:before="0" w:after="0" w:line="360" w:lineRule="auto"/>
        <w:ind w:firstLine="420" w:firstLineChars="200"/>
        <w:jc w:val="both"/>
        <w:outlineLvl w:val="2"/>
        <w:rPr>
          <w:rFonts w:hint="eastAsia" w:ascii="仿宋_GB2312" w:hAnsi="仿宋_GB2312" w:eastAsia="仿宋_GB2312" w:cs="仿宋_GB2312"/>
          <w:b w:val="0"/>
          <w:bCs/>
          <w:color w:val="000000"/>
          <w:kern w:val="2"/>
          <w:sz w:val="21"/>
          <w:szCs w:val="21"/>
          <w:highlight w:val="none"/>
          <w:lang w:val="en-US" w:eastAsia="zh-CN" w:bidi="ar-SA"/>
        </w:rPr>
      </w:pPr>
      <w:bookmarkStart w:id="90" w:name="_Toc13371"/>
      <w:bookmarkStart w:id="91" w:name="_Toc21915"/>
      <w:bookmarkStart w:id="92" w:name="_Toc11312"/>
      <w:bookmarkStart w:id="93" w:name="_Toc22910"/>
      <w:bookmarkStart w:id="94" w:name="_Toc29778"/>
      <w:bookmarkStart w:id="95" w:name="_Toc1808"/>
      <w:bookmarkStart w:id="96" w:name="_Toc23206"/>
      <w:bookmarkStart w:id="97" w:name="_Toc19716"/>
      <w:bookmarkStart w:id="98" w:name="_Toc17100"/>
      <w:bookmarkStart w:id="99" w:name="_Toc20696"/>
      <w:bookmarkStart w:id="100" w:name="_Toc820"/>
      <w:bookmarkStart w:id="101" w:name="_Toc22039"/>
      <w:bookmarkStart w:id="102" w:name="_Toc11922662"/>
      <w:bookmarkStart w:id="103" w:name="_Toc67404839"/>
      <w:bookmarkStart w:id="104" w:name="_Toc3271"/>
      <w:bookmarkStart w:id="105" w:name="_Toc15912"/>
      <w:bookmarkStart w:id="106" w:name="_Toc11922755"/>
      <w:bookmarkStart w:id="107" w:name="_Toc23376"/>
      <w:bookmarkStart w:id="108" w:name="_Toc5660"/>
      <w:bookmarkStart w:id="109" w:name="_Toc67400185"/>
      <w:bookmarkStart w:id="110" w:name="_Toc22527"/>
      <w:r>
        <w:rPr>
          <w:rFonts w:hint="eastAsia" w:ascii="仿宋_GB2312" w:hAnsi="仿宋_GB2312" w:eastAsia="仿宋_GB2312" w:cs="仿宋_GB2312"/>
          <w:b w:val="0"/>
          <w:bCs/>
          <w:color w:val="000000"/>
          <w:kern w:val="2"/>
          <w:sz w:val="21"/>
          <w:szCs w:val="21"/>
          <w:highlight w:val="none"/>
          <w:lang w:val="en-US" w:eastAsia="zh-CN" w:bidi="ar-SA"/>
        </w:rPr>
        <w:t>三、项目质量标准</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pPr>
        <w:adjustRightInd w:val="0"/>
        <w:snapToGrid w:val="0"/>
        <w:spacing w:line="360" w:lineRule="auto"/>
        <w:ind w:firstLine="420" w:firstLineChars="200"/>
        <w:rPr>
          <w:rFonts w:hint="eastAsia" w:ascii="仿宋_GB2312" w:hAnsi="仿宋_GB2312" w:eastAsia="仿宋_GB2312" w:cs="仿宋_GB2312"/>
          <w:color w:val="000000"/>
          <w:sz w:val="21"/>
          <w:szCs w:val="21"/>
          <w:highlight w:val="none"/>
          <w:u w:val="single"/>
        </w:rPr>
      </w:pPr>
      <w:r>
        <w:rPr>
          <w:rFonts w:hint="eastAsia" w:ascii="仿宋_GB2312" w:hAnsi="仿宋_GB2312" w:eastAsia="仿宋_GB2312" w:cs="仿宋_GB2312"/>
          <w:color w:val="000000"/>
          <w:sz w:val="21"/>
          <w:szCs w:val="21"/>
          <w:highlight w:val="none"/>
        </w:rPr>
        <w:t>本</w:t>
      </w:r>
      <w:r>
        <w:rPr>
          <w:rFonts w:hint="eastAsia" w:ascii="仿宋_GB2312" w:hAnsi="仿宋_GB2312" w:eastAsia="仿宋_GB2312" w:cs="仿宋_GB2312"/>
          <w:color w:val="000000"/>
          <w:sz w:val="21"/>
          <w:szCs w:val="21"/>
          <w:highlight w:val="none"/>
          <w:lang w:val="en-US" w:eastAsia="zh-CN"/>
        </w:rPr>
        <w:t>项目</w:t>
      </w:r>
      <w:r>
        <w:rPr>
          <w:rFonts w:hint="eastAsia" w:ascii="仿宋_GB2312" w:hAnsi="仿宋_GB2312" w:eastAsia="仿宋_GB2312" w:cs="仿宋_GB2312"/>
          <w:color w:val="000000"/>
          <w:sz w:val="21"/>
          <w:szCs w:val="21"/>
          <w:highlight w:val="none"/>
        </w:rPr>
        <w:t>质量标准双方约定为：</w:t>
      </w:r>
      <w:r>
        <w:rPr>
          <w:rFonts w:hint="eastAsia" w:ascii="仿宋_GB2312" w:hAnsi="仿宋_GB2312" w:eastAsia="仿宋_GB2312" w:cs="仿宋_GB2312"/>
          <w:color w:val="000000"/>
          <w:sz w:val="21"/>
          <w:szCs w:val="21"/>
          <w:highlight w:val="none"/>
          <w:u w:val="single"/>
        </w:rPr>
        <w:t>新于《电梯制造与安装安全规范》（GB7588-2003）的企业标准、《电梯安装验收规范》（GB/T10060-2023）、《电梯工程施工质量验收规范》（GB50310-2002）、《电梯监督检验和定期检验规则》（TSGT7001-2023）、《电梯维护保养规则》（TSGT5002-2017）、符合“市场监管总局办公厅关于进一步做好住宅老旧电梯更新有关工作的通知（市监特设发〔2025〕52号）”及其他国家相关标准及规范要求，一次性验收合格。</w:t>
      </w:r>
    </w:p>
    <w:p>
      <w:pPr>
        <w:keepNext/>
        <w:keepLines/>
        <w:widowControl w:val="0"/>
        <w:adjustRightInd w:val="0"/>
        <w:snapToGrid w:val="0"/>
        <w:spacing w:before="0" w:after="0" w:line="360" w:lineRule="auto"/>
        <w:ind w:firstLine="420" w:firstLineChars="200"/>
        <w:jc w:val="both"/>
        <w:outlineLvl w:val="2"/>
        <w:rPr>
          <w:rFonts w:hint="eastAsia" w:ascii="仿宋_GB2312" w:hAnsi="仿宋_GB2312" w:eastAsia="仿宋_GB2312" w:cs="仿宋_GB2312"/>
          <w:b w:val="0"/>
          <w:bCs/>
          <w:color w:val="000000"/>
          <w:kern w:val="2"/>
          <w:sz w:val="21"/>
          <w:szCs w:val="21"/>
          <w:highlight w:val="none"/>
          <w:lang w:val="en-US" w:eastAsia="zh-CN" w:bidi="ar-SA"/>
        </w:rPr>
      </w:pPr>
      <w:bookmarkStart w:id="111" w:name="_Toc11303"/>
      <w:bookmarkStart w:id="112" w:name="_Toc5379"/>
      <w:bookmarkStart w:id="113" w:name="_Toc11922756"/>
      <w:bookmarkStart w:id="114" w:name="_Toc13241"/>
      <w:bookmarkStart w:id="115" w:name="_Toc31468"/>
      <w:bookmarkStart w:id="116" w:name="_Toc14950"/>
      <w:bookmarkStart w:id="117" w:name="_Toc67404840"/>
      <w:bookmarkStart w:id="118" w:name="_Toc3409"/>
      <w:bookmarkStart w:id="119" w:name="_Toc23150"/>
      <w:bookmarkStart w:id="120" w:name="_Toc1652"/>
      <w:bookmarkStart w:id="121" w:name="_Toc11922663"/>
      <w:bookmarkStart w:id="122" w:name="_Toc21865"/>
      <w:bookmarkStart w:id="123" w:name="_Toc31716"/>
      <w:bookmarkStart w:id="124" w:name="_Toc18979"/>
      <w:bookmarkStart w:id="125" w:name="_Toc67400186"/>
      <w:bookmarkStart w:id="126" w:name="_Toc22181"/>
      <w:bookmarkStart w:id="127" w:name="_Toc24993"/>
      <w:bookmarkStart w:id="128" w:name="_Toc8977"/>
      <w:bookmarkStart w:id="129" w:name="_Toc5727"/>
      <w:bookmarkStart w:id="130" w:name="_Toc22709"/>
      <w:bookmarkStart w:id="131" w:name="_Toc9931"/>
      <w:r>
        <w:rPr>
          <w:rFonts w:hint="eastAsia" w:ascii="仿宋_GB2312" w:hAnsi="仿宋_GB2312" w:eastAsia="仿宋_GB2312" w:cs="仿宋_GB2312"/>
          <w:b w:val="0"/>
          <w:bCs/>
          <w:color w:val="000000"/>
          <w:kern w:val="2"/>
          <w:sz w:val="21"/>
          <w:szCs w:val="21"/>
          <w:highlight w:val="none"/>
          <w:lang w:val="en-US" w:eastAsia="zh-CN" w:bidi="ar-SA"/>
        </w:rPr>
        <w:t>四、合同价款</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Pr>
          <w:rFonts w:hint="eastAsia" w:ascii="仿宋_GB2312" w:hAnsi="仿宋_GB2312" w:eastAsia="仿宋_GB2312" w:cs="仿宋_GB2312"/>
          <w:b w:val="0"/>
          <w:bCs/>
          <w:color w:val="000000"/>
          <w:kern w:val="2"/>
          <w:sz w:val="21"/>
          <w:szCs w:val="21"/>
          <w:highlight w:val="none"/>
          <w:lang w:val="en-US" w:eastAsia="zh-CN" w:bidi="ar-SA"/>
        </w:rPr>
        <w:t>（单位：人民币元）</w:t>
      </w:r>
    </w:p>
    <w:p>
      <w:pPr>
        <w:adjustRightInd w:val="0"/>
        <w:snapToGrid w:val="0"/>
        <w:spacing w:line="360" w:lineRule="auto"/>
        <w:ind w:left="437" w:leftChars="208" w:firstLine="0" w:firstLineChars="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合同总金额</w:t>
      </w:r>
      <w:r>
        <w:rPr>
          <w:rFonts w:hint="eastAsia" w:ascii="仿宋_GB2312" w:hAnsi="仿宋_GB2312" w:eastAsia="仿宋_GB2312" w:cs="仿宋_GB2312"/>
          <w:color w:val="000000"/>
          <w:sz w:val="21"/>
          <w:szCs w:val="21"/>
          <w:highlight w:val="none"/>
          <w:lang w:eastAsia="zh-CN"/>
        </w:rPr>
        <w:t>（</w:t>
      </w:r>
      <w:r>
        <w:rPr>
          <w:rFonts w:hint="eastAsia" w:ascii="仿宋_GB2312" w:hAnsi="仿宋_GB2312" w:eastAsia="仿宋_GB2312" w:cs="仿宋_GB2312"/>
          <w:color w:val="000000"/>
          <w:sz w:val="21"/>
          <w:szCs w:val="21"/>
          <w:highlight w:val="none"/>
          <w:lang w:val="en-US" w:eastAsia="zh-CN"/>
        </w:rPr>
        <w:t>含税价</w:t>
      </w:r>
      <w:r>
        <w:rPr>
          <w:rFonts w:hint="eastAsia" w:ascii="仿宋_GB2312" w:hAnsi="仿宋_GB2312" w:eastAsia="仿宋_GB2312" w:cs="仿宋_GB2312"/>
          <w:color w:val="000000"/>
          <w:sz w:val="21"/>
          <w:szCs w:val="21"/>
          <w:highlight w:val="none"/>
          <w:lang w:eastAsia="zh-CN"/>
        </w:rPr>
        <w:t>）</w:t>
      </w:r>
      <w:r>
        <w:rPr>
          <w:rFonts w:hint="eastAsia" w:ascii="仿宋_GB2312" w:hAnsi="仿宋_GB2312" w:eastAsia="仿宋_GB2312" w:cs="仿宋_GB2312"/>
          <w:color w:val="000000"/>
          <w:sz w:val="21"/>
          <w:szCs w:val="21"/>
          <w:highlight w:val="none"/>
        </w:rPr>
        <w:t>：</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u w:val="single"/>
          <w:lang w:val="en-US" w:eastAsia="zh-CN"/>
        </w:rPr>
        <w:t xml:space="preserve">         </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rPr>
        <w:t>元</w:t>
      </w:r>
      <w:r>
        <w:rPr>
          <w:rFonts w:hint="eastAsia" w:ascii="仿宋_GB2312" w:hAnsi="仿宋_GB2312" w:eastAsia="仿宋_GB2312" w:cs="仿宋_GB2312"/>
          <w:color w:val="000000"/>
          <w:sz w:val="21"/>
          <w:szCs w:val="21"/>
          <w:highlight w:val="none"/>
          <w:lang w:eastAsia="zh-CN"/>
        </w:rPr>
        <w:t>，</w:t>
      </w:r>
      <w:r>
        <w:rPr>
          <w:rFonts w:hint="eastAsia" w:ascii="仿宋_GB2312" w:hAnsi="仿宋_GB2312" w:eastAsia="仿宋_GB2312" w:cs="仿宋_GB2312"/>
          <w:color w:val="000000"/>
          <w:sz w:val="21"/>
          <w:szCs w:val="21"/>
          <w:highlight w:val="none"/>
        </w:rPr>
        <w:t>大写人民币：</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u w:val="single"/>
          <w:lang w:val="en-US" w:eastAsia="zh-CN"/>
        </w:rPr>
        <w:t xml:space="preserve">       </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lang w:eastAsia="zh-CN"/>
        </w:rPr>
        <w:t>；</w:t>
      </w:r>
      <w:r>
        <w:rPr>
          <w:rFonts w:hint="eastAsia" w:ascii="仿宋_GB2312" w:hAnsi="仿宋_GB2312" w:eastAsia="仿宋_GB2312" w:cs="仿宋_GB2312"/>
          <w:color w:val="000000"/>
          <w:sz w:val="21"/>
          <w:szCs w:val="21"/>
          <w:highlight w:val="none"/>
        </w:rPr>
        <w:t>（不含税价）：</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u w:val="single"/>
          <w:lang w:val="en-US" w:eastAsia="zh-CN"/>
        </w:rPr>
        <w:t xml:space="preserve">     </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rPr>
        <w:t>元；大写人民币：</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u w:val="single"/>
          <w:lang w:val="en-US" w:eastAsia="zh-CN"/>
        </w:rPr>
        <w:t xml:space="preserve">       </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rPr>
        <w:t>。</w:t>
      </w:r>
    </w:p>
    <w:p>
      <w:pPr>
        <w:adjustRightInd w:val="0"/>
        <w:snapToGrid w:val="0"/>
        <w:spacing w:line="360" w:lineRule="auto"/>
        <w:ind w:left="437" w:leftChars="208" w:firstLine="0" w:firstLineChars="0"/>
        <w:rPr>
          <w:rFonts w:hint="eastAsia" w:ascii="仿宋_GB2312" w:hAnsi="仿宋_GB2312" w:eastAsia="仿宋_GB2312" w:cs="仿宋_GB2312"/>
          <w:color w:val="000000"/>
          <w:sz w:val="21"/>
          <w:szCs w:val="21"/>
          <w:highlight w:val="none"/>
          <w:u w:val="single"/>
        </w:rPr>
      </w:pPr>
      <w:r>
        <w:rPr>
          <w:rFonts w:hint="eastAsia" w:ascii="仿宋_GB2312" w:hAnsi="仿宋_GB2312" w:eastAsia="仿宋_GB2312" w:cs="仿宋_GB2312"/>
          <w:color w:val="000000"/>
          <w:sz w:val="21"/>
          <w:szCs w:val="21"/>
          <w:highlight w:val="none"/>
          <w:lang w:val="en-US" w:eastAsia="zh-CN"/>
        </w:rPr>
        <w:t>1.</w:t>
      </w:r>
      <w:r>
        <w:rPr>
          <w:rFonts w:hint="eastAsia" w:ascii="仿宋_GB2312" w:hAnsi="仿宋_GB2312" w:eastAsia="仿宋_GB2312" w:cs="仿宋_GB2312"/>
          <w:color w:val="000000"/>
          <w:sz w:val="21"/>
          <w:szCs w:val="21"/>
          <w:highlight w:val="none"/>
        </w:rPr>
        <w:t>安装费</w:t>
      </w:r>
      <w:r>
        <w:rPr>
          <w:rFonts w:hint="eastAsia" w:ascii="仿宋_GB2312" w:hAnsi="仿宋_GB2312" w:eastAsia="仿宋_GB2312" w:cs="仿宋_GB2312"/>
          <w:color w:val="000000"/>
          <w:sz w:val="21"/>
          <w:szCs w:val="21"/>
          <w:highlight w:val="none"/>
          <w:lang w:val="en-US" w:eastAsia="zh-CN"/>
        </w:rPr>
        <w:t>总</w:t>
      </w:r>
      <w:r>
        <w:rPr>
          <w:rFonts w:hint="eastAsia" w:ascii="仿宋_GB2312" w:hAnsi="仿宋_GB2312" w:eastAsia="仿宋_GB2312" w:cs="仿宋_GB2312"/>
          <w:color w:val="000000"/>
          <w:sz w:val="21"/>
          <w:szCs w:val="21"/>
          <w:highlight w:val="none"/>
        </w:rPr>
        <w:t>金额（含税</w:t>
      </w:r>
      <w:r>
        <w:rPr>
          <w:rFonts w:hint="eastAsia" w:ascii="仿宋_GB2312" w:hAnsi="仿宋_GB2312" w:eastAsia="仿宋_GB2312" w:cs="仿宋_GB2312"/>
          <w:color w:val="000000"/>
          <w:sz w:val="21"/>
          <w:szCs w:val="21"/>
          <w:highlight w:val="none"/>
          <w:lang w:val="en-US" w:eastAsia="zh-CN"/>
        </w:rPr>
        <w:t>价</w:t>
      </w:r>
      <w:r>
        <w:rPr>
          <w:rFonts w:hint="eastAsia" w:ascii="仿宋_GB2312" w:hAnsi="仿宋_GB2312" w:eastAsia="仿宋_GB2312" w:cs="仿宋_GB2312"/>
          <w:color w:val="000000"/>
          <w:sz w:val="21"/>
          <w:szCs w:val="21"/>
          <w:highlight w:val="none"/>
        </w:rPr>
        <w:t>）：</w:t>
      </w:r>
      <w:r>
        <w:rPr>
          <w:rFonts w:hint="eastAsia" w:ascii="仿宋_GB2312" w:hAnsi="仿宋_GB2312" w:eastAsia="仿宋_GB2312" w:cs="仿宋_GB2312"/>
          <w:color w:val="000000"/>
          <w:sz w:val="21"/>
          <w:szCs w:val="21"/>
          <w:highlight w:val="none"/>
          <w:u w:val="single"/>
          <w:lang w:val="en-US" w:eastAsia="zh-CN"/>
        </w:rPr>
        <w:t xml:space="preserve">      </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rPr>
        <w:t>元</w:t>
      </w:r>
      <w:r>
        <w:rPr>
          <w:rFonts w:hint="eastAsia" w:ascii="仿宋_GB2312" w:hAnsi="仿宋_GB2312" w:eastAsia="仿宋_GB2312" w:cs="仿宋_GB2312"/>
          <w:color w:val="000000"/>
          <w:sz w:val="21"/>
          <w:szCs w:val="21"/>
          <w:highlight w:val="none"/>
          <w:lang w:eastAsia="zh-CN"/>
        </w:rPr>
        <w:t>，</w:t>
      </w:r>
      <w:r>
        <w:rPr>
          <w:rFonts w:hint="eastAsia" w:ascii="仿宋_GB2312" w:hAnsi="仿宋_GB2312" w:eastAsia="仿宋_GB2312" w:cs="仿宋_GB2312"/>
          <w:color w:val="000000"/>
          <w:sz w:val="21"/>
          <w:szCs w:val="21"/>
          <w:highlight w:val="none"/>
        </w:rPr>
        <w:t>大写人民币：</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u w:val="single"/>
          <w:lang w:val="en-US" w:eastAsia="zh-CN"/>
        </w:rPr>
        <w:t xml:space="preserve">    </w:t>
      </w:r>
      <w:r>
        <w:rPr>
          <w:rFonts w:hint="eastAsia" w:ascii="仿宋_GB2312" w:hAnsi="仿宋_GB2312" w:eastAsia="仿宋_GB2312" w:cs="仿宋_GB2312"/>
          <w:color w:val="000000"/>
          <w:sz w:val="21"/>
          <w:szCs w:val="21"/>
          <w:highlight w:val="none"/>
          <w:lang w:eastAsia="zh-CN"/>
        </w:rPr>
        <w:t>；</w:t>
      </w:r>
      <w:r>
        <w:rPr>
          <w:rFonts w:hint="eastAsia" w:ascii="仿宋_GB2312" w:hAnsi="仿宋_GB2312" w:eastAsia="仿宋_GB2312" w:cs="仿宋_GB2312"/>
          <w:color w:val="000000"/>
          <w:sz w:val="21"/>
          <w:szCs w:val="21"/>
          <w:highlight w:val="none"/>
        </w:rPr>
        <w:t>（不含税价）：</w:t>
      </w:r>
      <w:r>
        <w:rPr>
          <w:rFonts w:hint="eastAsia" w:ascii="仿宋_GB2312" w:hAnsi="仿宋_GB2312" w:eastAsia="仿宋_GB2312" w:cs="仿宋_GB2312"/>
          <w:color w:val="000000"/>
          <w:sz w:val="21"/>
          <w:szCs w:val="21"/>
          <w:highlight w:val="none"/>
          <w:u w:val="single"/>
          <w:lang w:val="en-US" w:eastAsia="zh-CN"/>
        </w:rPr>
        <w:t xml:space="preserve">    </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rPr>
        <w:t>元；大写人民币：</w:t>
      </w:r>
      <w:r>
        <w:rPr>
          <w:rFonts w:hint="eastAsia" w:ascii="仿宋_GB2312" w:hAnsi="仿宋_GB2312" w:eastAsia="仿宋_GB2312" w:cs="仿宋_GB2312"/>
          <w:color w:val="000000"/>
          <w:sz w:val="21"/>
          <w:szCs w:val="21"/>
          <w:highlight w:val="none"/>
          <w:u w:val="single"/>
          <w:lang w:val="en-US" w:eastAsia="zh-CN"/>
        </w:rPr>
        <w:t xml:space="preserve">          </w:t>
      </w:r>
      <w:r>
        <w:rPr>
          <w:rFonts w:hint="eastAsia" w:ascii="仿宋_GB2312" w:hAnsi="仿宋_GB2312" w:eastAsia="仿宋_GB2312" w:cs="仿宋_GB2312"/>
          <w:color w:val="000000"/>
          <w:sz w:val="21"/>
          <w:szCs w:val="21"/>
          <w:highlight w:val="none"/>
        </w:rPr>
        <w:t>。</w:t>
      </w:r>
    </w:p>
    <w:p>
      <w:pPr>
        <w:adjustRightInd w:val="0"/>
        <w:snapToGrid w:val="0"/>
        <w:spacing w:line="360" w:lineRule="auto"/>
        <w:ind w:left="437" w:leftChars="208" w:firstLine="0" w:firstLineChars="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2.</w:t>
      </w:r>
      <w:r>
        <w:rPr>
          <w:rFonts w:hint="eastAsia" w:ascii="仿宋_GB2312" w:hAnsi="仿宋_GB2312" w:eastAsia="仿宋_GB2312" w:cs="仿宋_GB2312"/>
          <w:color w:val="000000"/>
          <w:sz w:val="21"/>
          <w:szCs w:val="21"/>
          <w:highlight w:val="none"/>
        </w:rPr>
        <w:t>设备价格</w:t>
      </w:r>
      <w:r>
        <w:rPr>
          <w:rFonts w:hint="eastAsia" w:ascii="仿宋_GB2312" w:hAnsi="仿宋_GB2312" w:eastAsia="仿宋_GB2312" w:cs="仿宋_GB2312"/>
          <w:color w:val="000000"/>
          <w:sz w:val="21"/>
          <w:szCs w:val="21"/>
          <w:highlight w:val="none"/>
          <w:lang w:val="en-US" w:eastAsia="zh-CN"/>
        </w:rPr>
        <w:t>总</w:t>
      </w:r>
      <w:r>
        <w:rPr>
          <w:rFonts w:hint="eastAsia" w:ascii="仿宋_GB2312" w:hAnsi="仿宋_GB2312" w:eastAsia="仿宋_GB2312" w:cs="仿宋_GB2312"/>
          <w:color w:val="000000"/>
          <w:sz w:val="21"/>
          <w:szCs w:val="21"/>
          <w:highlight w:val="none"/>
        </w:rPr>
        <w:t>金额（含税价</w:t>
      </w:r>
      <w:r>
        <w:rPr>
          <w:rFonts w:hint="eastAsia" w:ascii="仿宋_GB2312" w:hAnsi="仿宋_GB2312" w:eastAsia="仿宋_GB2312" w:cs="仿宋_GB2312"/>
          <w:color w:val="000000"/>
          <w:sz w:val="21"/>
          <w:szCs w:val="21"/>
          <w:highlight w:val="none"/>
          <w:lang w:val="en-US" w:eastAsia="zh-CN"/>
        </w:rPr>
        <w:t xml:space="preserve"> </w:t>
      </w:r>
      <w:r>
        <w:rPr>
          <w:rFonts w:hint="eastAsia" w:ascii="仿宋_GB2312" w:hAnsi="仿宋_GB2312" w:eastAsia="仿宋_GB2312" w:cs="仿宋_GB2312"/>
          <w:color w:val="000000"/>
          <w:sz w:val="21"/>
          <w:szCs w:val="21"/>
          <w:highlight w:val="none"/>
        </w:rPr>
        <w:t>）：</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u w:val="single"/>
          <w:lang w:val="en-US" w:eastAsia="zh-CN"/>
        </w:rPr>
        <w:t xml:space="preserve">        </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rPr>
        <w:t>元</w:t>
      </w:r>
      <w:r>
        <w:rPr>
          <w:rFonts w:hint="eastAsia" w:ascii="仿宋_GB2312" w:hAnsi="仿宋_GB2312" w:eastAsia="仿宋_GB2312" w:cs="仿宋_GB2312"/>
          <w:color w:val="000000"/>
          <w:sz w:val="21"/>
          <w:szCs w:val="21"/>
          <w:highlight w:val="none"/>
          <w:lang w:eastAsia="zh-CN"/>
        </w:rPr>
        <w:t>，</w:t>
      </w:r>
      <w:r>
        <w:rPr>
          <w:rFonts w:hint="eastAsia" w:ascii="仿宋_GB2312" w:hAnsi="仿宋_GB2312" w:eastAsia="仿宋_GB2312" w:cs="仿宋_GB2312"/>
          <w:color w:val="000000"/>
          <w:sz w:val="21"/>
          <w:szCs w:val="21"/>
          <w:highlight w:val="none"/>
        </w:rPr>
        <w:t>大写人民币：</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u w:val="single"/>
          <w:lang w:val="en-US" w:eastAsia="zh-CN"/>
        </w:rPr>
        <w:t xml:space="preserve">     </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lang w:eastAsia="zh-CN"/>
        </w:rPr>
        <w:t>；</w:t>
      </w:r>
      <w:r>
        <w:rPr>
          <w:rFonts w:hint="eastAsia" w:ascii="仿宋_GB2312" w:hAnsi="仿宋_GB2312" w:eastAsia="仿宋_GB2312" w:cs="仿宋_GB2312"/>
          <w:color w:val="000000"/>
          <w:sz w:val="21"/>
          <w:szCs w:val="21"/>
          <w:highlight w:val="none"/>
        </w:rPr>
        <w:t>（不含税价）：</w:t>
      </w:r>
      <w:r>
        <w:rPr>
          <w:rFonts w:hint="eastAsia" w:ascii="仿宋_GB2312" w:hAnsi="仿宋_GB2312" w:eastAsia="仿宋_GB2312" w:cs="仿宋_GB2312"/>
          <w:color w:val="000000"/>
          <w:sz w:val="21"/>
          <w:szCs w:val="21"/>
          <w:highlight w:val="none"/>
          <w:u w:val="single"/>
          <w:lang w:val="en-US" w:eastAsia="zh-CN"/>
        </w:rPr>
        <w:t xml:space="preserve">     </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rPr>
        <w:t>元；大写人民币：</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u w:val="single"/>
          <w:lang w:val="en-US" w:eastAsia="zh-CN"/>
        </w:rPr>
        <w:t xml:space="preserve">           </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rPr>
        <w:t>。</w:t>
      </w:r>
    </w:p>
    <w:p>
      <w:pPr>
        <w:adjustRightInd w:val="0"/>
        <w:snapToGrid w:val="0"/>
        <w:spacing w:line="360" w:lineRule="auto"/>
        <w:ind w:left="437" w:leftChars="208" w:firstLine="0" w:firstLineChars="0"/>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3.上述费用税率为13%，如遇国家税率调整，按照国家税率政策为准。</w:t>
      </w:r>
    </w:p>
    <w:p>
      <w:pPr>
        <w:keepNext/>
        <w:keepLines/>
        <w:widowControl w:val="0"/>
        <w:adjustRightInd w:val="0"/>
        <w:snapToGrid w:val="0"/>
        <w:spacing w:before="0" w:after="0" w:line="360" w:lineRule="auto"/>
        <w:ind w:firstLine="420" w:firstLineChars="200"/>
        <w:jc w:val="both"/>
        <w:outlineLvl w:val="2"/>
        <w:rPr>
          <w:rFonts w:hint="default" w:ascii="仿宋_GB2312" w:hAnsi="仿宋_GB2312" w:eastAsia="仿宋_GB2312" w:cs="仿宋_GB2312"/>
          <w:b w:val="0"/>
          <w:bCs/>
          <w:color w:val="000000"/>
          <w:kern w:val="2"/>
          <w:sz w:val="21"/>
          <w:szCs w:val="21"/>
          <w:highlight w:val="none"/>
          <w:lang w:val="en-US" w:eastAsia="zh-CN" w:bidi="ar-SA"/>
        </w:rPr>
      </w:pPr>
      <w:bookmarkStart w:id="132" w:name="_Toc4310"/>
      <w:bookmarkStart w:id="133" w:name="_Toc1627"/>
      <w:bookmarkStart w:id="134" w:name="_Toc67400187"/>
      <w:bookmarkStart w:id="135" w:name="_Toc26898"/>
      <w:bookmarkStart w:id="136" w:name="_Toc15926"/>
      <w:bookmarkStart w:id="137" w:name="_Toc8717"/>
      <w:bookmarkStart w:id="138" w:name="_Toc28436"/>
      <w:bookmarkStart w:id="139" w:name="_Toc19550"/>
      <w:bookmarkStart w:id="140" w:name="_Toc3961"/>
      <w:bookmarkStart w:id="141" w:name="_Toc18691"/>
      <w:bookmarkStart w:id="142" w:name="_Toc28382"/>
      <w:bookmarkStart w:id="143" w:name="_Toc22841"/>
      <w:bookmarkStart w:id="144" w:name="_Toc16974"/>
      <w:bookmarkStart w:id="145" w:name="_Toc25922"/>
      <w:bookmarkStart w:id="146" w:name="_Toc5451"/>
      <w:bookmarkStart w:id="147" w:name="_Toc7219"/>
      <w:bookmarkStart w:id="148" w:name="_Toc67404841"/>
      <w:r>
        <w:rPr>
          <w:rFonts w:hint="eastAsia" w:ascii="仿宋_GB2312" w:hAnsi="仿宋_GB2312" w:eastAsia="仿宋_GB2312" w:cs="仿宋_GB2312"/>
          <w:b w:val="0"/>
          <w:bCs/>
          <w:color w:val="000000"/>
          <w:kern w:val="2"/>
          <w:sz w:val="21"/>
          <w:szCs w:val="21"/>
          <w:highlight w:val="none"/>
          <w:lang w:val="en-US" w:eastAsia="zh-CN" w:bidi="ar-SA"/>
        </w:rPr>
        <w:t>五、</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Fonts w:hint="eastAsia" w:ascii="仿宋_GB2312" w:hAnsi="仿宋_GB2312" w:eastAsia="仿宋_GB2312" w:cs="仿宋_GB2312"/>
          <w:b w:val="0"/>
          <w:bCs/>
          <w:color w:val="000000"/>
          <w:kern w:val="2"/>
          <w:sz w:val="21"/>
          <w:szCs w:val="21"/>
          <w:highlight w:val="none"/>
          <w:lang w:val="en-US" w:eastAsia="zh-CN" w:bidi="ar-SA"/>
        </w:rPr>
        <w:t>项目完成时间</w:t>
      </w:r>
    </w:p>
    <w:p>
      <w:pPr>
        <w:adjustRightInd w:val="0"/>
        <w:snapToGrid w:val="0"/>
        <w:spacing w:line="360" w:lineRule="auto"/>
        <w:ind w:firstLine="420" w:firstLineChars="200"/>
        <w:rPr>
          <w:rFonts w:hint="eastAsia" w:ascii="仿宋_GB2312" w:hAnsi="仿宋_GB2312" w:eastAsia="仿宋_GB2312" w:cs="仿宋_GB2312"/>
          <w:color w:val="000000"/>
          <w:sz w:val="21"/>
          <w:szCs w:val="21"/>
          <w:highlight w:val="none"/>
          <w:u w:val="none"/>
        </w:rPr>
      </w:pPr>
      <w:r>
        <w:rPr>
          <w:rFonts w:hint="eastAsia" w:ascii="仿宋_GB2312" w:hAnsi="仿宋_GB2312" w:eastAsia="仿宋_GB2312" w:cs="仿宋_GB2312"/>
          <w:color w:val="000000"/>
          <w:sz w:val="21"/>
          <w:szCs w:val="21"/>
          <w:highlight w:val="none"/>
          <w:lang w:val="en-US" w:eastAsia="zh-CN"/>
        </w:rPr>
        <w:t>项目完成时间</w:t>
      </w:r>
      <w:r>
        <w:rPr>
          <w:rFonts w:hint="eastAsia" w:ascii="仿宋_GB2312" w:hAnsi="仿宋_GB2312" w:eastAsia="仿宋_GB2312" w:cs="仿宋_GB2312"/>
          <w:color w:val="000000"/>
          <w:sz w:val="21"/>
          <w:szCs w:val="21"/>
          <w:highlight w:val="none"/>
        </w:rPr>
        <w:t>：</w:t>
      </w:r>
      <w:r>
        <w:rPr>
          <w:rFonts w:hint="eastAsia" w:ascii="仿宋_GB2312" w:hAnsi="仿宋_GB2312" w:eastAsia="仿宋_GB2312" w:cs="仿宋_GB2312"/>
          <w:color w:val="000000"/>
          <w:sz w:val="21"/>
          <w:szCs w:val="21"/>
          <w:highlight w:val="none"/>
          <w:u w:val="single"/>
          <w:lang w:val="en-US" w:eastAsia="zh-CN"/>
        </w:rPr>
        <w:t xml:space="preserve">                                         。</w:t>
      </w:r>
    </w:p>
    <w:p>
      <w:pPr>
        <w:keepNext/>
        <w:keepLines/>
        <w:widowControl w:val="0"/>
        <w:adjustRightInd w:val="0"/>
        <w:snapToGrid w:val="0"/>
        <w:spacing w:before="0" w:after="0" w:line="360" w:lineRule="auto"/>
        <w:ind w:firstLine="420" w:firstLineChars="200"/>
        <w:jc w:val="both"/>
        <w:outlineLvl w:val="2"/>
        <w:rPr>
          <w:rFonts w:hint="eastAsia" w:ascii="仿宋_GB2312" w:hAnsi="仿宋_GB2312" w:eastAsia="仿宋_GB2312" w:cs="仿宋_GB2312"/>
          <w:b w:val="0"/>
          <w:bCs/>
          <w:color w:val="000000"/>
          <w:kern w:val="2"/>
          <w:sz w:val="21"/>
          <w:szCs w:val="21"/>
          <w:highlight w:val="none"/>
          <w:lang w:val="en-US" w:eastAsia="zh-CN" w:bidi="ar-SA"/>
        </w:rPr>
      </w:pPr>
      <w:bookmarkStart w:id="149" w:name="_Toc14999"/>
      <w:bookmarkStart w:id="150" w:name="_Toc28298"/>
      <w:bookmarkStart w:id="151" w:name="_Toc11922665"/>
      <w:bookmarkStart w:id="152" w:name="_Toc4057"/>
      <w:bookmarkStart w:id="153" w:name="_Toc67400189"/>
      <w:bookmarkStart w:id="154" w:name="_Toc20359"/>
      <w:bookmarkStart w:id="155" w:name="_Toc20289"/>
      <w:bookmarkStart w:id="156" w:name="_Toc30001"/>
      <w:bookmarkStart w:id="157" w:name="_Toc6468"/>
      <w:bookmarkStart w:id="158" w:name="_Toc11922758"/>
      <w:bookmarkStart w:id="159" w:name="_Toc67404843"/>
      <w:bookmarkStart w:id="160" w:name="_Toc17183"/>
      <w:bookmarkStart w:id="161" w:name="_Toc14319"/>
      <w:bookmarkStart w:id="162" w:name="_Toc17750"/>
      <w:bookmarkStart w:id="163" w:name="_Toc570"/>
      <w:bookmarkStart w:id="164" w:name="_Toc28707"/>
      <w:bookmarkStart w:id="165" w:name="_Toc17880"/>
      <w:bookmarkStart w:id="166" w:name="_Toc12847"/>
      <w:bookmarkStart w:id="167" w:name="_Toc11171"/>
      <w:r>
        <w:rPr>
          <w:rFonts w:hint="eastAsia" w:ascii="仿宋_GB2312" w:hAnsi="仿宋_GB2312" w:eastAsia="仿宋_GB2312" w:cs="仿宋_GB2312"/>
          <w:b w:val="0"/>
          <w:bCs/>
          <w:color w:val="000000"/>
          <w:kern w:val="2"/>
          <w:sz w:val="21"/>
          <w:szCs w:val="21"/>
          <w:highlight w:val="none"/>
          <w:lang w:val="en-US" w:eastAsia="zh-CN" w:bidi="ar-SA"/>
        </w:rPr>
        <w:t>六、合同生效与终止</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pPr>
        <w:adjustRightInd w:val="0"/>
        <w:snapToGrid w:val="0"/>
        <w:spacing w:line="360" w:lineRule="auto"/>
        <w:ind w:firstLine="420" w:firstLineChars="20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 xml:space="preserve">合同订立时间： </w:t>
      </w:r>
    </w:p>
    <w:p>
      <w:pPr>
        <w:adjustRightInd w:val="0"/>
        <w:snapToGrid w:val="0"/>
        <w:spacing w:line="360" w:lineRule="auto"/>
        <w:ind w:firstLine="420" w:firstLineChars="20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 xml:space="preserve">合同订立地点： </w:t>
      </w:r>
    </w:p>
    <w:p>
      <w:pPr>
        <w:adjustRightInd w:val="0"/>
        <w:snapToGrid w:val="0"/>
        <w:spacing w:line="360" w:lineRule="auto"/>
        <w:ind w:firstLine="420" w:firstLineChars="20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本合同自双方盖章后立即生效，合同规定的责任、权利和义务履行完毕且价款结清后终止。</w:t>
      </w:r>
    </w:p>
    <w:p>
      <w:pPr>
        <w:adjustRightInd w:val="0"/>
        <w:snapToGrid w:val="0"/>
        <w:spacing w:line="360" w:lineRule="auto"/>
        <w:ind w:firstLine="420" w:firstLineChars="20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本合同一式六份，甲方执  叁  份，乙方执  叁  份。</w:t>
      </w:r>
    </w:p>
    <w:tbl>
      <w:tblPr>
        <w:tblStyle w:val="45"/>
        <w:tblW w:w="8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8"/>
        <w:gridCol w:w="43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348" w:type="dxa"/>
            <w:noWrap w:val="0"/>
            <w:vAlign w:val="top"/>
          </w:tcPr>
          <w:p>
            <w:pPr>
              <w:adjustRightInd w:val="0"/>
              <w:snapToGrid w:val="0"/>
              <w:spacing w:line="360" w:lineRule="auto"/>
              <w:ind w:firstLine="420" w:firstLineChars="20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甲 方</w:t>
            </w:r>
          </w:p>
          <w:p>
            <w:pPr>
              <w:adjustRightInd w:val="0"/>
              <w:snapToGrid w:val="0"/>
              <w:spacing w:line="360" w:lineRule="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单位名称（章）：单位地址：</w:t>
            </w:r>
          </w:p>
          <w:p>
            <w:pPr>
              <w:adjustRightInd w:val="0"/>
              <w:snapToGrid w:val="0"/>
              <w:spacing w:line="360" w:lineRule="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法定代表人：</w:t>
            </w:r>
          </w:p>
          <w:p>
            <w:pPr>
              <w:adjustRightInd w:val="0"/>
              <w:snapToGrid w:val="0"/>
              <w:spacing w:line="360" w:lineRule="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委托代理人：</w:t>
            </w:r>
          </w:p>
          <w:p>
            <w:pPr>
              <w:adjustRightInd w:val="0"/>
              <w:snapToGrid w:val="0"/>
              <w:spacing w:line="360" w:lineRule="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电话：</w:t>
            </w:r>
          </w:p>
          <w:p>
            <w:pPr>
              <w:adjustRightInd w:val="0"/>
              <w:snapToGrid w:val="0"/>
              <w:spacing w:line="360" w:lineRule="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纳税人类型：</w:t>
            </w:r>
          </w:p>
          <w:p>
            <w:pPr>
              <w:adjustRightInd w:val="0"/>
              <w:snapToGrid w:val="0"/>
              <w:spacing w:line="360" w:lineRule="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税务登记证号码：</w:t>
            </w:r>
          </w:p>
          <w:p>
            <w:pPr>
              <w:adjustRightInd w:val="0"/>
              <w:snapToGrid w:val="0"/>
              <w:spacing w:line="360" w:lineRule="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 xml:space="preserve">开户银行： </w:t>
            </w:r>
          </w:p>
          <w:p>
            <w:pPr>
              <w:adjustRightInd w:val="0"/>
              <w:snapToGrid w:val="0"/>
              <w:spacing w:line="360" w:lineRule="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账号：</w:t>
            </w:r>
          </w:p>
          <w:p>
            <w:pPr>
              <w:adjustRightInd w:val="0"/>
              <w:snapToGrid w:val="0"/>
              <w:spacing w:line="360" w:lineRule="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邮政编码：</w:t>
            </w:r>
          </w:p>
        </w:tc>
        <w:tc>
          <w:tcPr>
            <w:tcW w:w="4346" w:type="dxa"/>
            <w:noWrap w:val="0"/>
            <w:vAlign w:val="top"/>
          </w:tcPr>
          <w:p>
            <w:pPr>
              <w:adjustRightInd w:val="0"/>
              <w:snapToGrid w:val="0"/>
              <w:spacing w:line="360" w:lineRule="auto"/>
              <w:ind w:firstLine="420" w:firstLineChars="20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乙 方</w:t>
            </w:r>
          </w:p>
          <w:p>
            <w:pPr>
              <w:adjustRightInd w:val="0"/>
              <w:snapToGrid w:val="0"/>
              <w:spacing w:line="360" w:lineRule="auto"/>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rPr>
              <w:t>单位名称（章）：</w:t>
            </w:r>
          </w:p>
          <w:p>
            <w:pPr>
              <w:adjustRightInd w:val="0"/>
              <w:snapToGrid w:val="0"/>
              <w:spacing w:line="360" w:lineRule="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单位地址：法定代表人：</w:t>
            </w:r>
          </w:p>
          <w:p>
            <w:pPr>
              <w:adjustRightInd w:val="0"/>
              <w:snapToGrid w:val="0"/>
              <w:spacing w:line="360" w:lineRule="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委托代理人：</w:t>
            </w:r>
          </w:p>
          <w:p>
            <w:pPr>
              <w:adjustRightInd w:val="0"/>
              <w:snapToGrid w:val="0"/>
              <w:spacing w:line="360" w:lineRule="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电话：纳税人类型：</w:t>
            </w:r>
          </w:p>
          <w:p>
            <w:pPr>
              <w:adjustRightInd w:val="0"/>
              <w:snapToGrid w:val="0"/>
              <w:spacing w:line="360" w:lineRule="auto"/>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rPr>
              <w:t>税务登记证号码</w:t>
            </w:r>
            <w:r>
              <w:rPr>
                <w:rFonts w:hint="eastAsia" w:ascii="仿宋_GB2312" w:hAnsi="仿宋_GB2312" w:eastAsia="仿宋_GB2312" w:cs="仿宋_GB2312"/>
                <w:color w:val="000000"/>
                <w:sz w:val="21"/>
                <w:szCs w:val="21"/>
                <w:highlight w:val="none"/>
                <w:lang w:eastAsia="zh-CN"/>
              </w:rPr>
              <w:t>：</w:t>
            </w:r>
          </w:p>
          <w:p>
            <w:pPr>
              <w:adjustRightInd w:val="0"/>
              <w:snapToGrid w:val="0"/>
              <w:spacing w:line="360" w:lineRule="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开户银行：</w:t>
            </w:r>
          </w:p>
          <w:p>
            <w:pPr>
              <w:tabs>
                <w:tab w:val="left" w:pos="6120"/>
              </w:tabs>
              <w:spacing w:line="360" w:lineRule="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账号：</w:t>
            </w:r>
          </w:p>
          <w:p>
            <w:pPr>
              <w:adjustRightInd w:val="0"/>
              <w:snapToGrid w:val="0"/>
              <w:spacing w:line="360" w:lineRule="auto"/>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rPr>
              <w:t>邮政编码：</w:t>
            </w:r>
          </w:p>
        </w:tc>
      </w:tr>
    </w:tbl>
    <w:p>
      <w:pPr>
        <w:spacing w:line="360" w:lineRule="auto"/>
        <w:rPr>
          <w:rFonts w:hint="eastAsia" w:ascii="仿宋_GB2312" w:hAnsi="仿宋_GB2312" w:eastAsia="仿宋_GB2312" w:cs="仿宋_GB2312"/>
          <w:b/>
          <w:color w:val="000000"/>
          <w:sz w:val="21"/>
          <w:szCs w:val="21"/>
          <w:highlight w:val="none"/>
        </w:rPr>
      </w:pPr>
    </w:p>
    <w:p>
      <w:pPr>
        <w:pStyle w:val="5"/>
        <w:adjustRightInd w:val="0"/>
        <w:snapToGrid w:val="0"/>
        <w:spacing w:before="0" w:after="0" w:line="360" w:lineRule="auto"/>
        <w:ind w:firstLine="422" w:firstLineChars="200"/>
        <w:jc w:val="center"/>
        <w:rPr>
          <w:rFonts w:hint="eastAsia" w:ascii="仿宋_GB2312" w:hAnsi="仿宋_GB2312" w:eastAsia="仿宋_GB2312" w:cs="仿宋_GB2312"/>
          <w:color w:val="000000"/>
          <w:highlight w:val="none"/>
        </w:rPr>
      </w:pPr>
      <w:r>
        <w:rPr>
          <w:rFonts w:hint="eastAsia" w:ascii="仿宋_GB2312" w:hAnsi="仿宋_GB2312" w:eastAsia="仿宋_GB2312" w:cs="仿宋_GB2312"/>
          <w:b/>
          <w:bCs/>
          <w:color w:val="000000"/>
          <w:kern w:val="2"/>
          <w:sz w:val="21"/>
          <w:szCs w:val="21"/>
          <w:highlight w:val="none"/>
          <w:lang w:val="en-US" w:eastAsia="zh-CN" w:bidi="ar-SA"/>
        </w:rPr>
        <w:br w:type="page"/>
      </w:r>
      <w:r>
        <w:rPr>
          <w:rFonts w:hint="eastAsia" w:ascii="仿宋_GB2312" w:hAnsi="仿宋_GB2312" w:eastAsia="仿宋_GB2312" w:cs="仿宋_GB2312"/>
          <w:color w:val="000000"/>
          <w:kern w:val="44"/>
          <w:highlight w:val="none"/>
          <w:lang w:val="zh-CN"/>
        </w:rPr>
        <w:t>第二部分  合同书</w:t>
      </w:r>
    </w:p>
    <w:p>
      <w:pPr>
        <w:adjustRightInd w:val="0"/>
        <w:snapToGrid w:val="0"/>
        <w:spacing w:line="360" w:lineRule="auto"/>
        <w:ind w:firstLine="422" w:firstLineChars="200"/>
        <w:rPr>
          <w:rFonts w:hint="eastAsia" w:ascii="仿宋_GB2312" w:hAnsi="仿宋_GB2312" w:eastAsia="仿宋_GB2312" w:cs="仿宋_GB2312"/>
          <w:b/>
          <w:bCs/>
          <w:color w:val="000000"/>
          <w:sz w:val="21"/>
          <w:szCs w:val="21"/>
          <w:highlight w:val="none"/>
          <w:u w:val="single"/>
        </w:rPr>
      </w:pPr>
      <w:r>
        <w:rPr>
          <w:rFonts w:hint="eastAsia" w:ascii="仿宋_GB2312" w:hAnsi="仿宋_GB2312" w:eastAsia="仿宋_GB2312" w:cs="仿宋_GB2312"/>
          <w:b/>
          <w:bCs/>
          <w:color w:val="000000"/>
          <w:sz w:val="21"/>
          <w:szCs w:val="21"/>
          <w:highlight w:val="none"/>
        </w:rPr>
        <w:t>甲方（全称）：</w:t>
      </w:r>
      <w:r>
        <w:rPr>
          <w:rFonts w:hint="eastAsia" w:ascii="仿宋_GB2312" w:hAnsi="仿宋_GB2312" w:eastAsia="仿宋_GB2312" w:cs="仿宋_GB2312"/>
          <w:b/>
          <w:bCs/>
          <w:color w:val="000000"/>
          <w:sz w:val="21"/>
          <w:szCs w:val="21"/>
          <w:highlight w:val="none"/>
          <w:u w:val="single"/>
        </w:rPr>
        <w:t xml:space="preserve"> </w:t>
      </w:r>
    </w:p>
    <w:p>
      <w:pPr>
        <w:spacing w:line="360" w:lineRule="auto"/>
        <w:ind w:firstLine="422" w:firstLineChars="200"/>
        <w:rPr>
          <w:rFonts w:hint="default" w:ascii="仿宋_GB2312" w:hAnsi="仿宋_GB2312" w:eastAsia="仿宋_GB2312" w:cs="仿宋_GB2312"/>
          <w:b/>
          <w:bCs/>
          <w:color w:val="000000"/>
          <w:sz w:val="30"/>
          <w:szCs w:val="30"/>
          <w:highlight w:val="none"/>
          <w:u w:val="single"/>
          <w:lang w:val="en-US" w:eastAsia="zh-CN"/>
        </w:rPr>
      </w:pPr>
      <w:r>
        <w:rPr>
          <w:rFonts w:hint="eastAsia" w:ascii="仿宋_GB2312" w:hAnsi="仿宋_GB2312" w:eastAsia="仿宋_GB2312" w:cs="仿宋_GB2312"/>
          <w:b/>
          <w:bCs/>
          <w:color w:val="000000"/>
          <w:sz w:val="21"/>
          <w:szCs w:val="21"/>
          <w:highlight w:val="none"/>
        </w:rPr>
        <w:t>乙方（全称）</w:t>
      </w:r>
      <w:r>
        <w:rPr>
          <w:rFonts w:hint="eastAsia" w:ascii="仿宋_GB2312" w:hAnsi="仿宋_GB2312" w:eastAsia="仿宋_GB2312" w:cs="仿宋_GB2312"/>
          <w:b/>
          <w:bCs/>
          <w:color w:val="000000"/>
          <w:sz w:val="21"/>
          <w:szCs w:val="21"/>
          <w:highlight w:val="none"/>
          <w:u w:val="single"/>
        </w:rPr>
        <w:t>：</w:t>
      </w:r>
    </w:p>
    <w:p>
      <w:pPr>
        <w:widowControl w:val="0"/>
        <w:spacing w:line="360" w:lineRule="auto"/>
        <w:ind w:firstLine="563" w:firstLineChars="267"/>
        <w:jc w:val="both"/>
        <w:rPr>
          <w:rFonts w:hint="eastAsia" w:ascii="仿宋_GB2312" w:hAnsi="仿宋_GB2312" w:eastAsia="仿宋_GB2312" w:cs="仿宋_GB2312"/>
          <w:b/>
          <w:color w:val="000000"/>
          <w:kern w:val="2"/>
          <w:sz w:val="21"/>
          <w:szCs w:val="20"/>
          <w:highlight w:val="none"/>
          <w:u w:val="single"/>
          <w:lang w:val="zh-CN" w:eastAsia="zh-CN" w:bidi="ar-SA"/>
        </w:rPr>
      </w:pPr>
    </w:p>
    <w:p>
      <w:pPr>
        <w:adjustRightInd w:val="0"/>
        <w:snapToGrid w:val="0"/>
        <w:spacing w:line="360" w:lineRule="auto"/>
        <w:ind w:firstLine="422"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b/>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rPr>
        <w:t>（甲方）在</w:t>
      </w:r>
      <w:r>
        <w:rPr>
          <w:rFonts w:hint="eastAsia" w:ascii="仿宋_GB2312" w:hAnsi="仿宋_GB2312" w:eastAsia="仿宋_GB2312" w:cs="仿宋_GB2312"/>
          <w:b/>
          <w:color w:val="000000"/>
          <w:sz w:val="21"/>
          <w:szCs w:val="21"/>
          <w:highlight w:val="none"/>
          <w:u w:val="single"/>
        </w:rPr>
        <w:t xml:space="preserve"> </w:t>
      </w:r>
      <w:r>
        <w:rPr>
          <w:rFonts w:hint="eastAsia" w:ascii="仿宋_GB2312" w:hAnsi="仿宋_GB2312" w:eastAsia="仿宋_GB2312" w:cs="仿宋_GB2312"/>
          <w:b/>
          <w:color w:val="000000"/>
          <w:sz w:val="21"/>
          <w:szCs w:val="21"/>
          <w:highlight w:val="none"/>
          <w:u w:val="single"/>
          <w:lang w:val="zh-CN"/>
        </w:rPr>
        <w:t xml:space="preserve"> </w:t>
      </w:r>
      <w:r>
        <w:rPr>
          <w:rFonts w:hint="eastAsia" w:ascii="仿宋_GB2312" w:hAnsi="仿宋_GB2312" w:eastAsia="仿宋_GB2312" w:cs="仿宋_GB2312"/>
          <w:color w:val="000000"/>
          <w:sz w:val="21"/>
          <w:szCs w:val="21"/>
          <w:highlight w:val="none"/>
        </w:rPr>
        <w:t>（项目名称）中所需</w:t>
      </w:r>
      <w:r>
        <w:rPr>
          <w:rFonts w:hint="eastAsia" w:ascii="仿宋_GB2312" w:hAnsi="仿宋_GB2312" w:eastAsia="仿宋_GB2312" w:cs="仿宋_GB2312"/>
          <w:color w:val="000000"/>
          <w:sz w:val="21"/>
          <w:szCs w:val="21"/>
          <w:highlight w:val="none"/>
          <w:lang w:val="en-US" w:eastAsia="zh-CN"/>
        </w:rPr>
        <w:t xml:space="preserve">   </w:t>
      </w:r>
      <w:r>
        <w:rPr>
          <w:rFonts w:hint="eastAsia" w:ascii="仿宋_GB2312" w:hAnsi="仿宋_GB2312" w:eastAsia="仿宋_GB2312" w:cs="仿宋_GB2312"/>
          <w:color w:val="000000"/>
          <w:sz w:val="21"/>
          <w:szCs w:val="21"/>
          <w:highlight w:val="none"/>
        </w:rPr>
        <w:t>经过公开招标，</w:t>
      </w:r>
      <w:r>
        <w:rPr>
          <w:rFonts w:hint="eastAsia" w:ascii="仿宋_GB2312" w:hAnsi="仿宋_GB2312" w:eastAsia="仿宋_GB2312" w:cs="仿宋_GB2312"/>
          <w:b/>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rPr>
        <w:t>（乙方）为中标单位。甲乙双方依据《中华人民共和国民法典》、《特种设备安全监察条例》和《电梯工程施工质量验收规范》以及有关法律、法规的规定，为明确双方在电梯设备买卖及安装过程中的权利和义务，经双方协商一致，同意按照下面的条款和条件，订立本合同，以便共同遵守。</w:t>
      </w:r>
    </w:p>
    <w:p>
      <w:pPr>
        <w:spacing w:line="360" w:lineRule="auto"/>
        <w:ind w:firstLine="420" w:firstLineChars="200"/>
        <w:jc w:val="both"/>
        <w:rPr>
          <w:rFonts w:hint="eastAsia" w:ascii="仿宋_GB2312" w:hAnsi="仿宋_GB2312" w:eastAsia="仿宋_GB2312" w:cs="仿宋_GB2312"/>
          <w:color w:val="000000"/>
          <w:sz w:val="21"/>
          <w:szCs w:val="21"/>
          <w:highlight w:val="none"/>
          <w:shd w:val="clear" w:color="auto" w:fill="FFFFFF"/>
        </w:rPr>
      </w:pPr>
      <w:r>
        <w:rPr>
          <w:rFonts w:hint="eastAsia" w:ascii="仿宋_GB2312" w:hAnsi="仿宋_GB2312" w:eastAsia="仿宋_GB2312" w:cs="仿宋_GB2312"/>
          <w:color w:val="000000"/>
          <w:sz w:val="21"/>
          <w:szCs w:val="21"/>
          <w:highlight w:val="none"/>
          <w:shd w:val="clear" w:color="auto" w:fill="FFFFFF"/>
        </w:rPr>
        <w:t>本合同中的电梯，是指载人（货）电梯、扶梯、自动扶梯、自动人行道等产品。</w:t>
      </w:r>
    </w:p>
    <w:p>
      <w:pPr>
        <w:spacing w:line="360" w:lineRule="auto"/>
        <w:ind w:firstLine="422" w:firstLineChars="200"/>
        <w:jc w:val="both"/>
        <w:rPr>
          <w:rFonts w:hint="eastAsia" w:ascii="仿宋_GB2312" w:hAnsi="仿宋_GB2312" w:eastAsia="仿宋_GB2312" w:cs="仿宋_GB2312"/>
          <w:b/>
          <w:color w:val="000000"/>
          <w:sz w:val="21"/>
          <w:szCs w:val="21"/>
          <w:highlight w:val="none"/>
        </w:rPr>
      </w:pPr>
      <w:r>
        <w:rPr>
          <w:rFonts w:hint="eastAsia" w:ascii="仿宋_GB2312" w:hAnsi="仿宋_GB2312" w:eastAsia="仿宋_GB2312" w:cs="仿宋_GB2312"/>
          <w:b/>
          <w:color w:val="000000"/>
          <w:sz w:val="21"/>
          <w:szCs w:val="21"/>
          <w:highlight w:val="none"/>
          <w:shd w:val="clear" w:fill="FFFFFF"/>
        </w:rPr>
        <w:t>第一</w:t>
      </w:r>
      <w:r>
        <w:rPr>
          <w:rFonts w:hint="eastAsia" w:ascii="仿宋_GB2312" w:hAnsi="仿宋_GB2312" w:eastAsia="仿宋_GB2312" w:cs="仿宋_GB2312"/>
          <w:b/>
          <w:color w:val="000000"/>
          <w:sz w:val="21"/>
          <w:szCs w:val="21"/>
          <w:highlight w:val="none"/>
        </w:rPr>
        <w:t>条  采购及服务内容</w:t>
      </w:r>
    </w:p>
    <w:p>
      <w:pPr>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完成昆明市西山区怡芳苑小区电梯供货、安装、调试及质保期保养等相关后续服务工作，具体工作内容包括但不限于：旧电梯拆除（以料抵工)、新电梯的制造（或采购）、包装、运输、保险、装卸、仓储、成品保护（运输保护、半成品保护、成品保护、验收交付之前的保护）、电梯井道合规性及安全性的土建改造、现场安装（含特种设备监检工作）、安装过程中的扰民善后处理、配套安全警示标语、围栏等措施、设备吊装、调试、试运行、验收、检验（取得质量监督管理部门的安全检验合格证）及提供人员培训、售后服务、技术资料及质保期服务等，同时协助使用单位取得使用登记证书、老旧电梯更新的备案办理等、采购的设备应满足环保、节能的要求、配合招标人完成超长期国债补贴的申请。</w:t>
      </w:r>
    </w:p>
    <w:p>
      <w:pPr>
        <w:spacing w:line="360" w:lineRule="auto"/>
        <w:ind w:firstLine="422" w:firstLineChars="200"/>
        <w:jc w:val="both"/>
        <w:rPr>
          <w:rFonts w:hint="eastAsia" w:ascii="仿宋_GB2312" w:hAnsi="仿宋_GB2312" w:eastAsia="仿宋_GB2312" w:cs="仿宋_GB2312"/>
          <w:b/>
          <w:color w:val="000000"/>
          <w:sz w:val="21"/>
          <w:szCs w:val="21"/>
          <w:highlight w:val="none"/>
        </w:rPr>
      </w:pPr>
      <w:r>
        <w:rPr>
          <w:rFonts w:hint="eastAsia" w:ascii="仿宋_GB2312" w:hAnsi="仿宋_GB2312" w:eastAsia="仿宋_GB2312" w:cs="仿宋_GB2312"/>
          <w:b/>
          <w:color w:val="000000"/>
          <w:sz w:val="21"/>
          <w:szCs w:val="21"/>
          <w:highlight w:val="none"/>
        </w:rPr>
        <w:t>第二条  合同设备名称、型号规格、数量、价格（货币单位为人民币）</w:t>
      </w:r>
    </w:p>
    <w:p>
      <w:pPr>
        <w:spacing w:line="360" w:lineRule="auto"/>
        <w:ind w:firstLine="422" w:firstLineChars="200"/>
        <w:jc w:val="both"/>
        <w:rPr>
          <w:rFonts w:hint="eastAsia" w:ascii="仿宋_GB2312" w:hAnsi="仿宋_GB2312" w:eastAsia="仿宋_GB2312" w:cs="仿宋_GB2312"/>
          <w:b/>
          <w:color w:val="000000"/>
          <w:sz w:val="21"/>
          <w:szCs w:val="21"/>
          <w:highlight w:val="none"/>
        </w:rPr>
      </w:pPr>
      <w:r>
        <w:rPr>
          <w:rFonts w:hint="eastAsia" w:ascii="仿宋_GB2312" w:hAnsi="仿宋_GB2312" w:eastAsia="仿宋_GB2312" w:cs="仿宋_GB2312"/>
          <w:b/>
          <w:color w:val="000000"/>
          <w:sz w:val="21"/>
          <w:szCs w:val="21"/>
          <w:highlight w:val="none"/>
        </w:rPr>
        <w:t>合同设备款</w:t>
      </w:r>
    </w:p>
    <w:tbl>
      <w:tblPr>
        <w:tblStyle w:val="45"/>
        <w:tblW w:w="957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137"/>
        <w:gridCol w:w="1095"/>
        <w:gridCol w:w="1095"/>
        <w:gridCol w:w="1140"/>
        <w:gridCol w:w="1277"/>
        <w:gridCol w:w="1376"/>
        <w:gridCol w:w="1157"/>
        <w:gridCol w:w="130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36" w:hRule="atLeast"/>
          <w:jc w:val="center"/>
        </w:trPr>
        <w:tc>
          <w:tcPr>
            <w:tcW w:w="1137" w:type="dxa"/>
            <w:vMerge w:val="restart"/>
            <w:noWrap w:val="0"/>
            <w:vAlign w:val="center"/>
          </w:tcPr>
          <w:p>
            <w:pPr>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设备编号</w:t>
            </w:r>
          </w:p>
        </w:tc>
        <w:tc>
          <w:tcPr>
            <w:tcW w:w="1095" w:type="dxa"/>
            <w:vMerge w:val="restart"/>
            <w:noWrap w:val="0"/>
            <w:vAlign w:val="center"/>
          </w:tcPr>
          <w:p>
            <w:pPr>
              <w:spacing w:line="360" w:lineRule="auto"/>
              <w:jc w:val="both"/>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 xml:space="preserve">安装地点 </w:t>
            </w:r>
          </w:p>
        </w:tc>
        <w:tc>
          <w:tcPr>
            <w:tcW w:w="1095" w:type="dxa"/>
            <w:vMerge w:val="restart"/>
            <w:noWrap w:val="0"/>
            <w:vAlign w:val="center"/>
          </w:tcPr>
          <w:p>
            <w:pPr>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产品名称</w:t>
            </w:r>
          </w:p>
        </w:tc>
        <w:tc>
          <w:tcPr>
            <w:tcW w:w="1140" w:type="dxa"/>
            <w:vMerge w:val="restart"/>
            <w:noWrap w:val="0"/>
            <w:vAlign w:val="center"/>
          </w:tcPr>
          <w:p>
            <w:pPr>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制造商</w:t>
            </w:r>
          </w:p>
        </w:tc>
        <w:tc>
          <w:tcPr>
            <w:tcW w:w="1277" w:type="dxa"/>
            <w:vMerge w:val="restart"/>
            <w:noWrap w:val="0"/>
            <w:vAlign w:val="center"/>
          </w:tcPr>
          <w:p>
            <w:pPr>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规格/配置</w:t>
            </w:r>
          </w:p>
        </w:tc>
        <w:tc>
          <w:tcPr>
            <w:tcW w:w="1376" w:type="dxa"/>
            <w:noWrap w:val="0"/>
            <w:vAlign w:val="center"/>
          </w:tcPr>
          <w:p>
            <w:pPr>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设备单价</w:t>
            </w:r>
          </w:p>
        </w:tc>
        <w:tc>
          <w:tcPr>
            <w:tcW w:w="1157" w:type="dxa"/>
            <w:vMerge w:val="restart"/>
            <w:noWrap w:val="0"/>
            <w:vAlign w:val="center"/>
          </w:tcPr>
          <w:p>
            <w:pPr>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台数</w:t>
            </w:r>
          </w:p>
        </w:tc>
        <w:tc>
          <w:tcPr>
            <w:tcW w:w="1300" w:type="dxa"/>
            <w:vMerge w:val="restart"/>
            <w:noWrap w:val="0"/>
            <w:vAlign w:val="center"/>
          </w:tcPr>
          <w:p>
            <w:pPr>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合计</w:t>
            </w:r>
          </w:p>
          <w:p>
            <w:pPr>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3" w:hRule="atLeast"/>
          <w:jc w:val="center"/>
        </w:trPr>
        <w:tc>
          <w:tcPr>
            <w:tcW w:w="1137" w:type="dxa"/>
            <w:vMerge w:val="continue"/>
            <w:noWrap w:val="0"/>
            <w:vAlign w:val="center"/>
          </w:tcPr>
          <w:p>
            <w:pPr>
              <w:jc w:val="both"/>
              <w:rPr>
                <w:rFonts w:ascii="Calibri" w:hAnsi="Calibri"/>
                <w:szCs w:val="24"/>
                <w:highlight w:val="none"/>
              </w:rPr>
            </w:pPr>
          </w:p>
        </w:tc>
        <w:tc>
          <w:tcPr>
            <w:tcW w:w="1095" w:type="dxa"/>
            <w:vMerge w:val="continue"/>
            <w:noWrap w:val="0"/>
            <w:vAlign w:val="center"/>
          </w:tcPr>
          <w:p>
            <w:pPr>
              <w:jc w:val="both"/>
              <w:rPr>
                <w:rFonts w:ascii="Calibri" w:hAnsi="Calibri"/>
                <w:szCs w:val="24"/>
                <w:highlight w:val="none"/>
              </w:rPr>
            </w:pPr>
          </w:p>
        </w:tc>
        <w:tc>
          <w:tcPr>
            <w:tcW w:w="1095" w:type="dxa"/>
            <w:vMerge w:val="continue"/>
            <w:noWrap w:val="0"/>
            <w:vAlign w:val="center"/>
          </w:tcPr>
          <w:p>
            <w:pPr>
              <w:jc w:val="both"/>
              <w:rPr>
                <w:rFonts w:ascii="Calibri" w:hAnsi="Calibri"/>
                <w:szCs w:val="24"/>
                <w:highlight w:val="none"/>
              </w:rPr>
            </w:pPr>
          </w:p>
        </w:tc>
        <w:tc>
          <w:tcPr>
            <w:tcW w:w="1140" w:type="dxa"/>
            <w:vMerge w:val="continue"/>
            <w:noWrap w:val="0"/>
            <w:vAlign w:val="center"/>
          </w:tcPr>
          <w:p>
            <w:pPr>
              <w:jc w:val="both"/>
              <w:rPr>
                <w:rFonts w:ascii="Calibri" w:hAnsi="Calibri"/>
                <w:szCs w:val="24"/>
                <w:highlight w:val="none"/>
              </w:rPr>
            </w:pPr>
          </w:p>
        </w:tc>
        <w:tc>
          <w:tcPr>
            <w:tcW w:w="1277" w:type="dxa"/>
            <w:vMerge w:val="continue"/>
            <w:noWrap w:val="0"/>
            <w:vAlign w:val="center"/>
          </w:tcPr>
          <w:p>
            <w:pPr>
              <w:jc w:val="both"/>
              <w:rPr>
                <w:rFonts w:ascii="Calibri" w:hAnsi="Calibri"/>
                <w:szCs w:val="24"/>
                <w:highlight w:val="none"/>
              </w:rPr>
            </w:pPr>
          </w:p>
        </w:tc>
        <w:tc>
          <w:tcPr>
            <w:tcW w:w="1376" w:type="dxa"/>
            <w:noWrap w:val="0"/>
            <w:vAlign w:val="center"/>
          </w:tcPr>
          <w:p>
            <w:pPr>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元/台</w:t>
            </w:r>
          </w:p>
        </w:tc>
        <w:tc>
          <w:tcPr>
            <w:tcW w:w="1157" w:type="dxa"/>
            <w:vMerge w:val="continue"/>
            <w:noWrap w:val="0"/>
            <w:vAlign w:val="center"/>
          </w:tcPr>
          <w:p>
            <w:pPr>
              <w:jc w:val="both"/>
              <w:rPr>
                <w:rFonts w:ascii="Calibri" w:hAnsi="Calibri"/>
                <w:szCs w:val="24"/>
                <w:highlight w:val="none"/>
              </w:rPr>
            </w:pPr>
          </w:p>
        </w:tc>
        <w:tc>
          <w:tcPr>
            <w:tcW w:w="1300" w:type="dxa"/>
            <w:vMerge w:val="continue"/>
            <w:noWrap w:val="0"/>
            <w:vAlign w:val="center"/>
          </w:tcPr>
          <w:p>
            <w:pPr>
              <w:jc w:val="both"/>
              <w:rPr>
                <w:rFonts w:ascii="Calibri" w:hAnsi="Calibri"/>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3" w:hRule="atLeast"/>
          <w:jc w:val="center"/>
        </w:trPr>
        <w:tc>
          <w:tcPr>
            <w:tcW w:w="1137" w:type="dxa"/>
            <w:noWrap w:val="0"/>
            <w:vAlign w:val="center"/>
          </w:tcPr>
          <w:p>
            <w:pPr>
              <w:widowControl/>
              <w:autoSpaceDE w:val="0"/>
              <w:autoSpaceDN w:val="0"/>
              <w:adjustRightInd w:val="0"/>
              <w:jc w:val="both"/>
              <w:rPr>
                <w:rFonts w:hint="eastAsia" w:ascii="仿宋_GB2312" w:hAnsi="仿宋_GB2312" w:eastAsia="仿宋_GB2312" w:cs="仿宋_GB2312"/>
                <w:color w:val="000000"/>
                <w:kern w:val="0"/>
                <w:sz w:val="21"/>
                <w:szCs w:val="21"/>
                <w:highlight w:val="none"/>
                <w:lang w:val="en-US" w:eastAsia="zh-CN" w:bidi="ar-SA"/>
              </w:rPr>
            </w:pPr>
          </w:p>
        </w:tc>
        <w:tc>
          <w:tcPr>
            <w:tcW w:w="1095" w:type="dxa"/>
            <w:noWrap w:val="0"/>
            <w:vAlign w:val="center"/>
          </w:tcPr>
          <w:p>
            <w:pPr>
              <w:widowControl/>
              <w:autoSpaceDE w:val="0"/>
              <w:autoSpaceDN w:val="0"/>
              <w:adjustRightInd w:val="0"/>
              <w:jc w:val="both"/>
              <w:rPr>
                <w:rFonts w:hint="eastAsia" w:ascii="仿宋_GB2312" w:hAnsi="仿宋_GB2312" w:eastAsia="仿宋_GB2312" w:cs="仿宋_GB2312"/>
                <w:color w:val="000000"/>
                <w:kern w:val="0"/>
                <w:sz w:val="21"/>
                <w:szCs w:val="21"/>
                <w:highlight w:val="none"/>
                <w:lang w:val="en-US" w:eastAsia="zh-CN" w:bidi="ar-SA"/>
              </w:rPr>
            </w:pPr>
          </w:p>
        </w:tc>
        <w:tc>
          <w:tcPr>
            <w:tcW w:w="1095" w:type="dxa"/>
            <w:noWrap w:val="0"/>
            <w:vAlign w:val="center"/>
          </w:tcPr>
          <w:p>
            <w:pPr>
              <w:widowControl/>
              <w:jc w:val="both"/>
              <w:rPr>
                <w:rFonts w:hint="eastAsia" w:ascii="仿宋_GB2312" w:hAnsi="仿宋_GB2312" w:eastAsia="仿宋_GB2312" w:cs="仿宋_GB2312"/>
                <w:color w:val="000000"/>
                <w:kern w:val="0"/>
                <w:sz w:val="21"/>
                <w:szCs w:val="21"/>
                <w:highlight w:val="none"/>
                <w:lang w:val="en-US" w:eastAsia="zh-CN" w:bidi="ar-SA"/>
              </w:rPr>
            </w:pPr>
          </w:p>
        </w:tc>
        <w:tc>
          <w:tcPr>
            <w:tcW w:w="1140" w:type="dxa"/>
            <w:noWrap w:val="0"/>
            <w:vAlign w:val="center"/>
          </w:tcPr>
          <w:p>
            <w:pPr>
              <w:jc w:val="both"/>
              <w:textAlignment w:val="center"/>
              <w:rPr>
                <w:rFonts w:hint="eastAsia" w:ascii="仿宋_GB2312" w:hAnsi="仿宋_GB2312" w:eastAsia="仿宋_GB2312" w:cs="仿宋_GB2312"/>
                <w:color w:val="000000"/>
                <w:sz w:val="21"/>
                <w:szCs w:val="21"/>
                <w:highlight w:val="none"/>
              </w:rPr>
            </w:pPr>
          </w:p>
        </w:tc>
        <w:tc>
          <w:tcPr>
            <w:tcW w:w="1277" w:type="dxa"/>
            <w:noWrap w:val="0"/>
            <w:vAlign w:val="center"/>
          </w:tcPr>
          <w:p>
            <w:pPr>
              <w:widowControl/>
              <w:autoSpaceDE w:val="0"/>
              <w:autoSpaceDN w:val="0"/>
              <w:adjustRightInd w:val="0"/>
              <w:jc w:val="both"/>
              <w:rPr>
                <w:rFonts w:hint="eastAsia" w:ascii="仿宋_GB2312" w:hAnsi="仿宋_GB2312" w:eastAsia="仿宋_GB2312" w:cs="仿宋_GB2312"/>
                <w:color w:val="000000"/>
                <w:kern w:val="0"/>
                <w:sz w:val="21"/>
                <w:szCs w:val="21"/>
                <w:highlight w:val="none"/>
                <w:lang w:val="en-US" w:eastAsia="zh-CN" w:bidi="ar-SA"/>
              </w:rPr>
            </w:pPr>
          </w:p>
        </w:tc>
        <w:tc>
          <w:tcPr>
            <w:tcW w:w="1376" w:type="dxa"/>
            <w:noWrap w:val="0"/>
            <w:vAlign w:val="center"/>
          </w:tcPr>
          <w:p>
            <w:pPr>
              <w:spacing w:beforeLines="0" w:afterLines="0"/>
              <w:jc w:val="both"/>
              <w:rPr>
                <w:rFonts w:hint="eastAsia" w:ascii="仿宋_GB2312" w:hAnsi="仿宋_GB2312" w:eastAsia="仿宋_GB2312" w:cs="仿宋_GB2312"/>
                <w:color w:val="000000"/>
                <w:sz w:val="21"/>
                <w:szCs w:val="24"/>
                <w:highlight w:val="none"/>
                <w:lang w:val="en-US" w:eastAsia="zh-CN" w:bidi="ar-SA"/>
              </w:rPr>
            </w:pPr>
          </w:p>
        </w:tc>
        <w:tc>
          <w:tcPr>
            <w:tcW w:w="1157" w:type="dxa"/>
            <w:noWrap w:val="0"/>
            <w:vAlign w:val="center"/>
          </w:tcPr>
          <w:p>
            <w:pPr>
              <w:spacing w:line="360" w:lineRule="auto"/>
              <w:jc w:val="both"/>
              <w:rPr>
                <w:rFonts w:hint="eastAsia" w:ascii="仿宋_GB2312" w:hAnsi="仿宋_GB2312" w:eastAsia="仿宋_GB2312" w:cs="仿宋_GB2312"/>
                <w:color w:val="000000"/>
                <w:sz w:val="21"/>
                <w:szCs w:val="21"/>
                <w:highlight w:val="none"/>
                <w:lang w:val="en-US" w:eastAsia="zh-CN"/>
              </w:rPr>
            </w:pPr>
          </w:p>
        </w:tc>
        <w:tc>
          <w:tcPr>
            <w:tcW w:w="1300" w:type="dxa"/>
            <w:noWrap w:val="0"/>
            <w:vAlign w:val="center"/>
          </w:tcPr>
          <w:p>
            <w:pPr>
              <w:spacing w:beforeLines="0" w:afterLines="0"/>
              <w:jc w:val="both"/>
              <w:rPr>
                <w:rFonts w:hint="eastAsia" w:ascii="仿宋_GB2312" w:hAnsi="仿宋_GB2312" w:eastAsia="仿宋_GB2312" w:cs="仿宋_GB2312"/>
                <w:color w:val="000000"/>
                <w:sz w:val="21"/>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3" w:hRule="atLeast"/>
          <w:jc w:val="center"/>
        </w:trPr>
        <w:tc>
          <w:tcPr>
            <w:tcW w:w="1137" w:type="dxa"/>
            <w:noWrap w:val="0"/>
            <w:vAlign w:val="center"/>
          </w:tcPr>
          <w:p>
            <w:pPr>
              <w:widowControl/>
              <w:autoSpaceDE w:val="0"/>
              <w:autoSpaceDN w:val="0"/>
              <w:adjustRightInd w:val="0"/>
              <w:jc w:val="both"/>
              <w:rPr>
                <w:rFonts w:hint="eastAsia" w:ascii="仿宋_GB2312" w:hAnsi="仿宋_GB2312" w:eastAsia="仿宋_GB2312" w:cs="仿宋_GB2312"/>
                <w:color w:val="000000"/>
                <w:kern w:val="0"/>
                <w:sz w:val="21"/>
                <w:szCs w:val="21"/>
                <w:highlight w:val="none"/>
                <w:lang w:val="en-US" w:eastAsia="zh-CN" w:bidi="ar-SA"/>
              </w:rPr>
            </w:pPr>
          </w:p>
        </w:tc>
        <w:tc>
          <w:tcPr>
            <w:tcW w:w="1095" w:type="dxa"/>
            <w:noWrap w:val="0"/>
            <w:vAlign w:val="center"/>
          </w:tcPr>
          <w:p>
            <w:pPr>
              <w:widowControl/>
              <w:autoSpaceDE w:val="0"/>
              <w:autoSpaceDN w:val="0"/>
              <w:adjustRightInd w:val="0"/>
              <w:jc w:val="both"/>
              <w:rPr>
                <w:rFonts w:hint="eastAsia" w:ascii="仿宋_GB2312" w:hAnsi="仿宋_GB2312" w:eastAsia="仿宋_GB2312" w:cs="仿宋_GB2312"/>
                <w:color w:val="000000"/>
                <w:kern w:val="0"/>
                <w:sz w:val="21"/>
                <w:szCs w:val="21"/>
                <w:highlight w:val="none"/>
                <w:lang w:val="en-US" w:eastAsia="zh-CN" w:bidi="ar-SA"/>
              </w:rPr>
            </w:pPr>
          </w:p>
        </w:tc>
        <w:tc>
          <w:tcPr>
            <w:tcW w:w="1095" w:type="dxa"/>
            <w:noWrap w:val="0"/>
            <w:vAlign w:val="center"/>
          </w:tcPr>
          <w:p>
            <w:pPr>
              <w:widowControl/>
              <w:jc w:val="both"/>
              <w:rPr>
                <w:rFonts w:hint="eastAsia" w:ascii="仿宋_GB2312" w:hAnsi="仿宋_GB2312" w:eastAsia="仿宋_GB2312" w:cs="仿宋_GB2312"/>
                <w:color w:val="000000"/>
                <w:kern w:val="0"/>
                <w:sz w:val="21"/>
                <w:szCs w:val="21"/>
                <w:highlight w:val="none"/>
                <w:lang w:val="en-US" w:eastAsia="zh-CN" w:bidi="ar-SA"/>
              </w:rPr>
            </w:pPr>
          </w:p>
        </w:tc>
        <w:tc>
          <w:tcPr>
            <w:tcW w:w="1140" w:type="dxa"/>
            <w:noWrap w:val="0"/>
            <w:vAlign w:val="center"/>
          </w:tcPr>
          <w:p>
            <w:pPr>
              <w:jc w:val="both"/>
              <w:textAlignment w:val="center"/>
              <w:rPr>
                <w:rFonts w:hint="eastAsia" w:ascii="仿宋_GB2312" w:hAnsi="仿宋_GB2312" w:eastAsia="仿宋_GB2312" w:cs="仿宋_GB2312"/>
                <w:color w:val="000000"/>
                <w:sz w:val="21"/>
                <w:szCs w:val="21"/>
                <w:highlight w:val="none"/>
              </w:rPr>
            </w:pPr>
          </w:p>
        </w:tc>
        <w:tc>
          <w:tcPr>
            <w:tcW w:w="1277" w:type="dxa"/>
            <w:noWrap w:val="0"/>
            <w:vAlign w:val="center"/>
          </w:tcPr>
          <w:p>
            <w:pPr>
              <w:widowControl/>
              <w:autoSpaceDE w:val="0"/>
              <w:autoSpaceDN w:val="0"/>
              <w:adjustRightInd w:val="0"/>
              <w:jc w:val="both"/>
              <w:rPr>
                <w:rFonts w:hint="eastAsia" w:ascii="仿宋_GB2312" w:hAnsi="仿宋_GB2312" w:eastAsia="仿宋_GB2312" w:cs="仿宋_GB2312"/>
                <w:color w:val="000000"/>
                <w:kern w:val="0"/>
                <w:sz w:val="21"/>
                <w:szCs w:val="21"/>
                <w:highlight w:val="none"/>
                <w:lang w:val="en-US" w:eastAsia="zh-CN" w:bidi="ar-SA"/>
              </w:rPr>
            </w:pPr>
          </w:p>
        </w:tc>
        <w:tc>
          <w:tcPr>
            <w:tcW w:w="1376" w:type="dxa"/>
            <w:noWrap w:val="0"/>
            <w:vAlign w:val="center"/>
          </w:tcPr>
          <w:p>
            <w:pPr>
              <w:spacing w:beforeLines="0" w:afterLines="0"/>
              <w:jc w:val="both"/>
              <w:rPr>
                <w:rFonts w:hint="eastAsia" w:ascii="仿宋_GB2312" w:hAnsi="仿宋_GB2312" w:eastAsia="仿宋_GB2312" w:cs="仿宋_GB2312"/>
                <w:color w:val="000000"/>
                <w:sz w:val="21"/>
                <w:szCs w:val="24"/>
                <w:highlight w:val="none"/>
                <w:lang w:val="en-US" w:eastAsia="zh-CN" w:bidi="ar-SA"/>
              </w:rPr>
            </w:pPr>
          </w:p>
        </w:tc>
        <w:tc>
          <w:tcPr>
            <w:tcW w:w="1157" w:type="dxa"/>
            <w:noWrap w:val="0"/>
            <w:vAlign w:val="center"/>
          </w:tcPr>
          <w:p>
            <w:pPr>
              <w:spacing w:line="360" w:lineRule="auto"/>
              <w:jc w:val="both"/>
              <w:rPr>
                <w:rFonts w:hint="eastAsia" w:ascii="仿宋_GB2312" w:hAnsi="仿宋_GB2312" w:eastAsia="仿宋_GB2312" w:cs="仿宋_GB2312"/>
                <w:color w:val="000000"/>
                <w:sz w:val="21"/>
                <w:szCs w:val="21"/>
                <w:highlight w:val="none"/>
                <w:lang w:val="en-US" w:eastAsia="zh-CN"/>
              </w:rPr>
            </w:pPr>
          </w:p>
        </w:tc>
        <w:tc>
          <w:tcPr>
            <w:tcW w:w="1300" w:type="dxa"/>
            <w:noWrap w:val="0"/>
            <w:vAlign w:val="center"/>
          </w:tcPr>
          <w:p>
            <w:pPr>
              <w:spacing w:beforeLines="0" w:afterLines="0"/>
              <w:jc w:val="both"/>
              <w:rPr>
                <w:rFonts w:hint="eastAsia" w:ascii="仿宋_GB2312" w:hAnsi="仿宋_GB2312" w:eastAsia="仿宋_GB2312" w:cs="仿宋_GB2312"/>
                <w:color w:val="000000"/>
                <w:sz w:val="21"/>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3" w:hRule="atLeast"/>
          <w:jc w:val="center"/>
        </w:trPr>
        <w:tc>
          <w:tcPr>
            <w:tcW w:w="1137" w:type="dxa"/>
            <w:noWrap w:val="0"/>
            <w:vAlign w:val="center"/>
          </w:tcPr>
          <w:p>
            <w:pPr>
              <w:widowControl/>
              <w:autoSpaceDE w:val="0"/>
              <w:autoSpaceDN w:val="0"/>
              <w:adjustRightInd w:val="0"/>
              <w:jc w:val="both"/>
              <w:rPr>
                <w:rFonts w:hint="eastAsia" w:ascii="仿宋_GB2312" w:hAnsi="仿宋_GB2312" w:eastAsia="仿宋_GB2312" w:cs="仿宋_GB2312"/>
                <w:color w:val="000000"/>
                <w:kern w:val="0"/>
                <w:sz w:val="21"/>
                <w:szCs w:val="21"/>
                <w:highlight w:val="none"/>
                <w:lang w:val="en-US" w:eastAsia="zh-CN" w:bidi="ar-SA"/>
              </w:rPr>
            </w:pPr>
          </w:p>
        </w:tc>
        <w:tc>
          <w:tcPr>
            <w:tcW w:w="1095" w:type="dxa"/>
            <w:noWrap w:val="0"/>
            <w:vAlign w:val="center"/>
          </w:tcPr>
          <w:p>
            <w:pPr>
              <w:widowControl/>
              <w:autoSpaceDE w:val="0"/>
              <w:autoSpaceDN w:val="0"/>
              <w:adjustRightInd w:val="0"/>
              <w:jc w:val="both"/>
              <w:rPr>
                <w:rFonts w:hint="eastAsia" w:ascii="仿宋_GB2312" w:hAnsi="仿宋_GB2312" w:eastAsia="仿宋_GB2312" w:cs="仿宋_GB2312"/>
                <w:color w:val="000000"/>
                <w:kern w:val="0"/>
                <w:sz w:val="21"/>
                <w:szCs w:val="21"/>
                <w:highlight w:val="none"/>
                <w:lang w:val="en-US" w:eastAsia="zh-CN" w:bidi="ar-SA"/>
              </w:rPr>
            </w:pPr>
          </w:p>
        </w:tc>
        <w:tc>
          <w:tcPr>
            <w:tcW w:w="1095" w:type="dxa"/>
            <w:noWrap w:val="0"/>
            <w:vAlign w:val="center"/>
          </w:tcPr>
          <w:p>
            <w:pPr>
              <w:widowControl/>
              <w:jc w:val="both"/>
              <w:rPr>
                <w:rFonts w:hint="eastAsia" w:ascii="仿宋_GB2312" w:hAnsi="仿宋_GB2312" w:eastAsia="仿宋_GB2312" w:cs="仿宋_GB2312"/>
                <w:color w:val="000000"/>
                <w:kern w:val="0"/>
                <w:sz w:val="21"/>
                <w:szCs w:val="21"/>
                <w:highlight w:val="none"/>
                <w:lang w:val="en-US" w:eastAsia="zh-CN" w:bidi="ar-SA"/>
              </w:rPr>
            </w:pPr>
          </w:p>
        </w:tc>
        <w:tc>
          <w:tcPr>
            <w:tcW w:w="1140" w:type="dxa"/>
            <w:noWrap w:val="0"/>
            <w:vAlign w:val="center"/>
          </w:tcPr>
          <w:p>
            <w:pPr>
              <w:jc w:val="both"/>
              <w:textAlignment w:val="center"/>
              <w:rPr>
                <w:rFonts w:hint="eastAsia" w:ascii="仿宋_GB2312" w:hAnsi="仿宋_GB2312" w:eastAsia="仿宋_GB2312" w:cs="仿宋_GB2312"/>
                <w:color w:val="000000"/>
                <w:sz w:val="21"/>
                <w:szCs w:val="21"/>
                <w:highlight w:val="none"/>
              </w:rPr>
            </w:pPr>
          </w:p>
        </w:tc>
        <w:tc>
          <w:tcPr>
            <w:tcW w:w="1277" w:type="dxa"/>
            <w:noWrap w:val="0"/>
            <w:vAlign w:val="center"/>
          </w:tcPr>
          <w:p>
            <w:pPr>
              <w:widowControl/>
              <w:autoSpaceDE w:val="0"/>
              <w:autoSpaceDN w:val="0"/>
              <w:adjustRightInd w:val="0"/>
              <w:jc w:val="both"/>
              <w:rPr>
                <w:rFonts w:hint="eastAsia" w:ascii="仿宋_GB2312" w:hAnsi="仿宋_GB2312" w:eastAsia="仿宋_GB2312" w:cs="仿宋_GB2312"/>
                <w:color w:val="000000"/>
                <w:kern w:val="0"/>
                <w:sz w:val="21"/>
                <w:szCs w:val="21"/>
                <w:highlight w:val="none"/>
                <w:lang w:val="en-US" w:eastAsia="zh-CN" w:bidi="ar-SA"/>
              </w:rPr>
            </w:pPr>
          </w:p>
        </w:tc>
        <w:tc>
          <w:tcPr>
            <w:tcW w:w="1376" w:type="dxa"/>
            <w:noWrap w:val="0"/>
            <w:vAlign w:val="center"/>
          </w:tcPr>
          <w:p>
            <w:pPr>
              <w:spacing w:beforeLines="0" w:afterLines="0"/>
              <w:jc w:val="both"/>
              <w:rPr>
                <w:rFonts w:hint="eastAsia" w:ascii="仿宋_GB2312" w:hAnsi="仿宋_GB2312" w:eastAsia="仿宋_GB2312" w:cs="仿宋_GB2312"/>
                <w:color w:val="000000"/>
                <w:sz w:val="21"/>
                <w:szCs w:val="24"/>
                <w:highlight w:val="none"/>
                <w:lang w:val="en-US" w:eastAsia="zh-CN" w:bidi="ar-SA"/>
              </w:rPr>
            </w:pPr>
          </w:p>
        </w:tc>
        <w:tc>
          <w:tcPr>
            <w:tcW w:w="1157" w:type="dxa"/>
            <w:noWrap w:val="0"/>
            <w:vAlign w:val="center"/>
          </w:tcPr>
          <w:p>
            <w:pPr>
              <w:spacing w:line="360" w:lineRule="auto"/>
              <w:jc w:val="both"/>
              <w:rPr>
                <w:rFonts w:hint="eastAsia" w:ascii="仿宋_GB2312" w:hAnsi="仿宋_GB2312" w:eastAsia="仿宋_GB2312" w:cs="仿宋_GB2312"/>
                <w:color w:val="000000"/>
                <w:sz w:val="21"/>
                <w:szCs w:val="21"/>
                <w:highlight w:val="none"/>
                <w:lang w:val="en-US" w:eastAsia="zh-CN"/>
              </w:rPr>
            </w:pPr>
          </w:p>
        </w:tc>
        <w:tc>
          <w:tcPr>
            <w:tcW w:w="1300" w:type="dxa"/>
            <w:noWrap w:val="0"/>
            <w:vAlign w:val="center"/>
          </w:tcPr>
          <w:p>
            <w:pPr>
              <w:spacing w:beforeLines="0" w:afterLines="0"/>
              <w:jc w:val="both"/>
              <w:rPr>
                <w:rFonts w:hint="eastAsia" w:ascii="仿宋_GB2312" w:hAnsi="仿宋_GB2312" w:eastAsia="仿宋_GB2312" w:cs="仿宋_GB2312"/>
                <w:color w:val="000000"/>
                <w:sz w:val="21"/>
                <w:szCs w:val="24"/>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3" w:hRule="atLeast"/>
          <w:jc w:val="center"/>
        </w:trPr>
        <w:tc>
          <w:tcPr>
            <w:tcW w:w="2232" w:type="dxa"/>
            <w:gridSpan w:val="2"/>
            <w:noWrap w:val="0"/>
            <w:vAlign w:val="center"/>
          </w:tcPr>
          <w:p>
            <w:pPr>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合计</w:t>
            </w:r>
          </w:p>
        </w:tc>
        <w:tc>
          <w:tcPr>
            <w:tcW w:w="4888" w:type="dxa"/>
            <w:gridSpan w:val="4"/>
            <w:noWrap w:val="0"/>
            <w:vAlign w:val="center"/>
          </w:tcPr>
          <w:p>
            <w:pPr>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人民币(大写)：元整</w:t>
            </w:r>
          </w:p>
        </w:tc>
        <w:tc>
          <w:tcPr>
            <w:tcW w:w="1157" w:type="dxa"/>
            <w:noWrap w:val="0"/>
            <w:vAlign w:val="center"/>
          </w:tcPr>
          <w:p>
            <w:pPr>
              <w:spacing w:line="360" w:lineRule="auto"/>
              <w:jc w:val="both"/>
              <w:rPr>
                <w:rFonts w:hint="eastAsia" w:ascii="仿宋_GB2312" w:hAnsi="仿宋_GB2312" w:eastAsia="仿宋_GB2312" w:cs="仿宋_GB2312"/>
                <w:color w:val="000000"/>
                <w:sz w:val="21"/>
                <w:szCs w:val="21"/>
                <w:highlight w:val="none"/>
                <w:lang w:val="en-US" w:eastAsia="zh-CN"/>
              </w:rPr>
            </w:pPr>
          </w:p>
        </w:tc>
        <w:tc>
          <w:tcPr>
            <w:tcW w:w="1300" w:type="dxa"/>
            <w:noWrap w:val="0"/>
            <w:vAlign w:val="center"/>
          </w:tcPr>
          <w:p>
            <w:pPr>
              <w:spacing w:line="360" w:lineRule="auto"/>
              <w:jc w:val="both"/>
              <w:rPr>
                <w:rFonts w:hint="eastAsia" w:ascii="仿宋_GB2312" w:hAnsi="仿宋_GB2312" w:eastAsia="仿宋_GB2312" w:cs="仿宋_GB2312"/>
                <w:color w:val="000000"/>
                <w:sz w:val="21"/>
                <w:szCs w:val="21"/>
                <w:highlight w:val="none"/>
                <w:lang w:val="en-US" w:eastAsia="zh-CN"/>
              </w:rPr>
            </w:pPr>
          </w:p>
        </w:tc>
      </w:tr>
    </w:tbl>
    <w:p>
      <w:pPr>
        <w:spacing w:line="360" w:lineRule="auto"/>
        <w:ind w:firstLine="210" w:firstLineChars="1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2.1上述设备金额已包括但不限于合同电梯设备费（含包装费）和安装费。电梯设备费包括但不限于电梯及配件的非标设计费（如有）、出厂价格、随机备品备件及专用工具费、包装费、运杂费（含二次搬运）、卸车吊装费及保险费、保管费等运至指定地点的所有费用和质保期内的维保费、巡检费、相关税金（包含但不限于增值税）、利润、对使用方人员培训费以及提供相关技术资料及技术服务所发生的等各项应有费用；安装费包括除电梯购置价以外的所有费用，包括但不限于电梯运至现场和交付使用前保管费、电梯井道整改所产生的费用、井道施工误差允许范围内修整费、井道脚手架的搭建费，安装调试用人工、材料、机械、用水用电等费用及措施费、二次搬运费、税金、检测费、政府部门报装报验费用、竣工验收所产生的费用。除上述费用外，甲方不再另行支付未经双方共同确认的其他费用，甲方不承担任何支付义务。</w:t>
      </w:r>
      <w:r>
        <w:rPr>
          <w:rFonts w:hint="eastAsia" w:ascii="仿宋_GB2312" w:hAnsi="仿宋_GB2312" w:eastAsia="仿宋_GB2312" w:cs="仿宋_GB2312"/>
          <w:color w:val="000000"/>
          <w:sz w:val="21"/>
          <w:szCs w:val="21"/>
          <w:highlight w:val="none"/>
          <w:shd w:val="clear" w:fill="FFFFFF"/>
        </w:rPr>
        <w:t>本合同价款不作任何调整。</w:t>
      </w:r>
    </w:p>
    <w:p>
      <w:pPr>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2.2 乙方已充分考虑本合同履行期间的市场、汇率、国家政策性调整等风险系数、税金等各项应有费用，并计入投标报价，单价不作调整。</w:t>
      </w:r>
    </w:p>
    <w:p>
      <w:pPr>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2.3若所购电梯设备数量发生变更，双方另行签订补充协议，具体型号和规格及台数按最终确认有效设计图为准。结算金额按实际安装台数及合同单价计算。</w:t>
      </w:r>
    </w:p>
    <w:p>
      <w:pPr>
        <w:widowControl w:val="0"/>
        <w:spacing w:line="360" w:lineRule="auto"/>
        <w:ind w:firstLine="402" w:firstLineChars="200"/>
        <w:jc w:val="both"/>
        <w:rPr>
          <w:rFonts w:hint="eastAsia" w:ascii="仿宋_GB2312" w:hAnsi="仿宋_GB2312" w:eastAsia="仿宋_GB2312" w:cs="仿宋_GB2312"/>
          <w:b/>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lang w:val="zh-CN" w:eastAsia="zh-CN" w:bidi="ar-SA"/>
        </w:rPr>
        <w:t>第三条  付款方式及期限</w:t>
      </w:r>
    </w:p>
    <w:p>
      <w:pPr>
        <w:widowControl w:val="0"/>
        <w:spacing w:line="360" w:lineRule="auto"/>
        <w:ind w:firstLine="400" w:firstLineChars="200"/>
        <w:jc w:val="both"/>
        <w:rPr>
          <w:rFonts w:hint="eastAsia" w:ascii="仿宋_GB2312" w:hAnsi="仿宋_GB2312" w:eastAsia="仿宋_GB2312" w:cs="仿宋_GB2312"/>
          <w:color w:val="000000"/>
          <w:kern w:val="2"/>
          <w:sz w:val="20"/>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3.1超长期国债支付部分（政府部门支付电梯设备款项）：本项目无预付款，乙方根据甲方要求在合同期内进行供货，设备安装验收完毕，运行正常，并取得验收合格证30天内，甲方配合乙方对接政府部门超长国债要求，由属地政府部门进行支付；</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3.2自筹部分（支付拆除、安装费用）：本项目无预付款，甲方将本合同自筹部分价款扣除电梯残值费用（以甲方委托的评估公司评估价为准，详见附件）后，一次性支付至乙方账户。乙方须在甲方付款前向甲方提供合法有效的等额增值税专用发票，否则甲方有权顺延付款且不承担违约责任。甲方有权从应付乙方款项中直接扣除乙方应承担的违约金、赔偿金、质保金及其他应由乙方承担的费用</w:t>
      </w:r>
      <w:r>
        <w:rPr>
          <w:rFonts w:ascii="仿宋_GB2312" w:hAnsi="仿宋_GB2312" w:eastAsia="仿宋_GB2312" w:cs="仿宋_GB2312"/>
          <w:color w:val="000000"/>
          <w:kern w:val="2"/>
          <w:sz w:val="20"/>
          <w:szCs w:val="20"/>
          <w:highlight w:val="none"/>
          <w:lang w:val="zh-CN" w:eastAsia="zh-CN" w:bidi="ar-SA"/>
        </w:rPr>
        <w:t>。</w:t>
      </w:r>
    </w:p>
    <w:p>
      <w:pPr>
        <w:widowControl w:val="0"/>
        <w:spacing w:line="360" w:lineRule="auto"/>
        <w:ind w:firstLine="402" w:firstLineChars="200"/>
        <w:jc w:val="both"/>
        <w:rPr>
          <w:rFonts w:hint="eastAsia" w:ascii="仿宋_GB2312" w:hAnsi="仿宋_GB2312" w:eastAsia="仿宋_GB2312" w:cs="仿宋_GB2312"/>
          <w:b/>
          <w:bCs/>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lang w:val="en-US" w:eastAsia="zh-CN" w:bidi="ar-SA"/>
        </w:rPr>
        <w:t>第四条  质保金</w:t>
      </w:r>
    </w:p>
    <w:p>
      <w:pPr>
        <w:widowControl w:val="0"/>
        <w:spacing w:line="360" w:lineRule="auto"/>
        <w:ind w:firstLine="400" w:firstLineChars="200"/>
        <w:jc w:val="both"/>
        <w:rPr>
          <w:rFonts w:hint="default" w:ascii="仿宋_GB2312" w:hAnsi="仿宋_GB2312" w:eastAsia="仿宋_GB2312" w:cs="仿宋_GB2312"/>
          <w:color w:val="000000"/>
          <w:kern w:val="2"/>
          <w:sz w:val="21"/>
          <w:szCs w:val="20"/>
          <w:highlight w:val="none"/>
          <w:lang w:val="en-US" w:eastAsia="zh-CN" w:bidi="ar-SA"/>
        </w:rPr>
      </w:pPr>
      <w:r>
        <w:rPr>
          <w:rFonts w:hint="eastAsia" w:ascii="仿宋_GB2312" w:hAnsi="仿宋_GB2312" w:eastAsia="仿宋_GB2312" w:cs="仿宋_GB2312"/>
          <w:color w:val="000000"/>
          <w:kern w:val="2"/>
          <w:sz w:val="20"/>
          <w:szCs w:val="20"/>
          <w:highlight w:val="none"/>
          <w:lang w:val="en-US" w:eastAsia="zh-CN" w:bidi="ar-SA"/>
        </w:rPr>
        <w:t>甲方按合同总价款的 3% 预留质量保证金。自项目竣工验收合格之日起，甲方按年度等额/约定比例分期向乙方返还该保证金，根据乙方提供的质保期逐年返还，直至返还金额累计达到质量保证金总额为止。具体返还节点为每年度届满后5个工作日内，返还比例为质量保证金总额的</w:t>
      </w:r>
      <w:r>
        <w:rPr>
          <w:rFonts w:hint="eastAsia" w:ascii="仿宋_GB2312" w:hAnsi="仿宋_GB2312" w:eastAsia="仿宋_GB2312" w:cs="仿宋_GB2312"/>
          <w:color w:val="000000"/>
          <w:kern w:val="2"/>
          <w:sz w:val="20"/>
          <w:szCs w:val="20"/>
          <w:highlight w:val="none"/>
          <w:u w:val="single"/>
          <w:lang w:val="en-US" w:eastAsia="zh-CN" w:bidi="ar-SA"/>
        </w:rPr>
        <w:t>【 】</w:t>
      </w:r>
      <w:r>
        <w:rPr>
          <w:rFonts w:hint="eastAsia" w:ascii="仿宋_GB2312" w:hAnsi="仿宋_GB2312" w:eastAsia="仿宋_GB2312" w:cs="仿宋_GB2312"/>
          <w:color w:val="000000"/>
          <w:kern w:val="2"/>
          <w:sz w:val="20"/>
          <w:szCs w:val="20"/>
          <w:highlight w:val="none"/>
          <w:lang w:val="en-US" w:eastAsia="zh-CN" w:bidi="ar-SA"/>
        </w:rPr>
        <w:t>。质保金返还前，乙方须向甲方提交书面返还申请，经甲方审核确认乙方在相应质保期内无未完结的质保责任、无应承担的违约金及赔偿金后，甲方方可返还相应比例的质保金。</w:t>
      </w:r>
      <w:r>
        <w:rPr>
          <w:rFonts w:ascii="仿宋_GB2312" w:hAnsi="仿宋_GB2312" w:eastAsia="仿宋_GB2312" w:cs="仿宋_GB2312"/>
          <w:color w:val="000000"/>
          <w:kern w:val="2"/>
          <w:sz w:val="20"/>
          <w:szCs w:val="20"/>
          <w:highlight w:val="none"/>
          <w:lang w:val="zh-CN" w:eastAsia="zh-CN" w:bidi="ar-SA"/>
        </w:rPr>
        <w:t>质保期内，因乙方原因导致的质量问题，乙方应在接到甲方通知后24小时内响应并在合理期限内无偿修复；乙方未按时修复的，甲方可委托第三方维修，费用从质保金中双倍扣除。质保金不足以扣除的，乙方应在接到甲方通知后3日内补足，逾期按日千分之一支付滞纳金。</w:t>
      </w:r>
    </w:p>
    <w:p>
      <w:pPr>
        <w:widowControl w:val="0"/>
        <w:spacing w:line="360" w:lineRule="auto"/>
        <w:ind w:firstLine="402" w:firstLineChars="200"/>
        <w:jc w:val="both"/>
        <w:rPr>
          <w:rFonts w:hint="eastAsia" w:ascii="仿宋_GB2312" w:hAnsi="仿宋_GB2312" w:eastAsia="仿宋_GB2312" w:cs="仿宋_GB2312"/>
          <w:b/>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lang w:val="zh-CN" w:eastAsia="zh-CN" w:bidi="ar-SA"/>
        </w:rPr>
        <w:t>第五条  交货与验收</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5.1本合同签订时，双方对电梯技术规格书一并确认。乙方收到确认的技术规格书后，根据甲方要求安排生产、发货。</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5.2交货地点：</w:t>
      </w:r>
      <w:r>
        <w:rPr>
          <w:rFonts w:hint="eastAsia" w:ascii="仿宋_GB2312" w:hAnsi="仿宋_GB2312" w:eastAsia="仿宋_GB2312" w:cs="仿宋_GB2312"/>
          <w:color w:val="000000"/>
          <w:kern w:val="2"/>
          <w:sz w:val="20"/>
          <w:szCs w:val="20"/>
          <w:highlight w:val="none"/>
          <w:u w:val="single"/>
          <w:lang w:val="zh-CN" w:eastAsia="zh-CN" w:bidi="ar-SA"/>
        </w:rPr>
        <w:t xml:space="preserve"> </w:t>
      </w:r>
      <w:r>
        <w:rPr>
          <w:rFonts w:hint="eastAsia" w:ascii="仿宋_GB2312" w:hAnsi="仿宋_GB2312" w:eastAsia="仿宋_GB2312" w:cs="仿宋_GB2312"/>
          <w:color w:val="000000"/>
          <w:kern w:val="2"/>
          <w:sz w:val="21"/>
          <w:szCs w:val="21"/>
          <w:highlight w:val="none"/>
          <w:u w:val="single"/>
          <w:lang w:val="en-US" w:eastAsia="zh-CN" w:bidi="ar-SA"/>
        </w:rPr>
        <w:t xml:space="preserve"> </w:t>
      </w:r>
      <w:r>
        <w:rPr>
          <w:rFonts w:hint="eastAsia" w:ascii="仿宋_GB2312" w:hAnsi="仿宋_GB2312" w:eastAsia="仿宋_GB2312" w:cs="仿宋_GB2312"/>
          <w:color w:val="000000"/>
          <w:kern w:val="2"/>
          <w:sz w:val="20"/>
          <w:szCs w:val="20"/>
          <w:highlight w:val="none"/>
          <w:u w:val="single"/>
          <w:lang w:val="zh-CN" w:eastAsia="zh-CN" w:bidi="ar-SA"/>
        </w:rPr>
        <w:t xml:space="preserve"> </w:t>
      </w:r>
      <w:r>
        <w:rPr>
          <w:rFonts w:hint="eastAsia" w:ascii="仿宋_GB2312" w:hAnsi="仿宋_GB2312" w:eastAsia="仿宋_GB2312" w:cs="仿宋_GB2312"/>
          <w:color w:val="000000"/>
          <w:kern w:val="2"/>
          <w:sz w:val="20"/>
          <w:szCs w:val="20"/>
          <w:highlight w:val="none"/>
          <w:lang w:val="zh-CN" w:eastAsia="zh-CN" w:bidi="ar-SA"/>
        </w:rPr>
        <w:t>。</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5.3投入使用期：</w:t>
      </w:r>
      <w:r>
        <w:rPr>
          <w:rFonts w:hint="eastAsia" w:ascii="仿宋_GB2312" w:hAnsi="仿宋_GB2312" w:eastAsia="仿宋_GB2312" w:cs="仿宋_GB2312"/>
          <w:color w:val="000000"/>
          <w:kern w:val="2"/>
          <w:sz w:val="20"/>
          <w:szCs w:val="20"/>
          <w:highlight w:val="none"/>
          <w:u w:val="single"/>
          <w:lang w:val="zh-CN" w:eastAsia="zh-CN" w:bidi="ar-SA"/>
        </w:rPr>
        <w:t xml:space="preserve">    /   </w:t>
      </w:r>
      <w:r>
        <w:rPr>
          <w:rFonts w:hint="eastAsia" w:ascii="仿宋_GB2312" w:hAnsi="仿宋_GB2312" w:eastAsia="仿宋_GB2312" w:cs="仿宋_GB2312"/>
          <w:color w:val="000000"/>
          <w:kern w:val="2"/>
          <w:sz w:val="20"/>
          <w:szCs w:val="20"/>
          <w:highlight w:val="none"/>
          <w:lang w:val="zh-CN" w:eastAsia="zh-CN" w:bidi="ar-SA"/>
        </w:rPr>
        <w:t>。</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5.4乙方应在发货前</w:t>
      </w:r>
      <w:r>
        <w:rPr>
          <w:rFonts w:hint="eastAsia" w:ascii="仿宋_GB2312" w:hAnsi="仿宋_GB2312" w:eastAsia="仿宋_GB2312" w:cs="仿宋_GB2312"/>
          <w:color w:val="000000"/>
          <w:kern w:val="2"/>
          <w:sz w:val="20"/>
          <w:szCs w:val="20"/>
          <w:highlight w:val="none"/>
          <w:u w:val="single"/>
          <w:lang w:val="zh-CN" w:eastAsia="zh-CN" w:bidi="ar-SA"/>
        </w:rPr>
        <w:t>10</w:t>
      </w:r>
      <w:r>
        <w:rPr>
          <w:rFonts w:hint="eastAsia" w:ascii="仿宋_GB2312" w:hAnsi="仿宋_GB2312" w:eastAsia="仿宋_GB2312" w:cs="仿宋_GB2312"/>
          <w:color w:val="000000"/>
          <w:kern w:val="2"/>
          <w:sz w:val="20"/>
          <w:szCs w:val="20"/>
          <w:highlight w:val="none"/>
          <w:lang w:val="zh-CN" w:eastAsia="zh-CN" w:bidi="ar-SA"/>
        </w:rPr>
        <w:t>日，以书面形式发送《发货确认函》给甲方，通知准确的发货日期、到货时间、货物型号规格、数量以及场地的要求，甲方须在收到确认函后</w:t>
      </w:r>
      <w:r>
        <w:rPr>
          <w:rFonts w:hint="eastAsia" w:ascii="仿宋_GB2312" w:hAnsi="仿宋_GB2312" w:eastAsia="仿宋_GB2312" w:cs="仿宋_GB2312"/>
          <w:color w:val="000000"/>
          <w:kern w:val="2"/>
          <w:sz w:val="20"/>
          <w:szCs w:val="20"/>
          <w:highlight w:val="none"/>
          <w:u w:val="single"/>
          <w:lang w:val="zh-CN" w:eastAsia="zh-CN" w:bidi="ar-SA"/>
        </w:rPr>
        <w:t>5</w:t>
      </w:r>
      <w:r>
        <w:rPr>
          <w:rFonts w:hint="eastAsia" w:ascii="仿宋_GB2312" w:hAnsi="仿宋_GB2312" w:eastAsia="仿宋_GB2312" w:cs="仿宋_GB2312"/>
          <w:color w:val="000000"/>
          <w:kern w:val="2"/>
          <w:sz w:val="20"/>
          <w:szCs w:val="20"/>
          <w:highlight w:val="none"/>
          <w:lang w:val="zh-CN" w:eastAsia="zh-CN" w:bidi="ar-SA"/>
        </w:rPr>
        <w:t>日内予以答复，经甲方</w:t>
      </w:r>
      <w:r>
        <w:rPr>
          <w:rFonts w:ascii="仿宋_GB2312" w:hAnsi="仿宋_GB2312" w:eastAsia="仿宋_GB2312" w:cs="仿宋_GB2312"/>
          <w:color w:val="000000"/>
          <w:kern w:val="2"/>
          <w:sz w:val="20"/>
          <w:szCs w:val="20"/>
          <w:highlight w:val="none"/>
          <w:lang w:val="zh-CN" w:eastAsia="zh-CN" w:bidi="ar-SA"/>
        </w:rPr>
        <w:t>书面</w:t>
      </w:r>
      <w:r>
        <w:rPr>
          <w:rFonts w:hint="eastAsia" w:ascii="仿宋_GB2312" w:hAnsi="仿宋_GB2312" w:eastAsia="仿宋_GB2312" w:cs="仿宋_GB2312"/>
          <w:color w:val="000000"/>
          <w:kern w:val="2"/>
          <w:sz w:val="20"/>
          <w:szCs w:val="20"/>
          <w:highlight w:val="none"/>
          <w:lang w:val="zh-CN" w:eastAsia="zh-CN" w:bidi="ar-SA"/>
        </w:rPr>
        <w:t>确认同意后乙方可发货。</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5.5货物到货时，包装必须完好无损,产品包装要求包括规格型号、产品种类、数量等。</w:t>
      </w:r>
      <w:r>
        <w:rPr>
          <w:rFonts w:hint="eastAsia" w:ascii="仿宋_GB2312" w:hAnsi="仿宋_GB2312" w:eastAsia="仿宋_GB2312" w:cs="仿宋_GB2312"/>
          <w:color w:val="000000"/>
          <w:kern w:val="2"/>
          <w:sz w:val="20"/>
          <w:szCs w:val="20"/>
          <w:highlight w:val="none"/>
          <w:shd w:val="clear" w:fill="FFFFFF"/>
          <w:lang w:val="zh-CN" w:eastAsia="zh-CN" w:bidi="ar-SA"/>
        </w:rPr>
        <w:t>乙方按标准提供合同设备包装，须适合长途运输及合理的多次搬动，以保证合同设备安全运抵本合同指定的交货地点。</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5.6到货后，乙方及时对进场货物进行报验，报验时必须按国家设备报验要求提供相关资料，甲方工程师代表、同乙方根据报验资料到现场进行清点，清点货物数量、品牌、配件等与本合同约定及乙方投标文件是否相符。货物有丢失或损坏，或者货物的包装、品种、型号、规格等不符合合同约定的，甲方有权要求乙方退回更换或补齐货物，乙方实际交货时间以最终补齐货物时间为准,并按逾期交货承担违约责任。参与交货验收的单位在货物清单上共同签字,此签单仅作为乙方交货的凭证，不作为乙方货物是否合格的最终依据。</w:t>
      </w:r>
      <w:r>
        <w:rPr>
          <w:rFonts w:ascii="仿宋_GB2312" w:hAnsi="仿宋_GB2312" w:eastAsia="仿宋_GB2312" w:cs="仿宋_GB2312"/>
          <w:color w:val="000000"/>
          <w:kern w:val="2"/>
          <w:sz w:val="20"/>
          <w:szCs w:val="20"/>
          <w:highlight w:val="none"/>
          <w:lang w:val="zh-CN" w:eastAsia="zh-CN" w:bidi="ar-SA"/>
        </w:rPr>
        <w:t>甲方有权在货物到货后委托具有资质的第三方检测机构对货物进行抽检，检测费用由乙方承担。如检测结果不符合合同约定，乙方应无条件更换并承担由此产生的一切费用。</w:t>
      </w:r>
      <w:r>
        <w:rPr>
          <w:rFonts w:hint="eastAsia" w:ascii="仿宋_GB2312" w:hAnsi="仿宋_GB2312" w:eastAsia="仿宋_GB2312" w:cs="仿宋_GB2312"/>
          <w:color w:val="000000"/>
          <w:kern w:val="2"/>
          <w:sz w:val="20"/>
          <w:szCs w:val="20"/>
          <w:highlight w:val="none"/>
          <w:lang w:val="zh-CN" w:eastAsia="zh-CN" w:bidi="ar-SA"/>
        </w:rPr>
        <w:t>若乙方的货物经送检不符合本合同约定及乙方投标文件承诺或安装后因货物质量问题未能通过验收的，或验收2年后甲方发现其技术参数、功能要求等未达到投标文件承诺的，乙方仍应当按照本合同9.7条约定向甲方承担违约责任。</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5.7交货时，乙方随货向甲方交付随机资料和配套附属设备，包括但不限于出产证明、出厂试验报告和记录、合格证、保修卡、图纸、相关资料（如操作手册、使用指南、维修手册、安装调试说明书、服务手册等）及配备的用件、工具等。</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5.8货物保管：设备安装前，均由乙方自行负责保管直至货物安装验收完毕。货物保管期间，货物的灭失、受损等后果均由乙方负担。</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5.9货物的交付：本合同中约定的货物交付为通过验收标准（自取得当地技术监督部门或其它行政主管部门出具的检验合格报告及使用登记证）视为货物的交付。</w:t>
      </w:r>
    </w:p>
    <w:p>
      <w:pPr>
        <w:widowControl w:val="0"/>
        <w:spacing w:line="360" w:lineRule="auto"/>
        <w:ind w:firstLine="402" w:firstLineChars="200"/>
        <w:jc w:val="both"/>
        <w:rPr>
          <w:rFonts w:hint="eastAsia" w:ascii="仿宋_GB2312" w:hAnsi="仿宋_GB2312" w:eastAsia="仿宋_GB2312" w:cs="仿宋_GB2312"/>
          <w:b/>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lang w:val="zh-CN" w:eastAsia="zh-CN" w:bidi="ar-SA"/>
        </w:rPr>
        <w:t>第六条  产品质量要求</w:t>
      </w:r>
    </w:p>
    <w:p>
      <w:pPr>
        <w:widowControl w:val="0"/>
        <w:spacing w:line="360" w:lineRule="auto"/>
        <w:ind w:firstLine="400" w:firstLineChars="200"/>
        <w:jc w:val="both"/>
        <w:rPr>
          <w:rFonts w:hint="default" w:ascii="仿宋_GB2312" w:hAnsi="仿宋_GB2312" w:eastAsia="仿宋_GB2312" w:cs="仿宋_GB2312"/>
          <w:color w:val="000000"/>
          <w:kern w:val="2"/>
          <w:sz w:val="21"/>
          <w:szCs w:val="20"/>
          <w:highlight w:val="none"/>
          <w:lang w:val="en-US" w:eastAsia="zh-CN" w:bidi="ar-SA"/>
        </w:rPr>
      </w:pPr>
      <w:r>
        <w:rPr>
          <w:rFonts w:hint="eastAsia" w:ascii="仿宋_GB2312" w:hAnsi="仿宋_GB2312" w:eastAsia="仿宋_GB2312" w:cs="仿宋_GB2312"/>
          <w:color w:val="000000"/>
          <w:kern w:val="2"/>
          <w:sz w:val="20"/>
          <w:szCs w:val="20"/>
          <w:highlight w:val="none"/>
          <w:lang w:val="zh-CN" w:eastAsia="zh-CN" w:bidi="ar-SA"/>
        </w:rPr>
        <w:t>6.1乙方必须保证所供电梯是原厂生产的、全新的并完全符合招标文件规定、乙方投标文件承诺、经产品质量监督部门认定合格的要求；电梯设备中采用的主要的、核心的、关键的元件及技术标准与附件的要求内容一致。电梯设备</w:t>
      </w:r>
      <w:r>
        <w:rPr>
          <w:rFonts w:hint="eastAsia" w:ascii="仿宋_GB2312" w:hAnsi="仿宋_GB2312" w:eastAsia="仿宋_GB2312" w:cs="仿宋_GB2312"/>
          <w:color w:val="000000"/>
          <w:kern w:val="2"/>
          <w:sz w:val="20"/>
          <w:szCs w:val="20"/>
          <w:highlight w:val="none"/>
          <w:lang w:val="en-US" w:eastAsia="zh-CN" w:bidi="ar-SA"/>
        </w:rPr>
        <w:t>所有部件必须为全新制造，不得使用翻新零件，且所有用于本工程的电梯设备零件生产日期不得早于甲方支付给乙方第一笔费用前4个月。</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6.2电梯设备应根据国家的相关标准、规范、招标文件的要求和乙方投标文件承诺进行设计和制造，所有主要部件必须至少达到国债标准，国内先进水平，结构合理、可靠性高、能耗低、运行噪音低、无污染，操作保养和维护简便。</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 xml:space="preserve">6.3电梯必须达到或超过的国家、行业标准： </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（1）《电梯名词术语》（GB /T7024 -2008）</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（2）新于《电梯制造与安装安全规范》（GB7588-2003）的企业标准</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（3）《电梯技术条件》（GB/T 10058-2009）</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（4）《电梯实验方法》（GB/T10059-2009）</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（5）《电梯主参数及轿厢、井道、机房的型式与尺寸》（GB/T7025.1-2008）</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（6）《液压电梯》（JG5071-1996）</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（7）《杂物电梯技术条件》（Q/JBBM1-93）</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（8）《电梯曳引机》（GB/T24478-2009）</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（9）《电梯用钢丝绳》（GB 8903-2005）</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（10）《交流电梯电动机 通用技术条件》（GB/T 12974-1991）（12）</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（11）《电梯T型导轨》（GB/T  22562-2008）</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（12）《电梯工程施工质量验收规范》（GB50310-2002）</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（13）《电梯安装工程质量检验评定标准》</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（14）《电梯安装验收规范》（GB10060-2023）</w:t>
      </w:r>
    </w:p>
    <w:p>
      <w:pPr>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（15）《电梯监督检验规程》</w:t>
      </w:r>
    </w:p>
    <w:p>
      <w:pPr>
        <w:spacing w:line="360" w:lineRule="auto"/>
        <w:ind w:firstLine="420" w:firstLineChars="200"/>
        <w:jc w:val="both"/>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（16）超长期特别国债资金支持的更新电梯专项要求</w:t>
      </w:r>
    </w:p>
    <w:p>
      <w:pPr>
        <w:spacing w:line="360" w:lineRule="auto"/>
        <w:ind w:firstLine="420" w:firstLineChars="200"/>
        <w:jc w:val="both"/>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lang w:eastAsia="zh-CN"/>
        </w:rPr>
        <w:t>（17）超长期特别国债资金支持的更新电梯检验附加要求</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1"/>
          <w:highlight w:val="none"/>
          <w:lang w:val="zh-CN" w:eastAsia="zh-CN" w:bidi="ar-SA"/>
        </w:rPr>
        <w:t>（18）</w:t>
      </w:r>
      <w:r>
        <w:rPr>
          <w:rFonts w:hint="eastAsia" w:ascii="仿宋_GB2312" w:hAnsi="仿宋_GB2312" w:eastAsia="仿宋_GB2312" w:cs="仿宋_GB2312"/>
          <w:color w:val="000000"/>
          <w:kern w:val="2"/>
          <w:sz w:val="21"/>
          <w:szCs w:val="21"/>
          <w:highlight w:val="none"/>
          <w:shd w:val="clear" w:fill="FFFFFF"/>
          <w:lang w:val="en-US" w:eastAsia="zh-CN" w:bidi="ar-SA"/>
        </w:rPr>
        <w:t>《电梯制造与安装安全规范》GBGB/T7588.1—2020</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（19）其他相关国家标准和规范。</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以上未含的现行国家、云南省昆明市规范、标准，若电梯安装所在地政府相关部门有相应规定的，乙方承诺提供的电梯符合其规定；如有出台新的国家、行业标准,须按新标准执行。</w:t>
      </w:r>
    </w:p>
    <w:p>
      <w:pPr>
        <w:widowControl w:val="0"/>
        <w:spacing w:line="360" w:lineRule="auto"/>
        <w:ind w:firstLine="402" w:firstLineChars="200"/>
        <w:jc w:val="both"/>
        <w:rPr>
          <w:rFonts w:hint="eastAsia" w:ascii="仿宋_GB2312" w:hAnsi="仿宋_GB2312" w:eastAsia="仿宋_GB2312" w:cs="仿宋_GB2312"/>
          <w:b/>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lang w:val="zh-CN" w:eastAsia="zh-CN" w:bidi="ar-SA"/>
        </w:rPr>
        <w:t>第七条  甲、乙双方责任</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7.1 甲方的责任</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7.1.1</w:t>
      </w:r>
      <w:r>
        <w:rPr>
          <w:rFonts w:ascii="仿宋_GB2312" w:hAnsi="仿宋_GB2312" w:eastAsia="仿宋_GB2312" w:cs="仿宋_GB2312"/>
          <w:color w:val="000000"/>
          <w:kern w:val="2"/>
          <w:sz w:val="20"/>
          <w:szCs w:val="20"/>
          <w:highlight w:val="none"/>
          <w:lang w:val="zh-CN" w:eastAsia="zh-CN" w:bidi="ar-SA"/>
        </w:rPr>
        <w:t>乙方</w:t>
      </w:r>
      <w:r>
        <w:rPr>
          <w:rFonts w:hint="eastAsia" w:ascii="仿宋_GB2312" w:hAnsi="仿宋_GB2312" w:eastAsia="仿宋_GB2312" w:cs="仿宋_GB2312"/>
          <w:color w:val="000000"/>
          <w:kern w:val="2"/>
          <w:sz w:val="20"/>
          <w:szCs w:val="20"/>
          <w:highlight w:val="none"/>
          <w:lang w:val="zh-CN" w:eastAsia="zh-CN" w:bidi="ar-SA"/>
        </w:rPr>
        <w:t>施工前 3 日内提供电梯现场安装所用的场地（含卸货点、可以用于电梯设备储存、保管的场地）；</w:t>
      </w:r>
      <w:r>
        <w:rPr>
          <w:rFonts w:ascii="仿宋_GB2312" w:hAnsi="仿宋_GB2312" w:eastAsia="仿宋_GB2312" w:cs="仿宋_GB2312"/>
          <w:color w:val="000000"/>
          <w:kern w:val="2"/>
          <w:sz w:val="20"/>
          <w:szCs w:val="20"/>
          <w:highlight w:val="none"/>
          <w:lang w:val="zh-CN" w:eastAsia="zh-CN" w:bidi="ar-SA"/>
        </w:rPr>
        <w:t>甲方提供场地不免除乙方对现场踏勘、确认的义务，乙方应在进场前对现场条件进行充分核查。</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7.1.2提供标高、定位的基准点、线给乙方作依据。</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7.1.3</w:t>
      </w:r>
      <w:r>
        <w:rPr>
          <w:rFonts w:ascii="仿宋_GB2312" w:hAnsi="仿宋_GB2312" w:eastAsia="仿宋_GB2312" w:cs="仿宋_GB2312"/>
          <w:color w:val="000000"/>
          <w:kern w:val="2"/>
          <w:sz w:val="20"/>
          <w:szCs w:val="20"/>
          <w:highlight w:val="none"/>
          <w:lang w:val="zh-CN" w:eastAsia="zh-CN" w:bidi="ar-SA"/>
        </w:rPr>
        <w:t>配合</w:t>
      </w:r>
      <w:r>
        <w:rPr>
          <w:rFonts w:hint="eastAsia" w:ascii="仿宋_GB2312" w:hAnsi="仿宋_GB2312" w:eastAsia="仿宋_GB2312" w:cs="仿宋_GB2312"/>
          <w:color w:val="000000"/>
          <w:kern w:val="2"/>
          <w:sz w:val="20"/>
          <w:szCs w:val="20"/>
          <w:highlight w:val="none"/>
          <w:lang w:val="zh-CN" w:eastAsia="zh-CN" w:bidi="ar-SA"/>
        </w:rPr>
        <w:t>乙方办理电梯安装所需的相关手续；</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7.1.4</w:t>
      </w:r>
      <w:r>
        <w:rPr>
          <w:rFonts w:ascii="仿宋_GB2312" w:hAnsi="仿宋_GB2312" w:eastAsia="仿宋_GB2312" w:cs="仿宋_GB2312"/>
          <w:color w:val="000000"/>
          <w:kern w:val="2"/>
          <w:sz w:val="20"/>
          <w:szCs w:val="20"/>
          <w:highlight w:val="none"/>
          <w:lang w:val="zh-CN" w:eastAsia="zh-CN" w:bidi="ar-SA"/>
        </w:rPr>
        <w:t>配合乙方</w:t>
      </w:r>
      <w:r>
        <w:rPr>
          <w:rFonts w:hint="eastAsia" w:ascii="仿宋_GB2312" w:hAnsi="仿宋_GB2312" w:eastAsia="仿宋_GB2312" w:cs="仿宋_GB2312"/>
          <w:color w:val="000000"/>
          <w:kern w:val="2"/>
          <w:sz w:val="20"/>
          <w:szCs w:val="20"/>
          <w:highlight w:val="none"/>
          <w:lang w:val="zh-CN" w:eastAsia="zh-CN" w:bidi="ar-SA"/>
        </w:rPr>
        <w:t>向当地政府部门办理安装工程的报批和报验等相关手续；</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 乙方的责任</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7.2.1</w:t>
      </w:r>
      <w:r>
        <w:rPr>
          <w:rFonts w:hint="eastAsia" w:ascii="仿宋_GB2312" w:hAnsi="仿宋_GB2312" w:eastAsia="仿宋_GB2312" w:cs="仿宋_GB2312"/>
          <w:color w:val="000000"/>
          <w:kern w:val="2"/>
          <w:sz w:val="20"/>
          <w:szCs w:val="20"/>
          <w:highlight w:val="none"/>
          <w:shd w:val="clear" w:fill="FFFFFF"/>
          <w:lang w:val="zh-CN" w:eastAsia="zh-CN" w:bidi="ar-SA"/>
        </w:rPr>
        <w:t>由乙方负责运输，由于运输及安装引起的质量和安全责任，由乙方自行承担。</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7.2.2设备的现场安装调试和运行启动；</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 xml:space="preserve">7.2.3提供设备组装和维修所需的专用工具和辅助材料； </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 xml:space="preserve">7.2.4施工期间和调试期间用电、用水均由乙方承担相应费用； </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7.2.5负责设备安装完成后的运行测试；</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7.2.6在本项目工地现场对甲方相关人员进行设备操作培训；</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7.2.7负责电梯及安装工具的吊装、拆除及井道照明的施工工作；</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7.2.8甲方提供项目进度计划等资料后，乙方在一周内提供施工组织方案；</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7.2.9安装施工前准备及质量保证：按甲方要求进驻工地和施工。</w:t>
      </w:r>
      <w:r>
        <w:rPr>
          <w:rFonts w:hint="eastAsia" w:ascii="仿宋_GB2312" w:hAnsi="仿宋_GB2312" w:eastAsia="仿宋_GB2312" w:cs="仿宋_GB2312"/>
          <w:color w:val="000000"/>
          <w:kern w:val="2"/>
          <w:sz w:val="20"/>
          <w:szCs w:val="20"/>
          <w:highlight w:val="none"/>
          <w:shd w:val="clear" w:fill="FFFFFF"/>
          <w:lang w:val="zh-CN" w:eastAsia="zh-CN" w:bidi="ar-SA"/>
        </w:rPr>
        <w:t>在合同约定的安装时间前，负责派员前往安装现场进行土建勘测复核，确认工地安装条件，向甲方提供咨询服务和提出整改要求，与甲方约定具体开工日期，在整个施工过程中发生的相关返工造成工期延误，乙方应承担因工期延误对甲方造成的一切经济损失（包括但不限于实际经济损失、违约赔偿损失、实现甲方权益的律师代理费、鉴定费、诉讼费、保全费、公证费等）。</w:t>
      </w:r>
      <w:r>
        <w:rPr>
          <w:rFonts w:hint="eastAsia" w:ascii="仿宋_GB2312" w:hAnsi="仿宋_GB2312" w:eastAsia="仿宋_GB2312" w:cs="仿宋_GB2312"/>
          <w:color w:val="000000"/>
          <w:kern w:val="2"/>
          <w:sz w:val="20"/>
          <w:szCs w:val="20"/>
          <w:highlight w:val="none"/>
          <w:lang w:val="zh-CN" w:eastAsia="zh-CN" w:bidi="ar-SA"/>
        </w:rPr>
        <w:t>乙方在安装施工过程中，须按照现行的施工质量验收规范、国家和当地有关建筑工程施工的有关规定，及本合同的构成文件（包括施工图纸及施工规范）的要求进行施工及质量检查，以确保工程质量。</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7.2.10根据项目的实际形象进度进行各种核对、优化工作，确保电梯的正常安装。接到甲方的通知，派专人前往工地与甲方协商与安装有关的事宜包括进度计划、质量监督，并依据合同规定提供咨询服务；</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7.2.11乙方资质要得到电梯使用地政府管理部门认可，安装人员须具备特种作业电梯安装维修操作上岗证；</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7.2.12应及时积极配合与电梯有关的相关施工单位的施工工作。</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7.2.13负责按照现场安全文明施工要求，搭建满足现场施工要求的临时设施及安全围栏，按照相关规定做好安全文明施工工作；</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7.2.14 进入工作现场的队伍要遵守现场的规章制度，负责本单位现场人员的人身安全，为乙方现场施工人员购买劳动保险和人身保险，接受现场管理单位的监督、管理和指导；乙方要建立安全责任制，确保施工过程不出现人身安全事故、火灾事故和施工机械质量造成的电梯设备损坏事故。承担因产品质量造成的一切事故责任。安装施工过程中，若因乙方原因造成乙方、甲方或任意第三方人身损害或财产损失的，由乙方承担全部赔偿责任。施工现场发生重大、特大事故，依照《工程建设重大事故报告和调查程序规定》进行处理。如果对工程建设造成严重影响，则甲方有权解除合同，勒令乙方退场，并有权向乙方追索由此费甲方造成的一切经济损失；</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7.2.14 负责安装期间、直到验收合格交付甲方使用为止期间的电梯保管工作；</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7.2.15 对设备在项目现场进行有效保护，以起到防盗、防火、防水、防灰等作用；</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7.2.16本电梯工程安装、调试完工后，乙方应当负责报当地技术监督部门或其它行政主管部门对电梯设备进行正式验收，由当地技术监督部门或其它行政主管部门出具验收合格证及电梯使用登记证等文件，并承担相应费用；</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7.2.17 负责甲方接管电梯前的电梯正常管理；</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7.2.18</w:t>
      </w:r>
      <w:r>
        <w:rPr>
          <w:rFonts w:hint="eastAsia" w:ascii="仿宋_GB2312" w:hAnsi="仿宋_GB2312" w:eastAsia="仿宋_GB2312" w:cs="仿宋_GB2312"/>
          <w:color w:val="000000"/>
          <w:kern w:val="2"/>
          <w:sz w:val="20"/>
          <w:szCs w:val="20"/>
          <w:highlight w:val="none"/>
          <w:shd w:val="clear" w:fill="FFFFFF"/>
          <w:lang w:val="zh-CN" w:eastAsia="zh-CN" w:bidi="ar-SA"/>
        </w:rPr>
        <w:t>对甲方派出的设备管理人员进行免费现场培训，为今后日常正常使用和维保设备做准备；</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7.2.19所有验收文件、测试报告、资料应在电梯验收合格后 15个工作日内提交甲方原件一套，复印件二套，作为留档备案。除交政府相关监管部门外还须交甲方竣工资料一式六套（原件）；</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7.2.20消防电梯制造安装应当符合国家相关规范，保证电梯从首层到顶层的运行时间不超过60s，并保证通过消防验收，否则，由乙方承担相关全部责任及损失。</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7.2.21乙方不得更换项目经理。若需更换须征得甲方书面同意，更换后的人员资格须优于原负责人员。擅自更换项目经理的，须承担违约金2万元。</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7.2.22 未经甲方同意，乙方不得在电梯轿厢内进行任何广告宣传。</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7.2.23 旧电梯拆除后所有权归乙方所有，每台电梯乙方须在拆除后</w:t>
      </w:r>
      <w:r>
        <w:rPr>
          <w:rFonts w:hint="eastAsia" w:ascii="仿宋_GB2312" w:hAnsi="仿宋_GB2312" w:eastAsia="仿宋_GB2312" w:cs="仿宋_GB2312"/>
          <w:color w:val="000000"/>
          <w:kern w:val="2"/>
          <w:sz w:val="20"/>
          <w:szCs w:val="20"/>
          <w:highlight w:val="none"/>
          <w:u w:val="single"/>
          <w:lang w:val="zh-CN" w:eastAsia="zh-CN" w:bidi="ar-SA"/>
        </w:rPr>
        <w:t>15</w:t>
      </w:r>
      <w:r>
        <w:rPr>
          <w:rFonts w:hint="eastAsia" w:ascii="仿宋_GB2312" w:hAnsi="仿宋_GB2312" w:eastAsia="仿宋_GB2312" w:cs="仿宋_GB2312"/>
          <w:color w:val="000000"/>
          <w:kern w:val="2"/>
          <w:sz w:val="20"/>
          <w:szCs w:val="20"/>
          <w:highlight w:val="none"/>
          <w:lang w:val="zh-CN" w:eastAsia="zh-CN" w:bidi="ar-SA"/>
        </w:rPr>
        <w:t>日内清运完毕，逾期视为放弃所有权，甲方有权处置。</w:t>
      </w:r>
    </w:p>
    <w:p>
      <w:pPr>
        <w:widowControl w:val="0"/>
        <w:spacing w:line="360" w:lineRule="auto"/>
        <w:ind w:firstLine="402" w:firstLineChars="200"/>
        <w:jc w:val="both"/>
        <w:rPr>
          <w:rFonts w:hint="eastAsia" w:ascii="仿宋_GB2312" w:hAnsi="仿宋_GB2312" w:eastAsia="仿宋_GB2312" w:cs="仿宋_GB2312"/>
          <w:b/>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lang w:val="zh-CN" w:eastAsia="zh-CN" w:bidi="ar-SA"/>
        </w:rPr>
        <w:t>第八条  质量保证及售后服务</w:t>
      </w:r>
    </w:p>
    <w:p>
      <w:pPr>
        <w:spacing w:line="360" w:lineRule="auto"/>
        <w:ind w:firstLine="405" w:firstLineChars="192"/>
        <w:jc w:val="both"/>
        <w:rPr>
          <w:rFonts w:hint="eastAsia" w:ascii="仿宋_GB2312" w:hAnsi="仿宋_GB2312" w:eastAsia="仿宋_GB2312" w:cs="仿宋_GB2312"/>
          <w:b/>
          <w:color w:val="000000"/>
          <w:sz w:val="21"/>
          <w:szCs w:val="21"/>
          <w:highlight w:val="none"/>
        </w:rPr>
      </w:pPr>
      <w:r>
        <w:rPr>
          <w:rFonts w:hint="eastAsia" w:ascii="仿宋_GB2312" w:hAnsi="仿宋_GB2312" w:eastAsia="仿宋_GB2312" w:cs="仿宋_GB2312"/>
          <w:b/>
          <w:color w:val="000000"/>
          <w:sz w:val="21"/>
          <w:szCs w:val="21"/>
          <w:highlight w:val="none"/>
        </w:rPr>
        <w:t>8.1质保期</w:t>
      </w:r>
      <w:r>
        <w:rPr>
          <w:rFonts w:hint="eastAsia" w:ascii="仿宋_GB2312" w:hAnsi="仿宋_GB2312" w:eastAsia="仿宋_GB2312" w:cs="仿宋_GB2312"/>
          <w:b/>
          <w:color w:val="000000"/>
          <w:sz w:val="21"/>
          <w:szCs w:val="21"/>
          <w:highlight w:val="none"/>
          <w:shd w:val="clear" w:fill="FFFFFF"/>
        </w:rPr>
        <w:t>自</w:t>
      </w:r>
      <w:r>
        <w:rPr>
          <w:rFonts w:hint="eastAsia" w:ascii="仿宋_GB2312" w:hAnsi="仿宋_GB2312" w:eastAsia="仿宋_GB2312" w:cs="仿宋_GB2312"/>
          <w:b/>
          <w:color w:val="000000"/>
          <w:sz w:val="21"/>
          <w:szCs w:val="21"/>
          <w:highlight w:val="none"/>
        </w:rPr>
        <w:t>取得当地技术监督部门或其它行政主管部门出具的检验合格报告及使用登记证之日起算</w:t>
      </w:r>
      <w:r>
        <w:rPr>
          <w:rFonts w:hint="eastAsia" w:ascii="仿宋_GB2312" w:hAnsi="仿宋_GB2312" w:eastAsia="仿宋_GB2312" w:cs="仿宋_GB2312"/>
          <w:b/>
          <w:color w:val="000000"/>
          <w:spacing w:val="10"/>
          <w:sz w:val="21"/>
          <w:szCs w:val="21"/>
          <w:highlight w:val="none"/>
        </w:rPr>
        <w:t>（</w:t>
      </w:r>
      <w:r>
        <w:rPr>
          <w:rFonts w:hint="eastAsia" w:ascii="仿宋_GB2312" w:hAnsi="仿宋_GB2312" w:eastAsia="仿宋_GB2312" w:cs="仿宋_GB2312"/>
          <w:b/>
          <w:color w:val="000000"/>
          <w:sz w:val="21"/>
          <w:szCs w:val="21"/>
          <w:highlight w:val="none"/>
        </w:rPr>
        <w:t>以检验报告上检验日期为准</w:t>
      </w:r>
      <w:r>
        <w:rPr>
          <w:rFonts w:hint="eastAsia" w:ascii="仿宋_GB2312" w:hAnsi="仿宋_GB2312" w:eastAsia="仿宋_GB2312" w:cs="仿宋_GB2312"/>
          <w:b/>
          <w:color w:val="000000"/>
          <w:spacing w:val="10"/>
          <w:sz w:val="21"/>
          <w:szCs w:val="21"/>
          <w:highlight w:val="none"/>
        </w:rPr>
        <w:t>）</w:t>
      </w:r>
      <w:r>
        <w:rPr>
          <w:rFonts w:hint="eastAsia" w:ascii="仿宋_GB2312" w:hAnsi="仿宋_GB2312" w:eastAsia="仿宋_GB2312" w:cs="仿宋_GB2312"/>
          <w:b/>
          <w:color w:val="000000"/>
          <w:sz w:val="21"/>
          <w:szCs w:val="21"/>
          <w:highlight w:val="none"/>
          <w:shd w:val="clear" w:fill="FFFFFF"/>
        </w:rPr>
        <w:t>，</w:t>
      </w:r>
      <w:r>
        <w:rPr>
          <w:rFonts w:hint="eastAsia" w:ascii="仿宋_GB2312" w:hAnsi="仿宋_GB2312" w:eastAsia="仿宋_GB2312" w:cs="仿宋_GB2312"/>
          <w:b/>
          <w:color w:val="000000"/>
          <w:sz w:val="21"/>
          <w:szCs w:val="21"/>
          <w:highlight w:val="none"/>
        </w:rPr>
        <w:t xml:space="preserve">质保期为 </w:t>
      </w:r>
      <w:r>
        <w:rPr>
          <w:rFonts w:hint="eastAsia" w:ascii="仿宋_GB2312" w:hAnsi="仿宋_GB2312" w:eastAsia="仿宋_GB2312" w:cs="仿宋_GB2312"/>
          <w:b/>
          <w:color w:val="000000"/>
          <w:sz w:val="21"/>
          <w:szCs w:val="21"/>
          <w:highlight w:val="none"/>
          <w:u w:val="single"/>
          <w:lang w:val="en-US" w:eastAsia="zh-CN"/>
        </w:rPr>
        <w:t xml:space="preserve">      </w:t>
      </w:r>
      <w:r>
        <w:rPr>
          <w:rFonts w:hint="eastAsia" w:ascii="仿宋_GB2312" w:hAnsi="仿宋_GB2312" w:eastAsia="仿宋_GB2312" w:cs="仿宋_GB2312"/>
          <w:b/>
          <w:color w:val="000000"/>
          <w:sz w:val="21"/>
          <w:szCs w:val="21"/>
          <w:highlight w:val="none"/>
        </w:rPr>
        <w:t>年，质保期内乙方负责电梯年检费用、免费维修、免费保养，甲方不再另行支付任何费用。若属乙方产品质量原因致使承诺不能兑现，乙方将负全部责任，并向甲方支付本合同总价</w:t>
      </w:r>
      <w:r>
        <w:rPr>
          <w:rFonts w:hint="eastAsia" w:ascii="仿宋_GB2312" w:hAnsi="仿宋_GB2312" w:eastAsia="仿宋_GB2312" w:cs="仿宋_GB2312"/>
          <w:b/>
          <w:color w:val="000000"/>
          <w:sz w:val="21"/>
          <w:szCs w:val="21"/>
          <w:highlight w:val="none"/>
          <w:u w:val="single"/>
        </w:rPr>
        <w:t>5%</w:t>
      </w:r>
      <w:r>
        <w:rPr>
          <w:rFonts w:hint="eastAsia" w:ascii="仿宋_GB2312" w:hAnsi="仿宋_GB2312" w:eastAsia="仿宋_GB2312" w:cs="仿宋_GB2312"/>
          <w:b/>
          <w:color w:val="000000"/>
          <w:sz w:val="21"/>
          <w:szCs w:val="21"/>
          <w:highlight w:val="none"/>
        </w:rPr>
        <w:t>的违约金。</w:t>
      </w:r>
      <w:r>
        <w:rPr>
          <w:rFonts w:ascii="仿宋_GB2312" w:hAnsi="仿宋_GB2312" w:eastAsia="仿宋_GB2312" w:cs="仿宋_GB2312"/>
          <w:b/>
          <w:color w:val="000000"/>
          <w:sz w:val="21"/>
          <w:szCs w:val="21"/>
          <w:highlight w:val="none"/>
        </w:rPr>
        <w:t>质保期内，同一部件经两次维修仍无法正常使用的，乙方应免费更换该部件。质保期内电梯发生故障导致停梯的，每次停梯时间超过24小时的，乙方应向甲方支付500元/台/天的补偿金。</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8.2乙方应保证保修的及时性，在收到甲方的通知后，应及时作出响应，具体时间如下：</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8.2.1 乙方须在甲方或甲方委托人通知后应立即做出答复，乙方保证其传真和电话处于24小时正常开通状态，甲方将先以电话或传真方式通知乙方。乙方若不及时维修，经甲方或甲方委托人书面通知后，乙方仍未能改正，甲方可扣除乙方的相应金额质保金并有权另行选择维修单位，解除乙方整个项目维修权利，由此发生的所有维修费用，全部由乙方承担；</w:t>
      </w:r>
    </w:p>
    <w:p>
      <w:pPr>
        <w:widowControl w:val="0"/>
        <w:spacing w:line="360" w:lineRule="auto"/>
        <w:ind w:firstLine="400" w:firstLineChars="200"/>
        <w:jc w:val="both"/>
        <w:rPr>
          <w:rFonts w:hint="eastAsia" w:ascii="仿宋_GB2312" w:hAnsi="仿宋_GB2312" w:eastAsia="仿宋_GB2312" w:cs="仿宋_GB2312"/>
          <w:color w:val="000000"/>
          <w:kern w:val="2"/>
          <w:sz w:val="20"/>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8.2.2乙方须选派技术好的维保人员对电梯进行维修保养服务。</w:t>
      </w:r>
      <w:r>
        <w:rPr>
          <w:rFonts w:hint="eastAsia" w:ascii="仿宋_GB2312" w:hAnsi="仿宋_GB2312" w:eastAsia="仿宋_GB2312" w:cs="仿宋_GB2312"/>
          <w:color w:val="000000"/>
          <w:kern w:val="2"/>
          <w:sz w:val="20"/>
          <w:szCs w:val="20"/>
          <w:highlight w:val="none"/>
          <w:lang w:val="en-US" w:eastAsia="zh-CN" w:bidi="ar-SA"/>
        </w:rPr>
        <w:t>乙方在</w:t>
      </w:r>
      <w:r>
        <w:rPr>
          <w:rFonts w:hint="eastAsia" w:ascii="仿宋_GB2312" w:hAnsi="仿宋_GB2312" w:eastAsia="仿宋_GB2312" w:cs="仿宋_GB2312"/>
          <w:color w:val="000000"/>
          <w:kern w:val="2"/>
          <w:sz w:val="20"/>
          <w:szCs w:val="20"/>
          <w:highlight w:val="none"/>
          <w:lang w:val="zh-CN" w:eastAsia="zh-CN" w:bidi="ar-SA"/>
        </w:rPr>
        <w:t>接到召修</w:t>
      </w:r>
      <w:r>
        <w:rPr>
          <w:rFonts w:hint="eastAsia" w:ascii="仿宋_GB2312" w:hAnsi="仿宋_GB2312" w:eastAsia="仿宋_GB2312" w:cs="仿宋_GB2312"/>
          <w:color w:val="000000"/>
          <w:kern w:val="2"/>
          <w:sz w:val="20"/>
          <w:szCs w:val="20"/>
          <w:highlight w:val="none"/>
          <w:lang w:val="en-US" w:eastAsia="zh-CN" w:bidi="ar-SA"/>
        </w:rPr>
        <w:t>通知</w:t>
      </w:r>
      <w:r>
        <w:rPr>
          <w:rFonts w:hint="eastAsia" w:ascii="仿宋_GB2312" w:hAnsi="仿宋_GB2312" w:eastAsia="仿宋_GB2312" w:cs="仿宋_GB2312"/>
          <w:color w:val="000000"/>
          <w:kern w:val="2"/>
          <w:sz w:val="20"/>
          <w:szCs w:val="20"/>
          <w:highlight w:val="none"/>
          <w:lang w:val="zh-CN" w:eastAsia="zh-CN" w:bidi="ar-SA"/>
        </w:rPr>
        <w:t>后</w:t>
      </w:r>
      <w:r>
        <w:rPr>
          <w:rFonts w:hint="eastAsia" w:ascii="仿宋_GB2312" w:hAnsi="仿宋_GB2312" w:eastAsia="仿宋_GB2312" w:cs="仿宋_GB2312"/>
          <w:color w:val="000000"/>
          <w:kern w:val="2"/>
          <w:sz w:val="20"/>
          <w:szCs w:val="20"/>
          <w:highlight w:val="none"/>
          <w:lang w:val="en-US" w:eastAsia="zh-CN" w:bidi="ar-SA"/>
        </w:rPr>
        <w:t>30</w:t>
      </w:r>
      <w:r>
        <w:rPr>
          <w:rFonts w:hint="eastAsia" w:ascii="仿宋_GB2312" w:hAnsi="仿宋_GB2312" w:eastAsia="仿宋_GB2312" w:cs="仿宋_GB2312"/>
          <w:color w:val="000000"/>
          <w:kern w:val="2"/>
          <w:sz w:val="20"/>
          <w:szCs w:val="20"/>
          <w:highlight w:val="none"/>
          <w:lang w:val="zh-CN" w:eastAsia="zh-CN" w:bidi="ar-SA"/>
        </w:rPr>
        <w:t>分钟内到达现场，</w:t>
      </w:r>
      <w:r>
        <w:rPr>
          <w:rFonts w:hint="eastAsia" w:ascii="仿宋_GB2312" w:hAnsi="仿宋_GB2312" w:eastAsia="仿宋_GB2312" w:cs="仿宋_GB2312"/>
          <w:color w:val="000000"/>
          <w:kern w:val="2"/>
          <w:sz w:val="20"/>
          <w:szCs w:val="20"/>
          <w:highlight w:val="none"/>
          <w:lang w:val="en-US" w:eastAsia="zh-CN" w:bidi="ar-SA"/>
        </w:rPr>
        <w:t>不能按时到达现场的一次考核500元；</w:t>
      </w:r>
      <w:r>
        <w:rPr>
          <w:rFonts w:hint="eastAsia" w:ascii="仿宋_GB2312" w:hAnsi="仿宋_GB2312" w:eastAsia="仿宋_GB2312" w:cs="仿宋_GB2312"/>
          <w:color w:val="000000"/>
          <w:kern w:val="2"/>
          <w:sz w:val="20"/>
          <w:szCs w:val="20"/>
          <w:highlight w:val="none"/>
          <w:lang w:val="zh-CN" w:eastAsia="zh-CN" w:bidi="ar-SA"/>
        </w:rPr>
        <w:t>如甲方电梯发生故障，单次维修所需更换的配件超出易损件范围的，乙方必须在24小时内提供备件并及时更换。一般性故障维修时间不得超过8小时，</w:t>
      </w:r>
      <w:r>
        <w:rPr>
          <w:rFonts w:hint="eastAsia" w:ascii="仿宋_GB2312" w:hAnsi="仿宋_GB2312" w:eastAsia="仿宋_GB2312" w:cs="仿宋_GB2312"/>
          <w:color w:val="000000"/>
          <w:kern w:val="2"/>
          <w:sz w:val="20"/>
          <w:szCs w:val="20"/>
          <w:highlight w:val="none"/>
          <w:lang w:val="en-US" w:eastAsia="zh-CN" w:bidi="ar-SA"/>
        </w:rPr>
        <w:t>超过一次考核500元</w:t>
      </w:r>
      <w:r>
        <w:rPr>
          <w:rFonts w:hint="eastAsia" w:ascii="仿宋_GB2312" w:hAnsi="仿宋_GB2312" w:eastAsia="仿宋_GB2312" w:cs="仿宋_GB2312"/>
          <w:color w:val="000000"/>
          <w:kern w:val="2"/>
          <w:sz w:val="20"/>
          <w:szCs w:val="20"/>
          <w:highlight w:val="none"/>
          <w:lang w:val="zh-CN" w:eastAsia="zh-CN" w:bidi="ar-SA"/>
        </w:rPr>
        <w:t>；较严重故障及大型配件更换时间不得超过48小时，</w:t>
      </w:r>
      <w:r>
        <w:rPr>
          <w:rFonts w:hint="eastAsia" w:ascii="仿宋_GB2312" w:hAnsi="仿宋_GB2312" w:eastAsia="仿宋_GB2312" w:cs="仿宋_GB2312"/>
          <w:color w:val="000000"/>
          <w:kern w:val="2"/>
          <w:sz w:val="20"/>
          <w:szCs w:val="20"/>
          <w:highlight w:val="none"/>
          <w:lang w:val="en-US" w:eastAsia="zh-CN" w:bidi="ar-SA"/>
        </w:rPr>
        <w:t>超过一次考核1000元</w:t>
      </w:r>
      <w:r>
        <w:rPr>
          <w:rFonts w:hint="eastAsia" w:ascii="仿宋_GB2312" w:hAnsi="仿宋_GB2312" w:eastAsia="仿宋_GB2312" w:cs="仿宋_GB2312"/>
          <w:color w:val="000000"/>
          <w:kern w:val="2"/>
          <w:sz w:val="20"/>
          <w:szCs w:val="20"/>
          <w:highlight w:val="none"/>
          <w:lang w:val="zh-CN" w:eastAsia="zh-CN" w:bidi="ar-SA"/>
        </w:rPr>
        <w:t>。</w:t>
      </w:r>
    </w:p>
    <w:p>
      <w:pPr>
        <w:widowControl w:val="0"/>
        <w:spacing w:line="360" w:lineRule="auto"/>
        <w:ind w:firstLine="400" w:firstLineChars="200"/>
        <w:jc w:val="both"/>
        <w:rPr>
          <w:rFonts w:hint="default" w:ascii="Courier New" w:hAnsi="Courier New" w:eastAsia="仿宋_GB2312" w:cs="Times New Roman"/>
          <w:kern w:val="2"/>
          <w:sz w:val="21"/>
          <w:szCs w:val="20"/>
          <w:lang w:val="en-US" w:eastAsia="zh-CN" w:bidi="ar-SA"/>
        </w:rPr>
      </w:pPr>
      <w:r>
        <w:rPr>
          <w:rFonts w:hint="eastAsia" w:ascii="仿宋_GB2312" w:hAnsi="仿宋_GB2312" w:eastAsia="仿宋_GB2312" w:cs="仿宋_GB2312"/>
          <w:color w:val="000000"/>
          <w:kern w:val="2"/>
          <w:sz w:val="20"/>
          <w:szCs w:val="20"/>
          <w:highlight w:val="none"/>
          <w:lang w:val="en-US" w:eastAsia="zh-CN" w:bidi="ar-SA"/>
        </w:rPr>
        <w:t>8.2.3</w:t>
      </w:r>
      <w:r>
        <w:rPr>
          <w:rFonts w:hint="eastAsia" w:ascii="仿宋_GB2312" w:hAnsi="仿宋_GB2312" w:eastAsia="仿宋_GB2312" w:cs="仿宋_GB2312"/>
          <w:color w:val="000000"/>
          <w:kern w:val="2"/>
          <w:sz w:val="20"/>
          <w:szCs w:val="20"/>
          <w:highlight w:val="none"/>
          <w:lang w:val="zh-CN" w:eastAsia="zh-CN" w:bidi="ar-SA"/>
        </w:rPr>
        <w:t>质保期内，乙方维修保养人员定期对电梯运行状况进行察看，每15天对电梯进行保养，每季度对电梯进行一次全面的检修，及时排除故障，确保电梯安全运行。乙方设立专项电梯运行档案，随时监视各梯运行状况，及时报告电梯运行状况及可能发生的问题，并将有关问题排除在可能发生之前，为确保电梯稳定运行提供可靠的保证。乙方确保售后服务部24小时免费服务热线电话畅通，有</w:t>
      </w:r>
      <w:r>
        <w:rPr>
          <w:rFonts w:hint="eastAsia" w:ascii="仿宋_GB2312" w:hAnsi="仿宋_GB2312" w:eastAsia="仿宋_GB2312" w:cs="仿宋_GB2312"/>
          <w:color w:val="000000"/>
          <w:kern w:val="2"/>
          <w:sz w:val="20"/>
          <w:szCs w:val="20"/>
          <w:highlight w:val="none"/>
          <w:lang w:val="en-US" w:eastAsia="zh-CN" w:bidi="ar-SA"/>
        </w:rPr>
        <w:t>1名</w:t>
      </w:r>
      <w:r>
        <w:rPr>
          <w:rFonts w:hint="eastAsia" w:ascii="仿宋_GB2312" w:hAnsi="仿宋_GB2312" w:eastAsia="仿宋_GB2312" w:cs="仿宋_GB2312"/>
          <w:color w:val="000000"/>
          <w:kern w:val="2"/>
          <w:sz w:val="20"/>
          <w:szCs w:val="20"/>
          <w:highlight w:val="none"/>
          <w:lang w:val="zh-CN" w:eastAsia="zh-CN" w:bidi="ar-SA"/>
        </w:rPr>
        <w:t>专职的技术人员及</w:t>
      </w:r>
      <w:r>
        <w:rPr>
          <w:rFonts w:hint="eastAsia" w:ascii="仿宋_GB2312" w:hAnsi="仿宋_GB2312" w:eastAsia="仿宋_GB2312" w:cs="仿宋_GB2312"/>
          <w:color w:val="000000"/>
          <w:kern w:val="2"/>
          <w:sz w:val="20"/>
          <w:szCs w:val="20"/>
          <w:highlight w:val="none"/>
          <w:lang w:val="en-US" w:eastAsia="zh-CN" w:bidi="ar-SA"/>
        </w:rPr>
        <w:t>1名</w:t>
      </w:r>
      <w:r>
        <w:rPr>
          <w:rFonts w:hint="eastAsia" w:ascii="仿宋_GB2312" w:hAnsi="仿宋_GB2312" w:eastAsia="仿宋_GB2312" w:cs="仿宋_GB2312"/>
          <w:color w:val="000000"/>
          <w:kern w:val="2"/>
          <w:sz w:val="20"/>
          <w:szCs w:val="20"/>
          <w:highlight w:val="none"/>
          <w:lang w:val="zh-CN" w:eastAsia="zh-CN" w:bidi="ar-SA"/>
        </w:rPr>
        <w:t>维修保养人员</w:t>
      </w:r>
      <w:r>
        <w:rPr>
          <w:rFonts w:hint="eastAsia" w:ascii="仿宋_GB2312" w:hAnsi="仿宋_GB2312" w:eastAsia="仿宋_GB2312" w:cs="仿宋_GB2312"/>
          <w:color w:val="000000"/>
          <w:kern w:val="2"/>
          <w:sz w:val="20"/>
          <w:szCs w:val="20"/>
          <w:highlight w:val="none"/>
          <w:lang w:val="en-US" w:eastAsia="zh-CN" w:bidi="ar-SA"/>
        </w:rPr>
        <w:t>驻点值守</w:t>
      </w:r>
      <w:r>
        <w:rPr>
          <w:rFonts w:hint="eastAsia" w:ascii="仿宋_GB2312" w:hAnsi="仿宋_GB2312" w:eastAsia="仿宋_GB2312" w:cs="仿宋_GB2312"/>
          <w:color w:val="000000"/>
          <w:kern w:val="2"/>
          <w:sz w:val="20"/>
          <w:szCs w:val="20"/>
          <w:highlight w:val="none"/>
          <w:lang w:val="zh-CN" w:eastAsia="zh-CN" w:bidi="ar-SA"/>
        </w:rPr>
        <w:t>，为项目现场提供强有力的技术支持，确保电梯故障及时解决。乙方派专业人员作为讲师，为用户培训维修保养操作人员，使他们初步懂得一些电梯维修保养知识和技能，并对相关的技术提供免费咨询和帮助。</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8.3乙方须在昆明市设备品备件库，并保证库存量满足零部件更换需求；在电梯使用年限内，乙方终生提供备件，在备品备件停止生产的情况下，乙方须事先将要停止生产的计划通知甲方使甲方有足够的时间采购所需的备品备件，如果此种备品备件将停止生产，乙方提供可行的替代方案，使得用户的电梯能够安全稳定的运行。质保期满后，乙方须保证以最优惠价格收取维修保养费用及更换电梯零部件，同时常年免费提供技术咨询、维修保养指导服务。质保期后5年内更换零部件价格不得高于乙方承诺的价格。</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 xml:space="preserve">8.4 </w:t>
      </w:r>
      <w:r>
        <w:rPr>
          <w:rFonts w:hint="eastAsia" w:ascii="仿宋_GB2312" w:hAnsi="仿宋_GB2312" w:eastAsia="仿宋_GB2312" w:cs="仿宋_GB2312"/>
          <w:color w:val="000000"/>
          <w:kern w:val="2"/>
          <w:sz w:val="20"/>
          <w:szCs w:val="20"/>
          <w:highlight w:val="none"/>
          <w:shd w:val="clear" w:fill="FFFFFF"/>
          <w:lang w:val="zh-CN" w:eastAsia="zh-CN" w:bidi="ar-SA"/>
        </w:rPr>
        <w:t>在质保期内，乙方免费提供正常消耗磨损的电梯零部件，因甲方原因造成的设备损坏由甲方承担责任和费用，乙方提供有偿服务。</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8.5 在产品质保期结束前乙方应为甲方电梯免费进行一次综合性的检查和试验，并免费矫正年检所发现的问题，乙方应配合政府有关部门进行年度安全验收，检验费由乙方支付。</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8.6 当乙方未在规定时间内解决电梯问题的情况下，甲方有权委托他方处理，因此发生的费用从乙方质量保修金中扣除；当乙方质量保修金不足以支付质保事项或不能满足处理质保问题时，乙方应当于3日内补足。</w:t>
      </w:r>
    </w:p>
    <w:p>
      <w:pPr>
        <w:spacing w:line="360" w:lineRule="auto"/>
        <w:ind w:firstLine="422" w:firstLineChars="200"/>
        <w:jc w:val="both"/>
        <w:rPr>
          <w:rFonts w:hint="eastAsia" w:ascii="仿宋_GB2312" w:hAnsi="仿宋_GB2312" w:eastAsia="仿宋_GB2312" w:cs="仿宋_GB2312"/>
          <w:b/>
          <w:color w:val="000000"/>
          <w:sz w:val="21"/>
          <w:szCs w:val="21"/>
          <w:highlight w:val="none"/>
        </w:rPr>
      </w:pPr>
      <w:r>
        <w:rPr>
          <w:rFonts w:hint="eastAsia" w:ascii="仿宋_GB2312" w:hAnsi="仿宋_GB2312" w:eastAsia="仿宋_GB2312" w:cs="仿宋_GB2312"/>
          <w:b/>
          <w:color w:val="000000"/>
          <w:sz w:val="21"/>
          <w:szCs w:val="21"/>
          <w:highlight w:val="none"/>
        </w:rPr>
        <w:t>第九条  违约责任</w:t>
      </w:r>
    </w:p>
    <w:p>
      <w:pPr>
        <w:spacing w:line="360" w:lineRule="auto"/>
        <w:ind w:firstLine="420" w:firstLineChars="200"/>
        <w:jc w:val="both"/>
        <w:rPr>
          <w:rFonts w:hint="eastAsia" w:ascii="仿宋_GB2312" w:hAnsi="仿宋_GB2312" w:eastAsia="仿宋_GB2312" w:cs="仿宋_GB2312"/>
          <w:color w:val="000000"/>
          <w:sz w:val="21"/>
          <w:szCs w:val="21"/>
          <w:highlight w:val="none"/>
          <w:lang w:val="zh-CN"/>
        </w:rPr>
      </w:pPr>
      <w:r>
        <w:rPr>
          <w:rFonts w:hint="eastAsia" w:ascii="仿宋_GB2312" w:hAnsi="仿宋_GB2312" w:eastAsia="仿宋_GB2312" w:cs="仿宋_GB2312"/>
          <w:color w:val="000000"/>
          <w:sz w:val="21"/>
          <w:szCs w:val="21"/>
          <w:highlight w:val="none"/>
          <w:lang w:val="zh-CN"/>
        </w:rPr>
        <w:t>9.1乙方逾期交货的，乙方每日应当按总货款1‰的标准支付给甲方违约金；若此违约金不足以弥补甲方损失的，乙方应当按本合同总价的5%向甲方支付违约金。逾期交货超过30日的，甲方有权单方面解除本合同，乙方须退还甲方已支付的全部款项并承担本合同总价的10%违约金，给甲方带来其他损失的，由乙方全部承担。</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9.2乙方违反本合同约定擅自发货或者提前到货的，甲方有权拒验货物，乙方承担一切责任。</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9.3 因货物的包装、品种、型号、规格、数量等问题致使未通过交货清点的，视为乙方没有交货，因此造成逾期交货的，按照本合同上述逾期交货的有关约定执行。</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9.4 禁止权利义务转让：乙方不得将其在本合同项下无论是全部的还是部分的权利或义务转让给第三方。乙方将其合同权利或义务转让的，视为乙方违约，乙方应向甲方支付本合同总价的</w:t>
      </w:r>
      <w:r>
        <w:rPr>
          <w:rFonts w:hint="eastAsia" w:ascii="仿宋_GB2312" w:hAnsi="仿宋_GB2312" w:eastAsia="仿宋_GB2312" w:cs="仿宋_GB2312"/>
          <w:color w:val="000000"/>
          <w:kern w:val="2"/>
          <w:sz w:val="20"/>
          <w:szCs w:val="20"/>
          <w:highlight w:val="none"/>
          <w:u w:val="single"/>
          <w:lang w:val="zh-CN" w:eastAsia="zh-CN" w:bidi="ar-SA"/>
        </w:rPr>
        <w:t>10%</w:t>
      </w:r>
      <w:r>
        <w:rPr>
          <w:rFonts w:hint="eastAsia" w:ascii="仿宋_GB2312" w:hAnsi="仿宋_GB2312" w:eastAsia="仿宋_GB2312" w:cs="仿宋_GB2312"/>
          <w:color w:val="000000"/>
          <w:kern w:val="2"/>
          <w:sz w:val="20"/>
          <w:szCs w:val="20"/>
          <w:highlight w:val="none"/>
          <w:lang w:val="zh-CN" w:eastAsia="zh-CN" w:bidi="ar-SA"/>
        </w:rPr>
        <w:t>的违约金。</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9.5 不允许分包和转包，不允许乙方委托其他厂家生产、安装电梯设备，一旦发现视为乙方违约，乙方应向甲方支付本合同总价的</w:t>
      </w:r>
      <w:r>
        <w:rPr>
          <w:rFonts w:hint="eastAsia" w:ascii="仿宋_GB2312" w:hAnsi="仿宋_GB2312" w:eastAsia="仿宋_GB2312" w:cs="仿宋_GB2312"/>
          <w:color w:val="000000"/>
          <w:kern w:val="2"/>
          <w:sz w:val="20"/>
          <w:szCs w:val="20"/>
          <w:highlight w:val="none"/>
          <w:u w:val="single"/>
          <w:lang w:val="zh-CN" w:eastAsia="zh-CN" w:bidi="ar-SA"/>
        </w:rPr>
        <w:t>10%</w:t>
      </w:r>
      <w:r>
        <w:rPr>
          <w:rFonts w:hint="eastAsia" w:ascii="仿宋_GB2312" w:hAnsi="仿宋_GB2312" w:eastAsia="仿宋_GB2312" w:cs="仿宋_GB2312"/>
          <w:color w:val="000000"/>
          <w:kern w:val="2"/>
          <w:sz w:val="20"/>
          <w:szCs w:val="20"/>
          <w:highlight w:val="none"/>
          <w:lang w:val="zh-CN" w:eastAsia="zh-CN" w:bidi="ar-SA"/>
        </w:rPr>
        <w:t>的违约金。</w:t>
      </w:r>
    </w:p>
    <w:p>
      <w:pPr>
        <w:autoSpaceDE w:val="0"/>
        <w:autoSpaceDN w:val="0"/>
        <w:adjustRightInd w:val="0"/>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9.6 本合同生效后，如乙方不履行合同义务或单方面解除合同，乙方须退还甲方已支付的全部款项并承担本合同总价的5%违约金，给甲方带来其他损失的，由乙方全部承担。</w:t>
      </w:r>
    </w:p>
    <w:p>
      <w:pPr>
        <w:autoSpaceDE w:val="0"/>
        <w:autoSpaceDN w:val="0"/>
        <w:adjustRightInd w:val="0"/>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9.7 若甲方在验收  年后发现其技术参数、功能要求等未达到投标文件承诺的，乙方应在20日内无条件采取补救措施进行更换或补充，否则应按本合同总价的</w:t>
      </w:r>
      <w:r>
        <w:rPr>
          <w:rFonts w:hint="eastAsia" w:ascii="仿宋_GB2312" w:hAnsi="仿宋_GB2312" w:eastAsia="仿宋_GB2312" w:cs="仿宋_GB2312"/>
          <w:color w:val="000000"/>
          <w:sz w:val="21"/>
          <w:szCs w:val="21"/>
          <w:highlight w:val="none"/>
          <w:u w:val="single"/>
        </w:rPr>
        <w:t>10%</w:t>
      </w:r>
      <w:r>
        <w:rPr>
          <w:rFonts w:hint="eastAsia" w:ascii="仿宋_GB2312" w:hAnsi="仿宋_GB2312" w:eastAsia="仿宋_GB2312" w:cs="仿宋_GB2312"/>
          <w:color w:val="000000"/>
          <w:sz w:val="21"/>
          <w:szCs w:val="21"/>
          <w:highlight w:val="none"/>
        </w:rPr>
        <w:t>向甲方支付违约金。</w:t>
      </w:r>
    </w:p>
    <w:p>
      <w:pPr>
        <w:autoSpaceDE w:val="0"/>
        <w:autoSpaceDN w:val="0"/>
        <w:adjustRightInd w:val="0"/>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9.8 未按甲方合理要求的安装工期完成安装并通过验收的,乙方每日应该按总货款的1‰支付给甲方违约金；若此违约金不足以弥补甲方损失的，乙方应当按总货款的5%向甲方支付违约金。逾期超过30日的，甲方有权单方面解除本合同，乙方须退还甲方已支付的全部款项并承担合同总价款</w:t>
      </w:r>
      <w:r>
        <w:rPr>
          <w:rFonts w:hint="eastAsia" w:ascii="仿宋_GB2312" w:hAnsi="仿宋_GB2312" w:eastAsia="仿宋_GB2312" w:cs="仿宋_GB2312"/>
          <w:color w:val="000000"/>
          <w:sz w:val="21"/>
          <w:szCs w:val="21"/>
          <w:highlight w:val="none"/>
          <w:u w:val="single"/>
        </w:rPr>
        <w:t xml:space="preserve"> 5% </w:t>
      </w:r>
      <w:r>
        <w:rPr>
          <w:rFonts w:hint="eastAsia" w:ascii="仿宋_GB2312" w:hAnsi="仿宋_GB2312" w:eastAsia="仿宋_GB2312" w:cs="仿宋_GB2312"/>
          <w:color w:val="000000"/>
          <w:sz w:val="21"/>
          <w:szCs w:val="21"/>
          <w:highlight w:val="none"/>
        </w:rPr>
        <w:t>违约金，给甲方带来其他损失的，由乙方全部承担。</w:t>
      </w:r>
    </w:p>
    <w:p>
      <w:pPr>
        <w:autoSpaceDE w:val="0"/>
        <w:autoSpaceDN w:val="0"/>
        <w:adjustRightInd w:val="0"/>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9.9 因产品质量问题致使没有通过第一次验收的，乙方应立即无偿换货并向甲方支付</w:t>
      </w:r>
      <w:r>
        <w:rPr>
          <w:rFonts w:hint="eastAsia" w:ascii="仿宋_GB2312" w:hAnsi="仿宋_GB2312" w:eastAsia="仿宋_GB2312" w:cs="仿宋_GB2312"/>
          <w:color w:val="000000"/>
          <w:sz w:val="21"/>
          <w:szCs w:val="21"/>
          <w:highlight w:val="none"/>
          <w:u w:val="single"/>
        </w:rPr>
        <w:t xml:space="preserve"> /       元</w:t>
      </w:r>
      <w:r>
        <w:rPr>
          <w:rFonts w:hint="eastAsia" w:ascii="仿宋_GB2312" w:hAnsi="仿宋_GB2312" w:eastAsia="仿宋_GB2312" w:cs="仿宋_GB2312"/>
          <w:color w:val="000000"/>
          <w:sz w:val="21"/>
          <w:szCs w:val="21"/>
          <w:highlight w:val="none"/>
        </w:rPr>
        <w:t>违约金，赔偿因此给甲方及第三方造成的损失；乙方逾期</w:t>
      </w:r>
      <w:r>
        <w:rPr>
          <w:rFonts w:hint="eastAsia" w:ascii="仿宋_GB2312" w:hAnsi="仿宋_GB2312" w:eastAsia="仿宋_GB2312" w:cs="仿宋_GB2312"/>
          <w:color w:val="000000"/>
          <w:sz w:val="21"/>
          <w:szCs w:val="21"/>
          <w:highlight w:val="none"/>
          <w:u w:val="single"/>
        </w:rPr>
        <w:t>5</w:t>
      </w:r>
      <w:r>
        <w:rPr>
          <w:rFonts w:hint="eastAsia" w:ascii="仿宋_GB2312" w:hAnsi="仿宋_GB2312" w:eastAsia="仿宋_GB2312" w:cs="仿宋_GB2312"/>
          <w:color w:val="000000"/>
          <w:sz w:val="21"/>
          <w:szCs w:val="21"/>
          <w:highlight w:val="none"/>
        </w:rPr>
        <w:t>日未交送合格产品的，或者因为产品质量问题致使第二次没有通过验收的，乙方应向甲方退还所有已收款项，并赔偿因此给甲方及第三方造成的一切损失。</w:t>
      </w:r>
    </w:p>
    <w:p>
      <w:pPr>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9.10乙方承担因产品质量问题给甲方、第三方（包括但不限于施工人员）造成的一切损失。</w:t>
      </w:r>
    </w:p>
    <w:p>
      <w:pPr>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9.11电梯安装报建检验费用由乙方负责，乙方所安装电梯未通过当地技术监督部门的验收的，或由于产品质量或安装问题使本工程被建设行政主管部门通报批评、或被新闻媒体曝光的，均视为乙方违约，乙方须赔偿甲方合同总价</w:t>
      </w:r>
      <w:r>
        <w:rPr>
          <w:rFonts w:hint="eastAsia" w:ascii="仿宋_GB2312" w:hAnsi="仿宋_GB2312" w:eastAsia="仿宋_GB2312" w:cs="仿宋_GB2312"/>
          <w:color w:val="000000"/>
          <w:sz w:val="21"/>
          <w:szCs w:val="21"/>
          <w:highlight w:val="none"/>
          <w:u w:val="single"/>
        </w:rPr>
        <w:t xml:space="preserve">10% </w:t>
      </w:r>
      <w:r>
        <w:rPr>
          <w:rFonts w:hint="eastAsia" w:ascii="仿宋_GB2312" w:hAnsi="仿宋_GB2312" w:eastAsia="仿宋_GB2312" w:cs="仿宋_GB2312"/>
          <w:color w:val="000000"/>
          <w:sz w:val="21"/>
          <w:szCs w:val="21"/>
          <w:highlight w:val="none"/>
        </w:rPr>
        <w:t>的违约金，并承担对甲方造成的损失。另须整改直到通过当地技术监督部门的验收。</w:t>
      </w:r>
    </w:p>
    <w:p>
      <w:pPr>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9.12 乙方必须服从甲方现场项目部管理,电梯设备进场后必须参加项目例会；甲方通知乙方但乙方安装负责人缺席工程例会或其它会议的，乙方每次支付违约金 200 元；乙方管理人员、施工人员不服从甲方和监理工程师管理，辱骂、围攻甲方人员和监理工程师的，乙方须每人每次支付违约金</w:t>
      </w:r>
      <w:r>
        <w:rPr>
          <w:rFonts w:ascii="仿宋_GB2312" w:hAnsi="仿宋_GB2312" w:eastAsia="仿宋_GB2312" w:cs="仿宋_GB2312"/>
          <w:color w:val="000000"/>
          <w:sz w:val="21"/>
          <w:szCs w:val="21"/>
          <w:highlight w:val="none"/>
          <w:u w:val="single"/>
        </w:rPr>
        <w:t xml:space="preserve">  500  元</w:t>
      </w:r>
      <w:r>
        <w:rPr>
          <w:rFonts w:hint="eastAsia" w:ascii="仿宋_GB2312" w:hAnsi="仿宋_GB2312" w:eastAsia="仿宋_GB2312" w:cs="仿宋_GB2312"/>
          <w:color w:val="000000"/>
          <w:sz w:val="21"/>
          <w:szCs w:val="21"/>
          <w:highlight w:val="none"/>
        </w:rPr>
        <w:t xml:space="preserve">，相关责任人限期清退出场，情节严重的，承担相应法律责任； </w:t>
      </w:r>
    </w:p>
    <w:p>
      <w:pPr>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9.13 乙方不执行或延迟执行甲方发出的合理指令的，乙方每拒绝执行一次，或每延迟执行一天，应向甲方支付</w:t>
      </w:r>
      <w:r>
        <w:rPr>
          <w:rFonts w:hint="eastAsia" w:ascii="仿宋_GB2312" w:hAnsi="仿宋_GB2312" w:eastAsia="仿宋_GB2312" w:cs="仿宋_GB2312"/>
          <w:color w:val="000000"/>
          <w:sz w:val="21"/>
          <w:szCs w:val="21"/>
          <w:highlight w:val="none"/>
          <w:u w:val="single"/>
        </w:rPr>
        <w:t xml:space="preserve">  1000 元/次/天</w:t>
      </w:r>
      <w:r>
        <w:rPr>
          <w:rFonts w:hint="eastAsia" w:ascii="仿宋_GB2312" w:hAnsi="仿宋_GB2312" w:eastAsia="仿宋_GB2312" w:cs="仿宋_GB2312"/>
          <w:color w:val="000000"/>
          <w:sz w:val="21"/>
          <w:szCs w:val="21"/>
          <w:highlight w:val="none"/>
        </w:rPr>
        <w:t>的违约金。</w:t>
      </w:r>
    </w:p>
    <w:p>
      <w:pPr>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9.14 乙方不得以任何理由擅自停工及消极怠工，或采取吵闹、围攻、上访、威胁等行为，出现上述情况乙方承担违约金</w:t>
      </w:r>
      <w:r>
        <w:rPr>
          <w:rFonts w:hint="eastAsia" w:ascii="仿宋_GB2312" w:hAnsi="仿宋_GB2312" w:eastAsia="仿宋_GB2312" w:cs="仿宋_GB2312"/>
          <w:color w:val="000000"/>
          <w:sz w:val="21"/>
          <w:szCs w:val="21"/>
          <w:highlight w:val="none"/>
          <w:u w:val="single"/>
        </w:rPr>
        <w:t>1</w:t>
      </w:r>
      <w:r>
        <w:rPr>
          <w:rFonts w:hint="eastAsia" w:ascii="仿宋_GB2312" w:hAnsi="仿宋_GB2312" w:eastAsia="仿宋_GB2312" w:cs="仿宋_GB2312"/>
          <w:color w:val="000000"/>
          <w:sz w:val="21"/>
          <w:szCs w:val="21"/>
          <w:highlight w:val="none"/>
        </w:rPr>
        <w:t>万元，并承担由此给甲方造成的一切损失及责任。</w:t>
      </w:r>
    </w:p>
    <w:p>
      <w:pPr>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9.15 乙方在移交工程的同时，未能按甲方及其他行政部门要求向城建档案馆及甲方移交竣工验收备案资料及其它资料的，每迟延一天，乙方应向甲方支付</w:t>
      </w:r>
      <w:r>
        <w:rPr>
          <w:rFonts w:hint="eastAsia" w:ascii="仿宋_GB2312" w:hAnsi="仿宋_GB2312" w:eastAsia="仿宋_GB2312" w:cs="仿宋_GB2312"/>
          <w:color w:val="000000"/>
          <w:sz w:val="21"/>
          <w:szCs w:val="21"/>
          <w:highlight w:val="none"/>
          <w:shd w:val="clear" w:fill="FFFFFF"/>
          <w:lang w:val="zh-CN"/>
        </w:rPr>
        <w:t>违约金</w:t>
      </w:r>
      <w:r>
        <w:rPr>
          <w:rFonts w:hint="eastAsia" w:ascii="仿宋_GB2312" w:hAnsi="仿宋_GB2312" w:eastAsia="仿宋_GB2312" w:cs="仿宋_GB2312"/>
          <w:color w:val="000000"/>
          <w:sz w:val="21"/>
          <w:szCs w:val="21"/>
          <w:highlight w:val="none"/>
          <w:u w:val="single"/>
          <w:shd w:val="clear" w:fill="FFFFFF"/>
          <w:lang w:val="zh-CN"/>
        </w:rPr>
        <w:t xml:space="preserve">   1000   元</w:t>
      </w:r>
      <w:r>
        <w:rPr>
          <w:rFonts w:hint="eastAsia" w:ascii="仿宋_GB2312" w:hAnsi="仿宋_GB2312" w:eastAsia="仿宋_GB2312" w:cs="仿宋_GB2312"/>
          <w:color w:val="000000"/>
          <w:sz w:val="21"/>
          <w:szCs w:val="21"/>
          <w:highlight w:val="none"/>
          <w:shd w:val="clear" w:fill="FFFFFF"/>
          <w:lang w:val="zh-CN"/>
        </w:rPr>
        <w:t>/</w:t>
      </w:r>
      <w:r>
        <w:rPr>
          <w:rFonts w:hint="eastAsia" w:ascii="仿宋_GB2312" w:hAnsi="仿宋_GB2312" w:eastAsia="仿宋_GB2312" w:cs="仿宋_GB2312"/>
          <w:color w:val="000000"/>
          <w:sz w:val="21"/>
          <w:szCs w:val="21"/>
          <w:highlight w:val="none"/>
          <w:u w:val="single"/>
        </w:rPr>
        <w:t>天</w:t>
      </w:r>
      <w:r>
        <w:rPr>
          <w:rFonts w:hint="eastAsia" w:ascii="仿宋_GB2312" w:hAnsi="仿宋_GB2312" w:eastAsia="仿宋_GB2312" w:cs="仿宋_GB2312"/>
          <w:color w:val="000000"/>
          <w:sz w:val="21"/>
          <w:szCs w:val="21"/>
          <w:highlight w:val="none"/>
        </w:rPr>
        <w:t>。</w:t>
      </w:r>
    </w:p>
    <w:p>
      <w:pPr>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9.16乙方达不到本合同安全文明施工的要求，达不到《建筑施工安全检查标准》（JGJ59-2011）要求，每次赔偿甲方违约金</w:t>
      </w:r>
      <w:r>
        <w:rPr>
          <w:rFonts w:ascii="仿宋_GB2312" w:hAnsi="仿宋_GB2312" w:eastAsia="仿宋_GB2312" w:cs="仿宋_GB2312"/>
          <w:color w:val="000000"/>
          <w:sz w:val="21"/>
          <w:szCs w:val="21"/>
          <w:highlight w:val="none"/>
          <w:u w:val="single"/>
        </w:rPr>
        <w:t xml:space="preserve">  1000 </w:t>
      </w:r>
      <w:r>
        <w:rPr>
          <w:rFonts w:hint="eastAsia" w:ascii="仿宋_GB2312" w:hAnsi="仿宋_GB2312" w:eastAsia="仿宋_GB2312" w:cs="仿宋_GB2312"/>
          <w:color w:val="000000"/>
          <w:sz w:val="21"/>
          <w:szCs w:val="21"/>
          <w:highlight w:val="none"/>
        </w:rPr>
        <w:t>元；</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9.17 本合同生效后，如乙方不履行合同义务或单方面解除合同，乙方须退还甲方已支付额全部款项并承担合同总价款5%违约金，给甲方带来其他损失的，由乙方全部承担（包括甲方为实现债权所支付的律师费、诉讼费、诉讼保全费、保全担保费等）。</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ascii="仿宋_GB2312" w:hAnsi="仿宋_GB2312" w:eastAsia="仿宋_GB2312" w:cs="仿宋_GB2312"/>
          <w:color w:val="000000"/>
          <w:kern w:val="2"/>
          <w:sz w:val="20"/>
          <w:szCs w:val="20"/>
          <w:highlight w:val="none"/>
          <w:lang w:val="zh-CN" w:eastAsia="zh-CN" w:bidi="ar-SA"/>
        </w:rPr>
        <w:t>9.18 乙方违反本合同任何条款约定的，除按本条相应约定承担违约责任外，还应赔偿甲方因此遭受的全部损失，包括但不限于直接损失、间接损失、预期利益损失、为解决争议支出的律师费、诉讼费、保全费、鉴定费、公证费、差旅费等全部费用。</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ascii="仿宋_GB2312" w:hAnsi="仿宋_GB2312" w:eastAsia="仿宋_GB2312" w:cs="仿宋_GB2312"/>
          <w:color w:val="000000"/>
          <w:kern w:val="2"/>
          <w:sz w:val="20"/>
          <w:szCs w:val="20"/>
          <w:highlight w:val="none"/>
          <w:lang w:val="zh-CN" w:eastAsia="zh-CN" w:bidi="ar-SA"/>
        </w:rPr>
        <w:t>9.19 若乙方存在本合同约定的多种违约情形的，甲方有权分别主张相应的违约金，乙方应累计承担。乙方违约给甲方造成的损失超过违约金数额的，甲方有权就不足部分继续向乙方追偿。</w:t>
      </w:r>
    </w:p>
    <w:p>
      <w:pPr>
        <w:widowControl w:val="0"/>
        <w:spacing w:line="360" w:lineRule="auto"/>
        <w:ind w:firstLine="402" w:firstLineChars="200"/>
        <w:jc w:val="both"/>
        <w:rPr>
          <w:rFonts w:hint="eastAsia" w:ascii="仿宋_GB2312" w:hAnsi="仿宋_GB2312" w:eastAsia="仿宋_GB2312" w:cs="仿宋_GB2312"/>
          <w:b/>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lang w:val="zh-CN" w:eastAsia="zh-CN" w:bidi="ar-SA"/>
        </w:rPr>
        <w:t>第十条  不可抗力</w:t>
      </w:r>
    </w:p>
    <w:p>
      <w:pPr>
        <w:widowControl w:val="0"/>
        <w:spacing w:line="360" w:lineRule="auto"/>
        <w:ind w:firstLine="402" w:firstLineChars="200"/>
        <w:jc w:val="both"/>
        <w:rPr>
          <w:rFonts w:hint="eastAsia" w:ascii="仿宋_GB2312" w:hAnsi="仿宋_GB2312" w:eastAsia="仿宋_GB2312" w:cs="仿宋_GB2312"/>
          <w:b/>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shd w:val="clear" w:fill="FFFFFF"/>
          <w:lang w:val="zh-CN" w:eastAsia="zh-CN" w:bidi="ar-SA"/>
        </w:rPr>
        <w:t>10.1 不可抗力是指任何提出不可抗力事件的一方所不能合理控制其在该方没有过错或过失的情况下发生的任何事件、条件或情况，包括暴风雪、闪电、洪水、台风、火灾、飓风、地震、山崩、战争、封锁、恐怖主义事件、暴乱、动乱、罢工、破坏活动或其他类似的自然或社会事件及合同一方供应商所遭遇的类似事件。且在该等事件发生后，尽管提出不可抗力的一方已采取合理的措施阻止其发生或将事件的负面影响降低到最小，但该等事件仍导致该方延迟或中断履行其在本合同项下的义务。</w:t>
      </w:r>
    </w:p>
    <w:p>
      <w:pPr>
        <w:widowControl w:val="0"/>
        <w:spacing w:line="360" w:lineRule="auto"/>
        <w:ind w:firstLine="402" w:firstLineChars="200"/>
        <w:jc w:val="both"/>
        <w:rPr>
          <w:rFonts w:hint="eastAsia" w:ascii="仿宋_GB2312" w:hAnsi="仿宋_GB2312" w:eastAsia="仿宋_GB2312" w:cs="仿宋_GB2312"/>
          <w:b/>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shd w:val="clear" w:fill="FFFFFF"/>
          <w:lang w:val="zh-CN" w:eastAsia="zh-CN" w:bidi="ar-SA"/>
        </w:rPr>
        <w:t>10.2  不可抗力发生后，受影响方（甲方或乙方）应立即将不可抗力发生的情况通知另一方（乙方或甲方），并应在不可抗力事件发生后三十天内提供由官方机构出具的不可抗力事件证明。</w:t>
      </w:r>
    </w:p>
    <w:p>
      <w:pPr>
        <w:widowControl w:val="0"/>
        <w:spacing w:line="360" w:lineRule="auto"/>
        <w:ind w:firstLine="402" w:firstLineChars="200"/>
        <w:jc w:val="both"/>
        <w:rPr>
          <w:rFonts w:hint="eastAsia" w:ascii="仿宋_GB2312" w:hAnsi="仿宋_GB2312" w:eastAsia="仿宋_GB2312" w:cs="仿宋_GB2312"/>
          <w:b/>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lang w:val="zh-CN" w:eastAsia="zh-CN" w:bidi="ar-SA"/>
        </w:rPr>
        <w:t>第十一条  合同变更、解除和终止</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 xml:space="preserve">11.1 </w:t>
      </w:r>
      <w:r>
        <w:rPr>
          <w:rFonts w:hint="eastAsia" w:ascii="仿宋_GB2312" w:hAnsi="仿宋_GB2312" w:eastAsia="仿宋_GB2312" w:cs="仿宋_GB2312"/>
          <w:color w:val="000000"/>
          <w:kern w:val="2"/>
          <w:sz w:val="20"/>
          <w:szCs w:val="20"/>
          <w:highlight w:val="none"/>
          <w:shd w:val="clear" w:fill="FFFFFF"/>
          <w:lang w:val="zh-CN" w:eastAsia="zh-CN" w:bidi="ar-SA"/>
        </w:rPr>
        <w:t>合同变更事项双方需另签合同补充协议，并经双方盖章后生效。</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11.2 当下列任何一种情形出现时，本合同另一方可立即终止本合同的全部或者部分：</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11.2.1合同一方停业或者与履行合同相关的任何许可证被吊销，或者被解散、终止、清算、宣告破产或兼并；</w:t>
      </w:r>
    </w:p>
    <w:p>
      <w:pPr>
        <w:widowControl w:val="0"/>
        <w:spacing w:line="360" w:lineRule="auto"/>
        <w:ind w:firstLine="400" w:firstLineChars="200"/>
        <w:jc w:val="both"/>
        <w:rPr>
          <w:rFonts w:hint="eastAsia" w:ascii="仿宋_GB2312" w:hAnsi="仿宋_GB2312" w:eastAsia="仿宋_GB2312" w:cs="仿宋_GB2312"/>
          <w:color w:val="000000"/>
          <w:kern w:val="2"/>
          <w:sz w:val="20"/>
          <w:szCs w:val="20"/>
          <w:highlight w:val="none"/>
          <w:shd w:val="clear" w:fill="FFFFFF"/>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 xml:space="preserve">11.2.2  </w:t>
      </w:r>
      <w:r>
        <w:rPr>
          <w:rFonts w:hint="eastAsia" w:ascii="仿宋_GB2312" w:hAnsi="仿宋_GB2312" w:eastAsia="仿宋_GB2312" w:cs="仿宋_GB2312"/>
          <w:color w:val="000000"/>
          <w:kern w:val="2"/>
          <w:sz w:val="20"/>
          <w:szCs w:val="20"/>
          <w:highlight w:val="none"/>
          <w:shd w:val="clear" w:fill="FFFFFF"/>
          <w:lang w:val="zh-CN" w:eastAsia="zh-CN" w:bidi="ar-SA"/>
        </w:rPr>
        <w:t>合同一方财产被查封，导致严重损害履约能力的。</w:t>
      </w:r>
    </w:p>
    <w:p>
      <w:pPr>
        <w:widowControl w:val="0"/>
        <w:spacing w:line="360" w:lineRule="auto"/>
        <w:ind w:firstLine="400" w:firstLineChars="200"/>
        <w:jc w:val="both"/>
        <w:rPr>
          <w:rFonts w:hint="default" w:ascii="仿宋_GB2312" w:hAnsi="仿宋_GB2312" w:eastAsia="仿宋_GB2312" w:cs="仿宋_GB2312"/>
          <w:color w:val="000000"/>
          <w:kern w:val="2"/>
          <w:sz w:val="20"/>
          <w:szCs w:val="20"/>
          <w:highlight w:val="none"/>
          <w:shd w:val="clear" w:fill="FFFFFF"/>
          <w:lang w:val="en-US" w:eastAsia="zh-CN" w:bidi="ar-SA"/>
        </w:rPr>
      </w:pPr>
      <w:r>
        <w:rPr>
          <w:rFonts w:hint="eastAsia" w:ascii="仿宋_GB2312" w:hAnsi="仿宋_GB2312" w:eastAsia="仿宋_GB2312" w:cs="仿宋_GB2312"/>
          <w:color w:val="000000"/>
          <w:kern w:val="2"/>
          <w:sz w:val="20"/>
          <w:szCs w:val="20"/>
          <w:highlight w:val="none"/>
          <w:shd w:val="clear" w:fill="FFFFFF"/>
          <w:lang w:val="en-US" w:eastAsia="zh-CN" w:bidi="ar-SA"/>
        </w:rPr>
        <w:t>11.2.3 乙方有下列情形之一的，甲方有权单方解除合同，乙方应退还甲方已支付的全部款项，承担合同总价款10%的违约金，并赔偿甲方全部损失：（1）乙方明确表示或以行为表明不履行合同主要义务的；（2）乙方迟延履行主要义务，经甲方催告后在合理期限内仍未履行的；（3）乙方的违约行为致使合同目的不能实现的；（4）乙方被吊销营业执照、资质证书或进入破产、清算程序的；（5）乙方发生其他严重违约行为的。</w:t>
      </w:r>
    </w:p>
    <w:p>
      <w:pPr>
        <w:widowControl w:val="0"/>
        <w:spacing w:line="360" w:lineRule="auto"/>
        <w:ind w:firstLine="402" w:firstLineChars="200"/>
        <w:jc w:val="both"/>
        <w:rPr>
          <w:rFonts w:hint="eastAsia" w:ascii="仿宋_GB2312" w:hAnsi="仿宋_GB2312" w:eastAsia="仿宋_GB2312" w:cs="仿宋_GB2312"/>
          <w:b/>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lang w:val="zh-CN" w:eastAsia="zh-CN" w:bidi="ar-SA"/>
        </w:rPr>
        <w:t>第十二条  知识产权及保密</w:t>
      </w:r>
    </w:p>
    <w:p>
      <w:pPr>
        <w:autoSpaceDE w:val="0"/>
        <w:autoSpaceDN w:val="0"/>
        <w:adjustRightInd w:val="0"/>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12.1 乙方须保障甲方在中华人民共和国领域内使用该设备、服务及其它任何部分不受到第三方关于侵犯专利、商标和工业设计权的指控，任何第三方如果提出侵权指控，乙方必须与第三方交涉并承担因此产生的一切法律责任和损失。</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12.2 除本合同及相关附件中另有规定外，乙方免费向甲方提供与合同设备相符的中文技术资料，提供的套数按甲方的要求。</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12.3</w:t>
      </w:r>
      <w:r>
        <w:rPr>
          <w:rFonts w:hint="eastAsia" w:ascii="仿宋_GB2312" w:hAnsi="仿宋_GB2312" w:eastAsia="仿宋_GB2312" w:cs="仿宋_GB2312"/>
          <w:color w:val="000000"/>
          <w:kern w:val="2"/>
          <w:sz w:val="20"/>
          <w:szCs w:val="20"/>
          <w:highlight w:val="none"/>
          <w:shd w:val="clear" w:fill="FFFFFF"/>
          <w:lang w:val="zh-CN" w:eastAsia="zh-CN" w:bidi="ar-SA"/>
        </w:rPr>
        <w:t>本合同与其所有附件均属商业秘密，未经同意，任何一方不得向第三方透露本合同的条款内容。</w:t>
      </w:r>
    </w:p>
    <w:p>
      <w:pPr>
        <w:widowControl w:val="0"/>
        <w:numPr>
          <w:ilvl w:val="0"/>
          <w:numId w:val="11"/>
        </w:numPr>
        <w:spacing w:line="360" w:lineRule="auto"/>
        <w:ind w:firstLine="402" w:firstLineChars="200"/>
        <w:jc w:val="both"/>
        <w:rPr>
          <w:rFonts w:hint="eastAsia" w:ascii="仿宋_GB2312" w:hAnsi="仿宋_GB2312" w:eastAsia="仿宋_GB2312" w:cs="仿宋_GB2312"/>
          <w:b/>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lang w:val="zh-CN" w:eastAsia="zh-CN" w:bidi="ar-SA"/>
        </w:rPr>
        <w:t xml:space="preserve"> 通知和送达    </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为更好地履行本合同，双方提供如下联系方式：</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1.甲方联系方式：</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邮寄地址： 云南省安宁市昆钢景西花园北组团兴达物业公司</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 xml:space="preserve">联 系 人：                                </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 xml:space="preserve">电    话：                         </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 xml:space="preserve">电子邮箱：                                  </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2.乙方联系方式：</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 xml:space="preserve">邮寄地址：       </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 xml:space="preserve">联 系 人：                             </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 xml:space="preserve">电    话：                      </w:t>
      </w:r>
    </w:p>
    <w:p>
      <w:pPr>
        <w:widowControl w:val="0"/>
        <w:numPr>
          <w:ilvl w:val="0"/>
          <w:numId w:val="12"/>
        </w:numPr>
        <w:spacing w:line="360" w:lineRule="auto"/>
        <w:ind w:left="420" w:hanging="420" w:firstLineChars="0"/>
        <w:jc w:val="both"/>
        <w:rPr>
          <w:rFonts w:hint="eastAsia" w:ascii="仿宋_GB2312" w:hAnsi="仿宋_GB2312" w:eastAsia="仿宋_GB2312" w:cs="仿宋_GB2312"/>
          <w:b/>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shd w:val="clear" w:fill="FFFFFF"/>
          <w:lang w:val="zh-CN" w:eastAsia="zh-CN" w:bidi="ar-SA"/>
        </w:rPr>
        <w:t xml:space="preserve">电子邮箱：             </w:t>
      </w:r>
      <w:r>
        <w:rPr>
          <w:rFonts w:hint="eastAsia" w:ascii="仿宋_GB2312" w:hAnsi="仿宋_GB2312" w:eastAsia="仿宋_GB2312" w:cs="仿宋_GB2312"/>
          <w:b/>
          <w:color w:val="000000"/>
          <w:kern w:val="2"/>
          <w:sz w:val="20"/>
          <w:szCs w:val="20"/>
          <w:highlight w:val="none"/>
          <w:lang w:val="zh-CN" w:eastAsia="zh-CN" w:bidi="ar-SA"/>
        </w:rPr>
        <w:t xml:space="preserve">               </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甲乙双方因履行本合同而相互发出或者提供的所有通知、文件、资料，均以本合同所列明的地址送达。一方如果迁址或者变更电话，应当书面通知对方。通过传真或电子邮件方式的，在发出时视为送达；以邮寄方式的，挂号信件或者邮政特快（包括其他公认快递）专递收到当日视为送达；未及时通知对方所造成的损失，由未通知方承担。</w:t>
      </w:r>
    </w:p>
    <w:p>
      <w:pPr>
        <w:widowControl w:val="0"/>
        <w:spacing w:line="360" w:lineRule="auto"/>
        <w:ind w:firstLine="402" w:firstLineChars="200"/>
        <w:jc w:val="both"/>
        <w:rPr>
          <w:rFonts w:hint="eastAsia" w:ascii="仿宋_GB2312" w:hAnsi="仿宋_GB2312" w:eastAsia="仿宋_GB2312" w:cs="仿宋_GB2312"/>
          <w:b/>
          <w:color w:val="000000"/>
          <w:kern w:val="2"/>
          <w:sz w:val="21"/>
          <w:szCs w:val="20"/>
          <w:highlight w:val="none"/>
          <w:shd w:val="clear" w:color="auto" w:fill="FFFFFF"/>
          <w:lang w:val="zh-CN" w:eastAsia="zh-CN" w:bidi="ar-SA"/>
        </w:rPr>
      </w:pPr>
      <w:r>
        <w:rPr>
          <w:rFonts w:hint="eastAsia" w:ascii="仿宋_GB2312" w:hAnsi="仿宋_GB2312" w:eastAsia="仿宋_GB2312" w:cs="仿宋_GB2312"/>
          <w:b/>
          <w:color w:val="000000"/>
          <w:kern w:val="2"/>
          <w:sz w:val="20"/>
          <w:szCs w:val="20"/>
          <w:highlight w:val="none"/>
          <w:shd w:val="clear" w:fill="FFFFFF"/>
          <w:lang w:val="zh-CN" w:eastAsia="zh-CN" w:bidi="ar-SA"/>
        </w:rPr>
        <w:t>第十四条  争议解决方式</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本协议在履行过程中发生任何争议及问题，双方应当友好协商解决，协商解决不了的，任一方均可向项目所在地人民法院提起诉讼，且诉讼过程中产生的诉讼费、律师费等费用均由违约方承担</w:t>
      </w:r>
      <w:r>
        <w:rPr>
          <w:rFonts w:ascii="仿宋_GB2312" w:hAnsi="仿宋_GB2312" w:eastAsia="仿宋_GB2312" w:cs="仿宋_GB2312"/>
          <w:color w:val="000000"/>
          <w:kern w:val="2"/>
          <w:sz w:val="20"/>
          <w:szCs w:val="20"/>
          <w:highlight w:val="none"/>
          <w:lang w:val="zh-CN" w:eastAsia="zh-CN" w:bidi="ar-SA"/>
        </w:rPr>
        <w:t>；仲裁或诉讼期间，双方应继续履行本合同未涉争议部分的条款</w:t>
      </w:r>
      <w:r>
        <w:rPr>
          <w:rFonts w:hint="eastAsia" w:ascii="仿宋_GB2312" w:hAnsi="仿宋_GB2312" w:eastAsia="仿宋_GB2312" w:cs="仿宋_GB2312"/>
          <w:color w:val="000000"/>
          <w:kern w:val="2"/>
          <w:sz w:val="20"/>
          <w:szCs w:val="20"/>
          <w:highlight w:val="none"/>
          <w:lang w:val="zh-CN" w:eastAsia="zh-CN" w:bidi="ar-SA"/>
        </w:rPr>
        <w:t>。</w:t>
      </w:r>
    </w:p>
    <w:p>
      <w:pPr>
        <w:widowControl w:val="0"/>
        <w:spacing w:line="360" w:lineRule="auto"/>
        <w:ind w:firstLine="402" w:firstLineChars="200"/>
        <w:jc w:val="both"/>
        <w:rPr>
          <w:rFonts w:hint="eastAsia" w:ascii="仿宋_GB2312" w:hAnsi="仿宋_GB2312" w:eastAsia="仿宋_GB2312" w:cs="仿宋_GB2312"/>
          <w:b/>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lang w:val="zh-CN" w:eastAsia="zh-CN" w:bidi="ar-SA"/>
        </w:rPr>
        <w:t>第十五条  其他事项</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15.1 本合同及所有附件、包括补充协议或变更协议（如有），双方加盖合同专用章或公章、乙方提交履约保证金（金额为合同总价款的5%，在合同签订后5个工作日内递交甲方）后生效。履约保证金在全部电梯验收合格并交付使用后，扣除应由乙方承担的费用后按照同期利息进行退还。若乙方违约，甲方有权从履约保证金中直接扣除相应违约金、赔偿金。</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shd w:val="clear" w:color="auto" w:fill="FFFFFF"/>
          <w:lang w:val="zh-CN" w:eastAsia="zh-CN" w:bidi="ar-SA"/>
        </w:rPr>
      </w:pPr>
      <w:r>
        <w:rPr>
          <w:rFonts w:hint="eastAsia" w:ascii="仿宋_GB2312" w:hAnsi="仿宋_GB2312" w:eastAsia="仿宋_GB2312" w:cs="仿宋_GB2312"/>
          <w:color w:val="000000"/>
          <w:kern w:val="2"/>
          <w:sz w:val="20"/>
          <w:szCs w:val="20"/>
          <w:highlight w:val="none"/>
          <w:shd w:val="clear" w:fill="FFFFFF"/>
          <w:lang w:val="zh-CN" w:eastAsia="zh-CN" w:bidi="ar-SA"/>
        </w:rPr>
        <w:t>15.2 甲乙双方于本合同签订前如有关于该项目的其他文件与本合同冲突的，则以本合同约定为准。本合同所有附件，均为本合同不可分割的组成部分，与本合同具有同等的法律效力。</w:t>
      </w:r>
    </w:p>
    <w:p>
      <w:pPr>
        <w:widowControl w:val="0"/>
        <w:spacing w:line="360" w:lineRule="auto"/>
        <w:ind w:firstLine="400"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color w:val="000000"/>
          <w:kern w:val="2"/>
          <w:sz w:val="20"/>
          <w:szCs w:val="20"/>
          <w:highlight w:val="none"/>
          <w:lang w:val="zh-CN" w:eastAsia="zh-CN" w:bidi="ar-SA"/>
        </w:rPr>
        <w:t>15.3 未尽事宜，双方另行签订补充协议，补充协议与本合同具备同等法律效力。</w:t>
      </w:r>
    </w:p>
    <w:p>
      <w:pPr>
        <w:widowControl w:val="0"/>
        <w:spacing w:line="360" w:lineRule="auto"/>
        <w:ind w:firstLine="402" w:firstLineChars="200"/>
        <w:jc w:val="both"/>
        <w:rPr>
          <w:rFonts w:hint="eastAsia" w:ascii="仿宋_GB2312" w:hAnsi="仿宋_GB2312" w:eastAsia="仿宋_GB2312" w:cs="仿宋_GB2312"/>
          <w:b/>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lang w:val="zh-CN" w:eastAsia="zh-CN" w:bidi="ar-SA"/>
        </w:rPr>
        <w:t>15.4 本合同一式六份，甲方执三份，乙方执三份，具同等法律效力。</w:t>
      </w:r>
    </w:p>
    <w:p>
      <w:pPr>
        <w:widowControl w:val="0"/>
        <w:spacing w:line="360" w:lineRule="auto"/>
        <w:ind w:firstLine="402" w:firstLineChars="200"/>
        <w:jc w:val="both"/>
        <w:rPr>
          <w:rFonts w:hint="eastAsia" w:ascii="仿宋_GB2312" w:hAnsi="仿宋_GB2312" w:eastAsia="仿宋_GB2312" w:cs="仿宋_GB2312"/>
          <w:color w:val="000000"/>
          <w:kern w:val="2"/>
          <w:sz w:val="21"/>
          <w:szCs w:val="20"/>
          <w:highlight w:val="none"/>
          <w:lang w:val="zh-CN" w:eastAsia="zh-CN" w:bidi="ar-SA"/>
        </w:rPr>
      </w:pPr>
      <w:r>
        <w:rPr>
          <w:rFonts w:hint="eastAsia" w:ascii="仿宋_GB2312" w:hAnsi="仿宋_GB2312" w:eastAsia="仿宋_GB2312" w:cs="仿宋_GB2312"/>
          <w:b/>
          <w:color w:val="000000"/>
          <w:kern w:val="2"/>
          <w:sz w:val="20"/>
          <w:szCs w:val="20"/>
          <w:highlight w:val="none"/>
          <w:lang w:val="zh-CN" w:eastAsia="zh-CN" w:bidi="ar-SA"/>
        </w:rPr>
        <w:t>第十六条  合同附件</w:t>
      </w:r>
    </w:p>
    <w:p>
      <w:pPr>
        <w:spacing w:line="360" w:lineRule="auto"/>
        <w:ind w:left="420" w:left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附件1、设备规格参数表</w:t>
      </w:r>
    </w:p>
    <w:tbl>
      <w:tblPr>
        <w:tblStyle w:val="45"/>
        <w:tblW w:w="8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8"/>
        <w:gridCol w:w="43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348" w:type="dxa"/>
            <w:noWrap w:val="0"/>
            <w:vAlign w:val="top"/>
          </w:tcPr>
          <w:p>
            <w:pPr>
              <w:adjustRightInd w:val="0"/>
              <w:snapToGrid w:val="0"/>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甲 方</w:t>
            </w:r>
          </w:p>
          <w:p>
            <w:pPr>
              <w:adjustRightInd w:val="0"/>
              <w:snapToGrid w:val="0"/>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单位名称（章）：</w:t>
            </w:r>
          </w:p>
          <w:p>
            <w:pPr>
              <w:adjustRightInd w:val="0"/>
              <w:snapToGrid w:val="0"/>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单位地址：</w:t>
            </w:r>
          </w:p>
          <w:p>
            <w:pPr>
              <w:adjustRightInd w:val="0"/>
              <w:snapToGrid w:val="0"/>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法定代表人：</w:t>
            </w:r>
          </w:p>
          <w:p>
            <w:pPr>
              <w:adjustRightInd w:val="0"/>
              <w:snapToGrid w:val="0"/>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委托代理人：</w:t>
            </w:r>
          </w:p>
          <w:p>
            <w:pPr>
              <w:adjustRightInd w:val="0"/>
              <w:snapToGrid w:val="0"/>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电话：</w:t>
            </w:r>
          </w:p>
          <w:p>
            <w:pPr>
              <w:adjustRightInd w:val="0"/>
              <w:snapToGrid w:val="0"/>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纳税人类型：</w:t>
            </w:r>
          </w:p>
          <w:p>
            <w:pPr>
              <w:adjustRightInd w:val="0"/>
              <w:snapToGrid w:val="0"/>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税务登记证号码：</w:t>
            </w:r>
          </w:p>
          <w:p>
            <w:pPr>
              <w:adjustRightInd w:val="0"/>
              <w:snapToGrid w:val="0"/>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 xml:space="preserve">开户银行： </w:t>
            </w:r>
          </w:p>
          <w:p>
            <w:pPr>
              <w:adjustRightInd w:val="0"/>
              <w:snapToGrid w:val="0"/>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账号：</w:t>
            </w:r>
          </w:p>
          <w:p>
            <w:pPr>
              <w:adjustRightInd w:val="0"/>
              <w:snapToGrid w:val="0"/>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邮政编码：</w:t>
            </w:r>
          </w:p>
        </w:tc>
        <w:tc>
          <w:tcPr>
            <w:tcW w:w="4346" w:type="dxa"/>
            <w:noWrap w:val="0"/>
            <w:vAlign w:val="top"/>
          </w:tcPr>
          <w:p>
            <w:pPr>
              <w:adjustRightInd w:val="0"/>
              <w:snapToGrid w:val="0"/>
              <w:spacing w:line="360" w:lineRule="auto"/>
              <w:ind w:firstLine="420" w:firstLineChars="20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乙 方</w:t>
            </w:r>
          </w:p>
          <w:p>
            <w:pPr>
              <w:adjustRightInd w:val="0"/>
              <w:snapToGrid w:val="0"/>
              <w:spacing w:line="360" w:lineRule="auto"/>
              <w:jc w:val="both"/>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单位名称（章）：</w:t>
            </w:r>
          </w:p>
          <w:p>
            <w:pPr>
              <w:adjustRightInd w:val="0"/>
              <w:snapToGrid w:val="0"/>
              <w:spacing w:line="360" w:lineRule="auto"/>
              <w:jc w:val="both"/>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单位地址：</w:t>
            </w:r>
          </w:p>
          <w:p>
            <w:pPr>
              <w:adjustRightInd w:val="0"/>
              <w:snapToGrid w:val="0"/>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法定代表人：</w:t>
            </w:r>
          </w:p>
          <w:p>
            <w:pPr>
              <w:adjustRightInd w:val="0"/>
              <w:snapToGrid w:val="0"/>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委托代理人：</w:t>
            </w:r>
          </w:p>
          <w:p>
            <w:pPr>
              <w:adjustRightInd w:val="0"/>
              <w:snapToGrid w:val="0"/>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电话：</w:t>
            </w:r>
          </w:p>
          <w:p>
            <w:pPr>
              <w:adjustRightInd w:val="0"/>
              <w:snapToGrid w:val="0"/>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纳税人类型：</w:t>
            </w:r>
          </w:p>
          <w:p>
            <w:pPr>
              <w:adjustRightInd w:val="0"/>
              <w:snapToGrid w:val="0"/>
              <w:spacing w:line="360" w:lineRule="auto"/>
              <w:jc w:val="both"/>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税务登记证号码：</w:t>
            </w:r>
          </w:p>
          <w:p>
            <w:pPr>
              <w:adjustRightInd w:val="0"/>
              <w:snapToGrid w:val="0"/>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开户银行：</w:t>
            </w:r>
          </w:p>
          <w:p>
            <w:pPr>
              <w:tabs>
                <w:tab w:val="left" w:pos="6120"/>
              </w:tabs>
              <w:spacing w:line="360" w:lineRule="auto"/>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账号：</w:t>
            </w:r>
          </w:p>
          <w:p>
            <w:pPr>
              <w:adjustRightInd w:val="0"/>
              <w:snapToGrid w:val="0"/>
              <w:spacing w:line="360" w:lineRule="auto"/>
              <w:jc w:val="both"/>
              <w:rPr>
                <w:rFonts w:hint="default"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邮政编码：</w:t>
            </w:r>
          </w:p>
        </w:tc>
      </w:tr>
    </w:tbl>
    <w:p>
      <w:pPr>
        <w:rPr>
          <w:rFonts w:hint="eastAsia" w:ascii="宋体" w:hAnsi="宋体" w:eastAsia="宋体" w:cs="宋体"/>
          <w:color w:val="auto"/>
          <w:highlight w:val="none"/>
        </w:rPr>
      </w:pPr>
    </w:p>
    <w:p>
      <w:pPr>
        <w:spacing w:line="480" w:lineRule="exact"/>
        <w:rPr>
          <w:rFonts w:hint="eastAsia" w:ascii="宋体" w:hAnsi="宋体" w:eastAsia="宋体" w:cs="宋体"/>
          <w:b/>
          <w:color w:val="auto"/>
          <w:sz w:val="44"/>
          <w:highlight w:val="none"/>
        </w:rPr>
      </w:pPr>
    </w:p>
    <w:p>
      <w:pPr>
        <w:rPr>
          <w:rFonts w:hint="eastAsia" w:ascii="宋体" w:hAnsi="宋体" w:eastAsia="宋体" w:cs="宋体"/>
          <w:b/>
          <w:color w:val="auto"/>
          <w:sz w:val="44"/>
          <w:highlight w:val="none"/>
        </w:rPr>
      </w:pPr>
      <w:bookmarkStart w:id="168" w:name="_Toc25909"/>
      <w:r>
        <w:rPr>
          <w:rFonts w:hint="eastAsia" w:ascii="宋体" w:hAnsi="宋体" w:eastAsia="宋体" w:cs="宋体"/>
          <w:b/>
          <w:color w:val="auto"/>
          <w:sz w:val="44"/>
          <w:highlight w:val="none"/>
        </w:rPr>
        <w:br w:type="page"/>
      </w:r>
    </w:p>
    <w:p>
      <w:pPr>
        <w:spacing w:line="580" w:lineRule="atLeast"/>
        <w:ind w:firstLine="883" w:firstLineChars="200"/>
        <w:jc w:val="center"/>
        <w:outlineLvl w:val="0"/>
        <w:rPr>
          <w:rFonts w:hint="eastAsia" w:ascii="宋体" w:hAnsi="宋体" w:eastAsia="宋体" w:cs="宋体"/>
          <w:color w:val="auto"/>
          <w:sz w:val="44"/>
          <w:szCs w:val="44"/>
          <w:highlight w:val="none"/>
        </w:rPr>
      </w:pPr>
      <w:r>
        <w:rPr>
          <w:rFonts w:hint="eastAsia" w:ascii="宋体" w:hAnsi="宋体" w:eastAsia="宋体" w:cs="宋体"/>
          <w:b/>
          <w:color w:val="auto"/>
          <w:sz w:val="44"/>
          <w:szCs w:val="44"/>
          <w:highlight w:val="none"/>
        </w:rPr>
        <w:t>第五章 技术要求</w:t>
      </w:r>
      <w:bookmarkEnd w:id="13"/>
      <w:bookmarkEnd w:id="168"/>
    </w:p>
    <w:p>
      <w:pPr>
        <w:spacing w:line="320" w:lineRule="exact"/>
        <w:ind w:firstLine="442" w:firstLineChars="200"/>
        <w:jc w:val="left"/>
        <w:rPr>
          <w:rFonts w:hint="eastAsia" w:ascii="宋体" w:hAnsi="宋体" w:eastAsia="宋体" w:cs="宋体"/>
          <w:b/>
          <w:color w:val="auto"/>
          <w:sz w:val="22"/>
          <w:highlight w:val="none"/>
        </w:rPr>
      </w:pPr>
      <w:bookmarkStart w:id="169" w:name="_Toc26393"/>
    </w:p>
    <w:p>
      <w:pPr>
        <w:adjustRightInd w:val="0"/>
        <w:snapToGrid w:val="0"/>
        <w:spacing w:line="240" w:lineRule="auto"/>
        <w:jc w:val="center"/>
        <w:rPr>
          <w:rFonts w:hint="eastAsia" w:ascii="宋体" w:hAnsi="宋体" w:eastAsia="宋体" w:cs="宋体"/>
          <w:color w:val="auto"/>
          <w:sz w:val="28"/>
          <w:szCs w:val="28"/>
          <w:highlight w:val="none"/>
        </w:rPr>
      </w:pPr>
      <w:bookmarkStart w:id="170" w:name="_Hlk113111441"/>
    </w:p>
    <w:bookmarkEnd w:id="170"/>
    <w:p>
      <w:pPr>
        <w:spacing w:line="320" w:lineRule="exact"/>
        <w:jc w:val="left"/>
        <w:rPr>
          <w:rFonts w:hint="eastAsia" w:ascii="宋体" w:hAnsi="宋体" w:eastAsia="宋体" w:cs="宋体"/>
          <w:b/>
          <w:color w:val="auto"/>
          <w:sz w:val="22"/>
          <w:highlight w:val="none"/>
          <w:lang w:val="en-US" w:eastAsia="zh-CN"/>
        </w:rPr>
      </w:pPr>
    </w:p>
    <w:p>
      <w:pPr>
        <w:spacing w:line="320" w:lineRule="exact"/>
        <w:ind w:firstLine="442" w:firstLineChars="200"/>
        <w:jc w:val="left"/>
        <w:rPr>
          <w:rFonts w:hint="eastAsia" w:ascii="宋体" w:hAnsi="宋体" w:eastAsia="宋体" w:cs="宋体"/>
          <w:b/>
          <w:color w:val="auto"/>
          <w:sz w:val="22"/>
          <w:highlight w:val="none"/>
        </w:rPr>
      </w:pPr>
    </w:p>
    <w:p>
      <w:pPr>
        <w:spacing w:line="320" w:lineRule="exact"/>
        <w:ind w:firstLine="442" w:firstLineChars="200"/>
        <w:jc w:val="left"/>
        <w:rPr>
          <w:rFonts w:hint="eastAsia" w:ascii="宋体" w:hAnsi="宋体" w:eastAsia="宋体" w:cs="宋体"/>
          <w:b/>
          <w:color w:val="auto"/>
          <w:sz w:val="22"/>
          <w:highlight w:val="none"/>
        </w:rPr>
      </w:pPr>
    </w:p>
    <w:p>
      <w:pPr>
        <w:spacing w:line="320" w:lineRule="exact"/>
        <w:ind w:firstLine="442" w:firstLineChars="200"/>
        <w:jc w:val="left"/>
        <w:rPr>
          <w:rFonts w:hint="eastAsia" w:ascii="宋体" w:hAnsi="宋体" w:eastAsia="宋体" w:cs="宋体"/>
          <w:b/>
          <w:color w:val="auto"/>
          <w:sz w:val="22"/>
          <w:highlight w:val="none"/>
        </w:rPr>
      </w:pPr>
      <w:r>
        <w:rPr>
          <w:rFonts w:hint="eastAsia" w:ascii="宋体" w:hAnsi="宋体" w:eastAsia="宋体" w:cs="宋体"/>
          <w:b/>
          <w:color w:val="auto"/>
          <w:sz w:val="22"/>
          <w:highlight w:val="none"/>
        </w:rPr>
        <w:t>注：1.本招标文件内容中凡所标注*的条款为关键条款和技术指标，</w:t>
      </w:r>
      <w:r>
        <w:rPr>
          <w:rFonts w:hint="eastAsia" w:ascii="宋体" w:hAnsi="宋体" w:eastAsia="宋体" w:cs="宋体"/>
          <w:b/>
          <w:color w:val="auto"/>
          <w:sz w:val="22"/>
          <w:highlight w:val="none"/>
          <w:lang w:val="en-US" w:eastAsia="zh-CN"/>
        </w:rPr>
        <w:t>投标文件不响应将被否决投标</w:t>
      </w:r>
      <w:r>
        <w:rPr>
          <w:rFonts w:hint="eastAsia" w:ascii="宋体" w:hAnsi="宋体" w:eastAsia="宋体" w:cs="宋体"/>
          <w:b/>
          <w:color w:val="auto"/>
          <w:sz w:val="22"/>
          <w:highlight w:val="none"/>
        </w:rPr>
        <w:t>将被否决投标。</w:t>
      </w:r>
    </w:p>
    <w:p>
      <w:pPr>
        <w:spacing w:line="320" w:lineRule="exact"/>
        <w:ind w:firstLine="883" w:firstLineChars="400"/>
        <w:jc w:val="left"/>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 2.本招标文件内容中凡所涉及引用品牌或生产供应商的均为参照或相当于。   </w:t>
      </w:r>
    </w:p>
    <w:p>
      <w:pPr>
        <w:pStyle w:val="27"/>
        <w:spacing w:after="0" w:line="320" w:lineRule="exact"/>
        <w:ind w:left="0" w:leftChars="0" w:firstLine="883" w:firstLineChars="400"/>
        <w:jc w:val="left"/>
        <w:rPr>
          <w:rFonts w:hint="eastAsia" w:ascii="宋体" w:hAnsi="宋体" w:eastAsia="宋体" w:cs="宋体"/>
          <w:b/>
          <w:color w:val="auto"/>
          <w:kern w:val="2"/>
          <w:sz w:val="22"/>
          <w:szCs w:val="22"/>
          <w:highlight w:val="none"/>
        </w:rPr>
      </w:pPr>
      <w:r>
        <w:rPr>
          <w:rFonts w:hint="eastAsia" w:ascii="宋体" w:hAnsi="宋体" w:eastAsia="宋体" w:cs="宋体"/>
          <w:b/>
          <w:color w:val="auto"/>
          <w:kern w:val="2"/>
          <w:sz w:val="22"/>
          <w:szCs w:val="22"/>
          <w:highlight w:val="none"/>
        </w:rPr>
        <w:t xml:space="preserve"> 3.投标人设备主要配套件如果选用“或相当”品牌或厂商的，必须写明具体品牌或厂商名称且实质上满足招标文件要求，投标时须提供充分的证明材料供评标委员会评审，不提供证明材料的或证明材料经评审不具有说服力，性能或参数未能达到推荐品牌或厂商</w:t>
      </w:r>
      <w:r>
        <w:rPr>
          <w:rFonts w:hint="eastAsia" w:ascii="宋体" w:hAnsi="宋体" w:eastAsia="宋体" w:cs="宋体"/>
          <w:b/>
          <w:color w:val="auto"/>
          <w:kern w:val="2"/>
          <w:sz w:val="22"/>
          <w:szCs w:val="22"/>
          <w:highlight w:val="none"/>
          <w:lang w:val="en-US" w:eastAsia="zh-CN"/>
        </w:rPr>
        <w:t>质量</w:t>
      </w:r>
      <w:r>
        <w:rPr>
          <w:rFonts w:hint="eastAsia" w:ascii="宋体" w:hAnsi="宋体" w:eastAsia="宋体" w:cs="宋体"/>
          <w:b/>
          <w:color w:val="auto"/>
          <w:kern w:val="2"/>
          <w:sz w:val="22"/>
          <w:szCs w:val="22"/>
          <w:highlight w:val="none"/>
        </w:rPr>
        <w:t>水平的，将导致投标被否决。</w:t>
      </w:r>
    </w:p>
    <w:p>
      <w:pPr>
        <w:bidi w:val="0"/>
        <w:rPr>
          <w:rFonts w:hint="eastAsia"/>
          <w:lang w:val="en-US" w:eastAsia="zh-CN"/>
        </w:rPr>
      </w:pPr>
    </w:p>
    <w:p>
      <w:pPr>
        <w:rPr>
          <w:rFonts w:hint="eastAsia" w:ascii="黑体" w:hAnsi="黑体" w:eastAsia="黑体" w:cs="宋体"/>
          <w:b/>
          <w:sz w:val="44"/>
          <w:szCs w:val="44"/>
          <w:lang w:val="en-US" w:eastAsia="zh-CN" w:bidi="ar-SA"/>
        </w:rPr>
      </w:pPr>
      <w:r>
        <w:rPr>
          <w:rFonts w:hint="eastAsia" w:ascii="黑体" w:hAnsi="黑体" w:eastAsia="黑体" w:cs="宋体"/>
          <w:b/>
          <w:sz w:val="44"/>
          <w:szCs w:val="44"/>
          <w:lang w:val="en-US" w:eastAsia="zh-CN" w:bidi="ar-SA"/>
        </w:rPr>
        <w:br w:type="page"/>
      </w:r>
    </w:p>
    <w:p>
      <w:pPr>
        <w:keepNext/>
        <w:tabs>
          <w:tab w:val="left" w:pos="432"/>
        </w:tabs>
        <w:spacing w:line="360" w:lineRule="auto"/>
        <w:ind w:firstLine="0"/>
        <w:jc w:val="center"/>
        <w:outlineLvl w:val="0"/>
        <w:rPr>
          <w:rFonts w:hint="eastAsia" w:ascii="黑体" w:hAnsi="黑体" w:eastAsia="黑体" w:cs="宋体"/>
          <w:b/>
          <w:sz w:val="44"/>
          <w:szCs w:val="44"/>
          <w:lang w:val="en-US" w:eastAsia="zh-CN" w:bidi="ar-SA"/>
        </w:rPr>
      </w:pPr>
      <w:r>
        <w:rPr>
          <w:rFonts w:hint="eastAsia" w:ascii="黑体" w:hAnsi="黑体" w:eastAsia="黑体" w:cs="宋体"/>
          <w:b/>
          <w:sz w:val="44"/>
          <w:szCs w:val="44"/>
          <w:lang w:val="en-US" w:eastAsia="zh-CN" w:bidi="ar-SA"/>
        </w:rPr>
        <w:t>西山区怡芳苑小区老旧电梯更新更换项目</w:t>
      </w:r>
    </w:p>
    <w:p>
      <w:pPr>
        <w:keepNext/>
        <w:tabs>
          <w:tab w:val="left" w:pos="432"/>
        </w:tabs>
        <w:spacing w:line="360" w:lineRule="auto"/>
        <w:ind w:firstLine="0"/>
        <w:jc w:val="center"/>
        <w:outlineLvl w:val="0"/>
        <w:rPr>
          <w:rFonts w:hint="default" w:ascii="黑体" w:hAnsi="黑体" w:eastAsia="黑体" w:cs="宋体"/>
          <w:b/>
          <w:sz w:val="44"/>
          <w:szCs w:val="44"/>
          <w:lang w:val="en-US" w:eastAsia="zh-CN" w:bidi="ar-SA"/>
        </w:rPr>
      </w:pPr>
      <w:r>
        <w:rPr>
          <w:rFonts w:hint="eastAsia" w:ascii="黑体" w:hAnsi="黑体" w:eastAsia="黑体" w:cs="宋体"/>
          <w:b/>
          <w:sz w:val="44"/>
          <w:szCs w:val="44"/>
          <w:lang w:val="en-US" w:eastAsia="zh-CN" w:bidi="ar-SA"/>
        </w:rPr>
        <w:t>技术规格书</w:t>
      </w:r>
    </w:p>
    <w:p>
      <w:pPr>
        <w:widowControl/>
        <w:spacing w:line="580" w:lineRule="exact"/>
        <w:ind w:left="198" w:firstLine="640" w:firstLineChars="200"/>
        <w:jc w:val="left"/>
        <w:rPr>
          <w:rFonts w:ascii="仿宋_GB2312" w:hAnsi="宋体" w:eastAsia="仿宋_GB2312" w:cs="宋体"/>
          <w:kern w:val="0"/>
          <w:sz w:val="32"/>
          <w:szCs w:val="32"/>
        </w:rPr>
      </w:pPr>
    </w:p>
    <w:p>
      <w:pPr>
        <w:widowControl/>
        <w:snapToGrid w:val="0"/>
        <w:spacing w:line="580" w:lineRule="exact"/>
        <w:ind w:firstLine="640" w:firstLineChars="200"/>
        <w:jc w:val="left"/>
        <w:rPr>
          <w:rFonts w:hint="eastAsia" w:ascii="黑体" w:hAnsi="黑体" w:eastAsia="黑体" w:cs="黑体"/>
          <w:b w:val="0"/>
          <w:bCs/>
          <w:kern w:val="0"/>
          <w:sz w:val="32"/>
          <w:szCs w:val="32"/>
        </w:rPr>
      </w:pPr>
      <w:r>
        <w:rPr>
          <w:rFonts w:hint="eastAsia" w:ascii="黑体" w:hAnsi="黑体" w:eastAsia="黑体" w:cs="黑体"/>
          <w:b w:val="0"/>
          <w:bCs/>
          <w:kern w:val="0"/>
          <w:sz w:val="32"/>
          <w:szCs w:val="32"/>
        </w:rPr>
        <w:t>一、项目概况</w:t>
      </w:r>
    </w:p>
    <w:p>
      <w:pPr>
        <w:widowControl/>
        <w:spacing w:line="580" w:lineRule="exact"/>
        <w:ind w:left="198" w:firstLine="640" w:firstLineChars="200"/>
        <w:jc w:val="left"/>
        <w:rPr>
          <w:rFonts w:hint="eastAsia" w:ascii="仿宋_GB2312" w:hAnsi="宋体" w:eastAsia="仿宋_GB2312" w:cs="宋体"/>
          <w:kern w:val="0"/>
          <w:sz w:val="32"/>
          <w:szCs w:val="32"/>
          <w:lang w:val="en-US" w:eastAsia="zh-CN"/>
        </w:rPr>
      </w:pPr>
      <w:r>
        <w:rPr>
          <w:rFonts w:hint="eastAsia" w:ascii="楷体_GB2312" w:hAnsi="楷体_GB2312" w:eastAsia="楷体_GB2312" w:cs="楷体_GB2312"/>
          <w:kern w:val="0"/>
          <w:sz w:val="32"/>
          <w:szCs w:val="32"/>
        </w:rPr>
        <w:t>（一）项目名称：</w:t>
      </w:r>
      <w:r>
        <w:rPr>
          <w:rFonts w:hint="eastAsia" w:ascii="仿宋_GB2312" w:hAnsi="宋体" w:eastAsia="仿宋_GB2312" w:cs="宋体"/>
          <w:kern w:val="0"/>
          <w:sz w:val="32"/>
          <w:szCs w:val="32"/>
        </w:rPr>
        <w:t>西山区怡芳苑小区老旧电梯更新更换</w:t>
      </w:r>
      <w:r>
        <w:rPr>
          <w:rFonts w:hint="eastAsia" w:ascii="仿宋_GB2312" w:hAnsi="宋体" w:eastAsia="仿宋_GB2312" w:cs="宋体"/>
          <w:kern w:val="0"/>
          <w:sz w:val="32"/>
          <w:szCs w:val="32"/>
          <w:lang w:val="en-US" w:eastAsia="zh-CN"/>
        </w:rPr>
        <w:t>项目</w:t>
      </w:r>
    </w:p>
    <w:p>
      <w:pPr>
        <w:widowControl/>
        <w:spacing w:line="580" w:lineRule="exact"/>
        <w:ind w:left="198" w:firstLine="640" w:firstLineChars="200"/>
        <w:jc w:val="left"/>
        <w:rPr>
          <w:rFonts w:ascii="仿宋_GB2312" w:hAnsi="宋体" w:eastAsia="仿宋_GB2312" w:cs="宋体"/>
          <w:kern w:val="0"/>
          <w:sz w:val="32"/>
          <w:szCs w:val="32"/>
        </w:rPr>
      </w:pPr>
      <w:r>
        <w:rPr>
          <w:rFonts w:hint="eastAsia" w:ascii="楷体_GB2312" w:hAnsi="楷体_GB2312" w:eastAsia="楷体_GB2312" w:cs="楷体_GB2312"/>
          <w:kern w:val="0"/>
          <w:sz w:val="32"/>
          <w:szCs w:val="32"/>
        </w:rPr>
        <w:t>（二）项目地点：</w:t>
      </w:r>
      <w:r>
        <w:rPr>
          <w:rFonts w:hint="eastAsia" w:ascii="仿宋" w:hAnsi="仿宋" w:eastAsia="仿宋" w:cs="Times New Roman"/>
          <w:kern w:val="0"/>
          <w:sz w:val="32"/>
          <w:szCs w:val="32"/>
          <w:lang w:val="en-US" w:eastAsia="zh-CN"/>
        </w:rPr>
        <w:t>西山区怡芳苑小区</w:t>
      </w:r>
      <w:r>
        <w:rPr>
          <w:rFonts w:hint="eastAsia" w:ascii="仿宋_GB2312" w:hAnsi="宋体" w:eastAsia="仿宋_GB2312" w:cs="宋体"/>
          <w:kern w:val="0"/>
          <w:sz w:val="32"/>
          <w:szCs w:val="32"/>
        </w:rPr>
        <w:t>。</w:t>
      </w:r>
    </w:p>
    <w:p>
      <w:pPr>
        <w:widowControl/>
        <w:spacing w:line="580" w:lineRule="exact"/>
        <w:ind w:left="198" w:firstLine="640" w:firstLineChars="200"/>
        <w:jc w:val="left"/>
        <w:rPr>
          <w:rFonts w:ascii="仿宋_GB2312" w:hAnsi="宋体" w:eastAsia="仿宋_GB2312" w:cs="宋体"/>
          <w:kern w:val="0"/>
          <w:sz w:val="32"/>
          <w:szCs w:val="32"/>
        </w:rPr>
      </w:pPr>
      <w:r>
        <w:rPr>
          <w:rFonts w:hint="eastAsia" w:ascii="楷体_GB2312" w:hAnsi="楷体_GB2312" w:eastAsia="楷体_GB2312" w:cs="楷体_GB2312"/>
          <w:kern w:val="0"/>
          <w:sz w:val="32"/>
          <w:szCs w:val="32"/>
        </w:rPr>
        <w:t>（三）招标范围：</w:t>
      </w:r>
      <w:r>
        <w:rPr>
          <w:rFonts w:hint="eastAsia" w:ascii="仿宋_GB2312" w:hAnsi="宋体" w:eastAsia="仿宋_GB2312" w:cs="宋体"/>
          <w:kern w:val="0"/>
          <w:sz w:val="32"/>
          <w:szCs w:val="32"/>
        </w:rPr>
        <w:t>按要求完成西山区怡芳苑小区老旧电梯更新更换</w:t>
      </w:r>
      <w:r>
        <w:rPr>
          <w:rFonts w:hint="eastAsia" w:ascii="仿宋" w:hAnsi="仿宋" w:eastAsia="仿宋" w:cs="Times New Roman"/>
          <w:kern w:val="0"/>
          <w:sz w:val="32"/>
          <w:szCs w:val="32"/>
          <w:lang w:val="en-US" w:eastAsia="zh-CN"/>
        </w:rPr>
        <w:t>项目</w:t>
      </w:r>
      <w:r>
        <w:rPr>
          <w:rFonts w:hint="eastAsia" w:ascii="仿宋_GB2312" w:hAnsi="宋体" w:eastAsia="仿宋_GB2312" w:cs="宋体"/>
          <w:kern w:val="0"/>
          <w:sz w:val="32"/>
          <w:szCs w:val="32"/>
        </w:rPr>
        <w:t>服务。</w:t>
      </w:r>
    </w:p>
    <w:p>
      <w:pPr>
        <w:widowControl/>
        <w:spacing w:line="580" w:lineRule="exact"/>
        <w:ind w:firstLine="835" w:firstLineChars="261"/>
        <w:jc w:val="left"/>
        <w:rPr>
          <w:rFonts w:ascii="仿宋_GB2312" w:hAnsi="宋体" w:eastAsia="仿宋_GB2312" w:cs="宋体"/>
          <w:kern w:val="0"/>
          <w:sz w:val="32"/>
          <w:szCs w:val="32"/>
        </w:rPr>
      </w:pPr>
      <w:r>
        <w:rPr>
          <w:rFonts w:hint="eastAsia" w:ascii="楷体_GB2312" w:hAnsi="楷体_GB2312" w:eastAsia="楷体_GB2312" w:cs="楷体_GB2312"/>
          <w:kern w:val="0"/>
          <w:sz w:val="32"/>
          <w:szCs w:val="32"/>
        </w:rPr>
        <w:t>（</w:t>
      </w:r>
      <w:r>
        <w:rPr>
          <w:rFonts w:hint="eastAsia" w:ascii="楷体_GB2312" w:hAnsi="楷体_GB2312" w:eastAsia="楷体_GB2312" w:cs="楷体_GB2312"/>
          <w:kern w:val="0"/>
          <w:sz w:val="32"/>
          <w:szCs w:val="32"/>
          <w:lang w:val="en-US" w:eastAsia="zh-CN"/>
        </w:rPr>
        <w:t>四</w:t>
      </w:r>
      <w:r>
        <w:rPr>
          <w:rFonts w:hint="eastAsia" w:ascii="楷体_GB2312" w:hAnsi="楷体_GB2312" w:eastAsia="楷体_GB2312" w:cs="楷体_GB2312"/>
          <w:kern w:val="0"/>
          <w:sz w:val="32"/>
          <w:szCs w:val="32"/>
        </w:rPr>
        <w:t>）资金来源：</w:t>
      </w:r>
      <w:r>
        <w:rPr>
          <w:rFonts w:hint="eastAsia" w:ascii="仿宋_GB2312" w:hAnsi="宋体" w:eastAsia="仿宋_GB2312" w:cs="宋体"/>
          <w:kern w:val="0"/>
          <w:sz w:val="32"/>
          <w:szCs w:val="32"/>
          <w:lang w:val="en-US" w:eastAsia="zh-CN"/>
        </w:rPr>
        <w:t>政府补贴</w:t>
      </w:r>
      <w:r>
        <w:rPr>
          <w:rFonts w:hint="eastAsia" w:ascii="楷体_GB2312" w:hAnsi="楷体_GB2312" w:eastAsia="楷体_GB2312" w:cs="楷体_GB2312"/>
          <w:kern w:val="0"/>
          <w:sz w:val="32"/>
          <w:szCs w:val="32"/>
          <w:lang w:val="en-US" w:eastAsia="zh-CN"/>
        </w:rPr>
        <w:t>、</w:t>
      </w:r>
      <w:r>
        <w:rPr>
          <w:rFonts w:hint="eastAsia" w:ascii="仿宋_GB2312" w:hAnsi="宋体" w:eastAsia="仿宋_GB2312" w:cs="宋体"/>
          <w:kern w:val="0"/>
          <w:sz w:val="32"/>
          <w:szCs w:val="32"/>
        </w:rPr>
        <w:t>自筹。</w:t>
      </w:r>
    </w:p>
    <w:p>
      <w:pPr>
        <w:widowControl/>
        <w:snapToGrid w:val="0"/>
        <w:spacing w:line="580" w:lineRule="exact"/>
        <w:ind w:firstLine="640" w:firstLineChars="200"/>
        <w:jc w:val="left"/>
        <w:rPr>
          <w:rFonts w:hint="eastAsia" w:ascii="黑体" w:hAnsi="黑体" w:eastAsia="黑体" w:cs="黑体"/>
          <w:b w:val="0"/>
          <w:bCs/>
          <w:i w:val="0"/>
          <w:iCs w:val="0"/>
          <w:kern w:val="0"/>
          <w:sz w:val="32"/>
          <w:szCs w:val="32"/>
        </w:rPr>
      </w:pPr>
      <w:r>
        <w:rPr>
          <w:rFonts w:hint="eastAsia" w:ascii="黑体" w:hAnsi="黑体" w:eastAsia="黑体" w:cs="黑体"/>
          <w:b w:val="0"/>
          <w:bCs/>
          <w:i w:val="0"/>
          <w:iCs w:val="0"/>
          <w:kern w:val="0"/>
          <w:sz w:val="32"/>
          <w:szCs w:val="32"/>
        </w:rPr>
        <w:t>二、</w:t>
      </w:r>
      <w:r>
        <w:rPr>
          <w:rFonts w:hint="eastAsia" w:ascii="黑体" w:hAnsi="黑体" w:eastAsia="黑体" w:cs="黑体"/>
          <w:b w:val="0"/>
          <w:bCs/>
          <w:i w:val="0"/>
          <w:iCs w:val="0"/>
          <w:kern w:val="0"/>
          <w:sz w:val="32"/>
          <w:szCs w:val="32"/>
          <w:lang w:val="en-US" w:eastAsia="zh-CN"/>
        </w:rPr>
        <w:t>项目完成时间</w:t>
      </w:r>
      <w:r>
        <w:rPr>
          <w:rFonts w:hint="eastAsia" w:ascii="黑体" w:hAnsi="黑体" w:eastAsia="黑体" w:cs="黑体"/>
          <w:b w:val="0"/>
          <w:bCs/>
          <w:i w:val="0"/>
          <w:iCs w:val="0"/>
          <w:kern w:val="0"/>
          <w:sz w:val="32"/>
          <w:szCs w:val="32"/>
        </w:rPr>
        <w:t>：</w:t>
      </w:r>
      <w:r>
        <w:rPr>
          <w:rFonts w:hint="eastAsia" w:ascii="仿宋_GB2312" w:hAnsi="宋体" w:eastAsia="仿宋_GB2312" w:cs="宋体"/>
          <w:kern w:val="0"/>
          <w:sz w:val="32"/>
          <w:szCs w:val="32"/>
          <w:lang w:val="en-US" w:eastAsia="zh-CN"/>
        </w:rPr>
        <w:t>合同签订生效之日起90日历天内。</w:t>
      </w:r>
    </w:p>
    <w:p>
      <w:pPr>
        <w:widowControl/>
        <w:snapToGrid w:val="0"/>
        <w:spacing w:line="580" w:lineRule="exact"/>
        <w:ind w:firstLine="640" w:firstLineChars="200"/>
        <w:jc w:val="left"/>
        <w:rPr>
          <w:rFonts w:hint="eastAsia" w:ascii="黑体" w:hAnsi="黑体" w:eastAsia="黑体" w:cs="黑体"/>
          <w:b w:val="0"/>
          <w:bCs/>
          <w:kern w:val="0"/>
          <w:sz w:val="32"/>
          <w:szCs w:val="32"/>
          <w:lang w:eastAsia="zh-CN"/>
        </w:rPr>
      </w:pPr>
      <w:r>
        <w:rPr>
          <w:rFonts w:hint="eastAsia" w:ascii="黑体" w:hAnsi="黑体" w:eastAsia="黑体" w:cs="黑体"/>
          <w:b w:val="0"/>
          <w:bCs/>
          <w:kern w:val="0"/>
          <w:sz w:val="32"/>
          <w:szCs w:val="32"/>
        </w:rPr>
        <w:t>三、服务</w:t>
      </w:r>
      <w:r>
        <w:rPr>
          <w:rFonts w:hint="eastAsia" w:ascii="黑体" w:hAnsi="黑体" w:eastAsia="黑体" w:cs="黑体"/>
          <w:b w:val="0"/>
          <w:bCs/>
          <w:kern w:val="0"/>
          <w:sz w:val="32"/>
          <w:szCs w:val="32"/>
          <w:lang w:val="en-US" w:eastAsia="zh-CN"/>
        </w:rPr>
        <w:t>要求</w:t>
      </w:r>
    </w:p>
    <w:p>
      <w:pPr>
        <w:widowControl/>
        <w:snapToGrid w:val="0"/>
        <w:spacing w:line="580" w:lineRule="exact"/>
        <w:ind w:firstLine="640" w:firstLineChars="200"/>
        <w:jc w:val="left"/>
        <w:rPr>
          <w:rFonts w:ascii="仿宋_GB2312" w:hAnsi="宋体" w:eastAsia="仿宋_GB2312" w:cs="宋体"/>
          <w:kern w:val="0"/>
          <w:sz w:val="32"/>
          <w:szCs w:val="32"/>
        </w:rPr>
      </w:pPr>
      <w:r>
        <w:rPr>
          <w:rFonts w:hint="eastAsia" w:ascii="仿宋_GB2312" w:hAnsi="宋体" w:eastAsia="仿宋_GB2312" w:cs="宋体"/>
          <w:kern w:val="0"/>
          <w:sz w:val="32"/>
          <w:szCs w:val="32"/>
        </w:rPr>
        <w:t>严格按国家相关行业技术规范及质量维护标准及兴达物业公司考核管理规定要求完成项目承包工作。</w:t>
      </w:r>
    </w:p>
    <w:p>
      <w:pPr>
        <w:widowControl/>
        <w:snapToGrid w:val="0"/>
        <w:spacing w:line="580" w:lineRule="exact"/>
        <w:ind w:firstLine="640" w:firstLineChars="200"/>
        <w:jc w:val="left"/>
        <w:rPr>
          <w:rFonts w:hint="default" w:ascii="黑体" w:hAnsi="黑体" w:eastAsia="黑体" w:cs="黑体"/>
          <w:b w:val="0"/>
          <w:bCs/>
          <w:kern w:val="0"/>
          <w:sz w:val="32"/>
          <w:szCs w:val="32"/>
          <w:lang w:val="en-US" w:eastAsia="zh-CN"/>
        </w:rPr>
      </w:pPr>
      <w:r>
        <w:rPr>
          <w:rFonts w:hint="eastAsia" w:ascii="黑体" w:hAnsi="黑体" w:eastAsia="黑体" w:cs="黑体"/>
          <w:b w:val="0"/>
          <w:bCs/>
          <w:kern w:val="0"/>
          <w:sz w:val="32"/>
          <w:szCs w:val="32"/>
          <w:lang w:val="en-US" w:eastAsia="zh-CN"/>
        </w:rPr>
        <w:t>四</w:t>
      </w:r>
      <w:r>
        <w:rPr>
          <w:rFonts w:hint="default" w:ascii="黑体" w:hAnsi="黑体" w:eastAsia="黑体" w:cs="黑体"/>
          <w:b w:val="0"/>
          <w:bCs/>
          <w:kern w:val="0"/>
          <w:sz w:val="32"/>
          <w:szCs w:val="32"/>
          <w:lang w:val="en-US" w:eastAsia="zh-CN"/>
        </w:rPr>
        <w:t>、满足业务的人员要求</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eastAsia="zh-CN"/>
        </w:rPr>
        <w:t>1.中标方所提供的业务人员须根据我方业务的需求条件、提供相吻合的业务人员（如：性别、近期内身体体检报告、专业技能、年</w:t>
      </w:r>
      <w:r>
        <w:rPr>
          <w:rFonts w:hint="default" w:ascii="仿宋_GB2312" w:hAnsi="仿宋_GB2312" w:eastAsia="仿宋_GB2312" w:cs="仿宋_GB2312"/>
          <w:kern w:val="0"/>
          <w:sz w:val="32"/>
          <w:szCs w:val="32"/>
          <w:lang w:val="en-US"/>
        </w:rPr>
        <w:t>龄需为18-60岁期间等）。提供的资料必须真实，如果因提供不真实资料造成的一切后果均由成交人承担。业务人员在上岗前必须经过安全及其它专业培训、以及必要的职业技术鉴定培训等。另新增派的业务人员必须经过健康体检。业务人员的年度流动性必须控制在30%以内。</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eastAsia="zh-CN"/>
        </w:rPr>
        <w:t>2.</w:t>
      </w:r>
      <w:r>
        <w:rPr>
          <w:rFonts w:hint="default" w:ascii="仿宋_GB2312" w:hAnsi="仿宋_GB2312" w:eastAsia="仿宋_GB2312" w:cs="仿宋_GB2312"/>
          <w:kern w:val="0"/>
          <w:sz w:val="32"/>
          <w:szCs w:val="32"/>
          <w:lang w:val="en-US"/>
        </w:rPr>
        <w:t>服务质量要求：</w:t>
      </w:r>
      <w:r>
        <w:rPr>
          <w:rFonts w:hint="default" w:ascii="仿宋_GB2312" w:hAnsi="仿宋_GB2312" w:eastAsia="仿宋_GB2312" w:cs="仿宋_GB2312"/>
          <w:kern w:val="0"/>
          <w:sz w:val="32"/>
          <w:szCs w:val="32"/>
          <w:lang w:val="en-US" w:eastAsia="zh-CN"/>
        </w:rPr>
        <w:t>符合现行国家或行业验收规范</w:t>
      </w:r>
      <w:r>
        <w:rPr>
          <w:rFonts w:hint="default" w:ascii="仿宋_GB2312" w:hAnsi="仿宋_GB2312" w:eastAsia="仿宋_GB2312" w:cs="仿宋_GB2312"/>
          <w:kern w:val="0"/>
          <w:sz w:val="32"/>
          <w:szCs w:val="32"/>
          <w:lang w:val="en-US"/>
        </w:rPr>
        <w:t>、一次验收合格。</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eastAsia="zh-CN"/>
        </w:rPr>
        <w:t>3.中标方</w:t>
      </w:r>
      <w:r>
        <w:rPr>
          <w:rFonts w:hint="default" w:ascii="仿宋_GB2312" w:hAnsi="仿宋_GB2312" w:eastAsia="仿宋_GB2312" w:cs="仿宋_GB2312"/>
          <w:kern w:val="0"/>
          <w:sz w:val="32"/>
          <w:szCs w:val="32"/>
          <w:lang w:val="en-US"/>
        </w:rPr>
        <w:t>必须与所使用的人员签订《劳动合同》，需按国家规定为所从事该项业务的人员购买法定的社会保险，在其发生工伤工亡或非因工负伤时，能够积极主动、全面妥善地按照《工伤保险条例》等相关法律法规进行处理。</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eastAsia="zh-CN"/>
        </w:rPr>
        <w:t>4.中标方</w:t>
      </w:r>
      <w:r>
        <w:rPr>
          <w:rFonts w:hint="default" w:ascii="仿宋_GB2312" w:hAnsi="仿宋_GB2312" w:eastAsia="仿宋_GB2312" w:cs="仿宋_GB2312"/>
          <w:kern w:val="0"/>
          <w:sz w:val="32"/>
          <w:szCs w:val="32"/>
          <w:lang w:val="en-US"/>
        </w:rPr>
        <w:t>与所使用的人员必须通过岗前培训，并取得</w:t>
      </w:r>
      <w:r>
        <w:rPr>
          <w:rFonts w:hint="default" w:ascii="仿宋_GB2312" w:hAnsi="仿宋_GB2312" w:eastAsia="仿宋_GB2312" w:cs="仿宋_GB2312"/>
          <w:kern w:val="0"/>
          <w:sz w:val="32"/>
          <w:szCs w:val="32"/>
          <w:lang w:val="en-US" w:eastAsia="zh-CN"/>
        </w:rPr>
        <w:t>国家下发的电梯机械安装维修T1或电梯电气安装维修T2或安全管理和作业人员证T</w:t>
      </w:r>
      <w:r>
        <w:rPr>
          <w:rFonts w:hint="default" w:ascii="仿宋_GB2312" w:hAnsi="仿宋_GB2312" w:eastAsia="仿宋_GB2312" w:cs="仿宋_GB2312"/>
          <w:kern w:val="0"/>
          <w:sz w:val="32"/>
          <w:szCs w:val="32"/>
          <w:lang w:val="en-US"/>
        </w:rPr>
        <w:t>。</w:t>
      </w:r>
    </w:p>
    <w:p>
      <w:pPr>
        <w:widowControl/>
        <w:spacing w:line="580" w:lineRule="exact"/>
        <w:ind w:firstLine="640" w:firstLineChars="200"/>
        <w:jc w:val="left"/>
        <w:rPr>
          <w:rFonts w:hint="default" w:ascii="仿宋_GB2312" w:hAnsi="仿宋_GB2312" w:eastAsia="仿宋_GB2312" w:cs="仿宋_GB2312"/>
          <w:kern w:val="0"/>
          <w:sz w:val="32"/>
          <w:szCs w:val="32"/>
          <w:lang w:val="en-US" w:eastAsia="zh-CN"/>
        </w:rPr>
      </w:pPr>
      <w:r>
        <w:rPr>
          <w:rFonts w:hint="default" w:ascii="仿宋_GB2312" w:hAnsi="仿宋_GB2312" w:eastAsia="仿宋_GB2312" w:cs="仿宋_GB2312"/>
          <w:kern w:val="0"/>
          <w:sz w:val="32"/>
          <w:szCs w:val="32"/>
          <w:lang w:val="en-US" w:eastAsia="zh-CN"/>
        </w:rPr>
        <w:t>5.</w:t>
      </w:r>
      <w:r>
        <w:rPr>
          <w:rFonts w:hint="default" w:ascii="仿宋_GB2312" w:hAnsi="仿宋_GB2312" w:eastAsia="仿宋_GB2312" w:cs="仿宋_GB2312"/>
          <w:kern w:val="0"/>
          <w:sz w:val="32"/>
          <w:szCs w:val="32"/>
          <w:lang w:val="en-US"/>
        </w:rPr>
        <w:t>承包业务范围内的安全工作由</w:t>
      </w:r>
      <w:r>
        <w:rPr>
          <w:rFonts w:hint="default" w:ascii="仿宋_GB2312" w:hAnsi="仿宋_GB2312" w:eastAsia="仿宋_GB2312" w:cs="仿宋_GB2312"/>
          <w:kern w:val="0"/>
          <w:sz w:val="32"/>
          <w:szCs w:val="32"/>
          <w:lang w:val="en-US" w:eastAsia="zh-CN"/>
        </w:rPr>
        <w:t>中标方</w:t>
      </w:r>
      <w:r>
        <w:rPr>
          <w:rFonts w:hint="default" w:ascii="仿宋_GB2312" w:hAnsi="仿宋_GB2312" w:eastAsia="仿宋_GB2312" w:cs="仿宋_GB2312"/>
          <w:kern w:val="0"/>
          <w:sz w:val="32"/>
          <w:szCs w:val="32"/>
          <w:lang w:val="en-US"/>
        </w:rPr>
        <w:t>负责，承包期间发生的人员工伤、意外事故，按《工伤保险条例》执行</w:t>
      </w:r>
      <w:r>
        <w:rPr>
          <w:rFonts w:hint="default" w:ascii="仿宋_GB2312" w:hAnsi="仿宋_GB2312" w:eastAsia="仿宋_GB2312" w:cs="仿宋_GB2312"/>
          <w:kern w:val="0"/>
          <w:sz w:val="32"/>
          <w:szCs w:val="32"/>
          <w:lang w:val="en-US" w:eastAsia="zh-CN"/>
        </w:rPr>
        <w:t>。</w:t>
      </w:r>
    </w:p>
    <w:p>
      <w:pPr>
        <w:widowControl/>
        <w:snapToGrid w:val="0"/>
        <w:spacing w:line="580" w:lineRule="exact"/>
        <w:ind w:firstLine="640" w:firstLineChars="200"/>
        <w:jc w:val="left"/>
        <w:rPr>
          <w:rFonts w:hint="default" w:ascii="黑体" w:hAnsi="黑体" w:eastAsia="黑体" w:cs="黑体"/>
          <w:b w:val="0"/>
          <w:bCs/>
          <w:kern w:val="0"/>
          <w:sz w:val="32"/>
          <w:szCs w:val="32"/>
          <w:lang w:val="en-US" w:eastAsia="zh-CN"/>
        </w:rPr>
      </w:pPr>
      <w:r>
        <w:rPr>
          <w:rFonts w:hint="eastAsia" w:ascii="黑体" w:hAnsi="黑体" w:eastAsia="黑体" w:cs="黑体"/>
          <w:b w:val="0"/>
          <w:bCs/>
          <w:kern w:val="0"/>
          <w:sz w:val="32"/>
          <w:szCs w:val="32"/>
          <w:lang w:val="en-US" w:eastAsia="zh-CN"/>
        </w:rPr>
        <w:t>五</w:t>
      </w:r>
      <w:r>
        <w:rPr>
          <w:rFonts w:hint="default" w:ascii="黑体" w:hAnsi="黑体" w:eastAsia="黑体" w:cs="黑体"/>
          <w:b w:val="0"/>
          <w:bCs/>
          <w:kern w:val="0"/>
          <w:sz w:val="32"/>
          <w:szCs w:val="32"/>
          <w:lang w:val="en-US" w:eastAsia="zh-CN"/>
        </w:rPr>
        <w:t>、物资材料</w:t>
      </w:r>
    </w:p>
    <w:p>
      <w:pPr>
        <w:widowControl/>
        <w:spacing w:line="580" w:lineRule="exact"/>
        <w:ind w:firstLine="640" w:firstLineChars="200"/>
        <w:jc w:val="left"/>
        <w:rPr>
          <w:rFonts w:hint="default" w:ascii="仿宋_GB2312" w:hAnsi="仿宋_GB2312" w:eastAsia="仿宋_GB2312" w:cs="仿宋_GB2312"/>
          <w:kern w:val="0"/>
          <w:sz w:val="32"/>
          <w:szCs w:val="32"/>
          <w:lang w:val="en-US" w:eastAsia="zh-CN"/>
        </w:rPr>
      </w:pPr>
      <w:r>
        <w:rPr>
          <w:rFonts w:hint="default" w:ascii="仿宋_GB2312" w:hAnsi="仿宋_GB2312" w:eastAsia="仿宋_GB2312" w:cs="仿宋_GB2312"/>
          <w:kern w:val="0"/>
          <w:sz w:val="32"/>
          <w:szCs w:val="32"/>
          <w:lang w:val="en-US" w:eastAsia="zh-CN"/>
        </w:rPr>
        <w:t>按甲方要求提供所需工器具。</w:t>
      </w:r>
    </w:p>
    <w:p>
      <w:pPr>
        <w:widowControl/>
        <w:snapToGrid w:val="0"/>
        <w:spacing w:line="580" w:lineRule="exact"/>
        <w:ind w:firstLine="640" w:firstLineChars="200"/>
        <w:jc w:val="left"/>
        <w:rPr>
          <w:rFonts w:hint="default" w:ascii="黑体" w:hAnsi="黑体" w:eastAsia="黑体" w:cs="黑体"/>
          <w:b w:val="0"/>
          <w:bCs/>
          <w:kern w:val="0"/>
          <w:sz w:val="32"/>
          <w:szCs w:val="32"/>
          <w:lang w:val="en-US" w:eastAsia="zh-CN"/>
        </w:rPr>
      </w:pPr>
      <w:r>
        <w:rPr>
          <w:rFonts w:hint="eastAsia" w:ascii="黑体" w:hAnsi="黑体" w:eastAsia="黑体" w:cs="黑体"/>
          <w:b w:val="0"/>
          <w:bCs/>
          <w:kern w:val="0"/>
          <w:sz w:val="32"/>
          <w:szCs w:val="32"/>
          <w:lang w:val="en-US" w:eastAsia="zh-CN"/>
        </w:rPr>
        <w:t>六</w:t>
      </w:r>
      <w:r>
        <w:rPr>
          <w:rFonts w:hint="default" w:ascii="黑体" w:hAnsi="黑体" w:eastAsia="黑体" w:cs="黑体"/>
          <w:b w:val="0"/>
          <w:bCs/>
          <w:kern w:val="0"/>
          <w:sz w:val="32"/>
          <w:szCs w:val="32"/>
          <w:lang w:val="en-US" w:eastAsia="zh-CN"/>
        </w:rPr>
        <w:t>、*最高投标限价：最高投标限价388万元（含税）。</w:t>
      </w:r>
    </w:p>
    <w:p>
      <w:pPr>
        <w:widowControl/>
        <w:spacing w:line="580" w:lineRule="exact"/>
        <w:ind w:firstLine="640" w:firstLineChars="200"/>
        <w:jc w:val="left"/>
        <w:rPr>
          <w:rFonts w:hint="default" w:ascii="仿宋_GB2312" w:hAnsi="仿宋_GB2312" w:eastAsia="仿宋_GB2312" w:cs="仿宋_GB2312"/>
          <w:kern w:val="0"/>
          <w:sz w:val="32"/>
          <w:szCs w:val="32"/>
          <w:lang w:val="en-US" w:eastAsia="zh-CN"/>
        </w:rPr>
      </w:pPr>
      <w:r>
        <w:rPr>
          <w:rFonts w:hint="default" w:ascii="仿宋_GB2312" w:hAnsi="仿宋_GB2312" w:eastAsia="仿宋_GB2312" w:cs="仿宋_GB2312"/>
          <w:kern w:val="0"/>
          <w:sz w:val="32"/>
          <w:szCs w:val="32"/>
          <w:lang w:val="en-US" w:eastAsia="zh-CN"/>
        </w:rPr>
        <w:t>1.最高投标限价包含电梯残值费用。</w:t>
      </w:r>
    </w:p>
    <w:p>
      <w:pPr>
        <w:widowControl/>
        <w:spacing w:line="580" w:lineRule="exact"/>
        <w:ind w:firstLine="640" w:firstLineChars="200"/>
        <w:jc w:val="left"/>
        <w:rPr>
          <w:rFonts w:hint="default" w:ascii="仿宋_GB2312" w:hAnsi="仿宋_GB2312" w:eastAsia="仿宋_GB2312" w:cs="仿宋_GB2312"/>
          <w:kern w:val="0"/>
          <w:sz w:val="32"/>
          <w:szCs w:val="32"/>
          <w:lang w:val="en-US" w:eastAsia="zh-CN"/>
        </w:rPr>
      </w:pPr>
      <w:r>
        <w:rPr>
          <w:rFonts w:hint="default" w:ascii="仿宋_GB2312" w:hAnsi="仿宋_GB2312" w:eastAsia="仿宋_GB2312" w:cs="仿宋_GB2312"/>
          <w:kern w:val="0"/>
          <w:sz w:val="32"/>
          <w:szCs w:val="32"/>
          <w:lang w:val="en-US" w:eastAsia="zh-CN"/>
        </w:rPr>
        <w:t>2.电梯残值费用详见附件。</w:t>
      </w:r>
    </w:p>
    <w:p>
      <w:pPr>
        <w:widowControl/>
        <w:spacing w:line="580" w:lineRule="exact"/>
        <w:ind w:firstLine="640" w:firstLineChars="200"/>
        <w:jc w:val="left"/>
        <w:rPr>
          <w:rFonts w:hint="default" w:ascii="仿宋_GB2312" w:hAnsi="仿宋_GB2312" w:eastAsia="仿宋_GB2312" w:cs="仿宋_GB2312"/>
          <w:b w:val="0"/>
          <w:bCs w:val="0"/>
          <w:kern w:val="0"/>
          <w:sz w:val="32"/>
          <w:szCs w:val="32"/>
          <w:lang w:val="en-US"/>
        </w:rPr>
      </w:pPr>
      <w:r>
        <w:rPr>
          <w:rFonts w:hint="eastAsia" w:ascii="黑体" w:hAnsi="黑体" w:eastAsia="黑体" w:cs="黑体"/>
          <w:b w:val="0"/>
          <w:bCs/>
          <w:kern w:val="0"/>
          <w:sz w:val="32"/>
          <w:szCs w:val="32"/>
          <w:lang w:val="en-US" w:eastAsia="zh-CN"/>
        </w:rPr>
        <w:t>七</w:t>
      </w:r>
      <w:r>
        <w:rPr>
          <w:rFonts w:hint="default" w:ascii="黑体" w:hAnsi="黑体" w:eastAsia="黑体" w:cs="黑体"/>
          <w:b w:val="0"/>
          <w:bCs/>
          <w:kern w:val="0"/>
          <w:sz w:val="32"/>
          <w:szCs w:val="32"/>
          <w:lang w:val="en-US" w:eastAsia="zh-CN"/>
        </w:rPr>
        <w:t>、保险要求：</w:t>
      </w:r>
      <w:r>
        <w:rPr>
          <w:rFonts w:hint="default" w:ascii="仿宋_GB2312" w:hAnsi="仿宋_GB2312" w:eastAsia="仿宋_GB2312" w:cs="仿宋_GB2312"/>
          <w:b w:val="0"/>
          <w:bCs w:val="0"/>
          <w:kern w:val="0"/>
          <w:sz w:val="32"/>
          <w:szCs w:val="32"/>
          <w:lang w:val="en-US" w:eastAsia="zh-CN"/>
        </w:rPr>
        <w:t>承诺</w:t>
      </w:r>
      <w:r>
        <w:rPr>
          <w:rFonts w:hint="eastAsia" w:ascii="仿宋_GB2312" w:hAnsi="仿宋_GB2312" w:eastAsia="仿宋_GB2312" w:cs="仿宋_GB2312"/>
          <w:b w:val="0"/>
          <w:bCs w:val="0"/>
          <w:kern w:val="0"/>
          <w:sz w:val="32"/>
          <w:szCs w:val="32"/>
          <w:lang w:val="en-US" w:eastAsia="zh-CN"/>
        </w:rPr>
        <w:t>必须为相关安装人员购买相关保险</w:t>
      </w:r>
      <w:r>
        <w:rPr>
          <w:rFonts w:hint="default" w:ascii="仿宋_GB2312" w:hAnsi="仿宋_GB2312" w:eastAsia="仿宋_GB2312" w:cs="仿宋_GB2312"/>
          <w:b w:val="0"/>
          <w:bCs w:val="0"/>
          <w:kern w:val="0"/>
          <w:sz w:val="32"/>
          <w:szCs w:val="32"/>
          <w:lang w:val="en-US" w:eastAsia="zh-CN"/>
        </w:rPr>
        <w:t>。</w:t>
      </w:r>
    </w:p>
    <w:p>
      <w:pPr>
        <w:widowControl/>
        <w:snapToGrid w:val="0"/>
        <w:spacing w:line="580" w:lineRule="exact"/>
        <w:ind w:firstLine="640" w:firstLineChars="200"/>
        <w:jc w:val="left"/>
        <w:rPr>
          <w:rFonts w:hint="default" w:ascii="黑体" w:hAnsi="黑体" w:eastAsia="黑体" w:cs="黑体"/>
          <w:b w:val="0"/>
          <w:bCs/>
          <w:kern w:val="0"/>
          <w:sz w:val="32"/>
          <w:szCs w:val="32"/>
          <w:lang w:val="en-US" w:eastAsia="zh-CN"/>
        </w:rPr>
      </w:pPr>
      <w:r>
        <w:rPr>
          <w:rFonts w:hint="eastAsia" w:ascii="黑体" w:hAnsi="黑体" w:eastAsia="黑体" w:cs="黑体"/>
          <w:b w:val="0"/>
          <w:bCs/>
          <w:kern w:val="0"/>
          <w:sz w:val="32"/>
          <w:szCs w:val="32"/>
          <w:lang w:val="en-US" w:eastAsia="zh-CN"/>
        </w:rPr>
        <w:t>八</w:t>
      </w:r>
      <w:r>
        <w:rPr>
          <w:rFonts w:hint="default" w:ascii="黑体" w:hAnsi="黑体" w:eastAsia="黑体" w:cs="黑体"/>
          <w:b w:val="0"/>
          <w:bCs/>
          <w:kern w:val="0"/>
          <w:sz w:val="32"/>
          <w:szCs w:val="32"/>
          <w:lang w:val="en-US" w:eastAsia="zh-CN"/>
        </w:rPr>
        <w:t>、电梯安装人员配置要求</w:t>
      </w:r>
    </w:p>
    <w:p>
      <w:pPr>
        <w:widowControl/>
        <w:spacing w:line="580" w:lineRule="exact"/>
        <w:ind w:firstLine="640" w:firstLineChars="200"/>
        <w:jc w:val="left"/>
        <w:rPr>
          <w:rFonts w:hint="default" w:ascii="仿宋_GB2312" w:hAnsi="仿宋_GB2312" w:eastAsia="仿宋_GB2312" w:cs="仿宋_GB2312"/>
          <w:kern w:val="0"/>
          <w:sz w:val="32"/>
          <w:szCs w:val="32"/>
          <w:lang w:val="en-US" w:eastAsia="zh-CN"/>
        </w:rPr>
      </w:pPr>
      <w:r>
        <w:rPr>
          <w:rFonts w:hint="default" w:ascii="仿宋_GB2312" w:hAnsi="仿宋_GB2312" w:eastAsia="仿宋_GB2312" w:cs="仿宋_GB2312"/>
          <w:kern w:val="0"/>
          <w:sz w:val="32"/>
          <w:szCs w:val="32"/>
          <w:lang w:val="en-US" w:eastAsia="zh-CN"/>
        </w:rPr>
        <w:t>岗位配置表：</w:t>
      </w:r>
    </w:p>
    <w:tbl>
      <w:tblPr>
        <w:tblStyle w:val="45"/>
        <w:tblW w:w="90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39"/>
        <w:gridCol w:w="2845"/>
        <w:gridCol w:w="20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 w:hRule="atLeast"/>
          <w:jc w:val="center"/>
        </w:trPr>
        <w:tc>
          <w:tcPr>
            <w:tcW w:w="4239"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580" w:lineRule="exact"/>
              <w:ind w:firstLine="640" w:firstLineChars="200"/>
              <w:jc w:val="left"/>
              <w:rPr>
                <w:rFonts w:hint="default" w:ascii="仿宋_GB2312" w:hAnsi="仿宋_GB2312" w:eastAsia="仿宋_GB2312" w:cs="仿宋_GB2312"/>
                <w:kern w:val="0"/>
                <w:sz w:val="32"/>
                <w:szCs w:val="32"/>
                <w:lang w:val="en-US" w:eastAsia="zh-CN"/>
              </w:rPr>
            </w:pPr>
            <w:r>
              <w:rPr>
                <w:rFonts w:hint="default" w:ascii="仿宋_GB2312" w:hAnsi="仿宋_GB2312" w:eastAsia="仿宋_GB2312" w:cs="仿宋_GB2312"/>
                <w:kern w:val="0"/>
                <w:sz w:val="32"/>
                <w:szCs w:val="32"/>
                <w:lang w:val="en-US" w:eastAsia="zh-CN"/>
              </w:rPr>
              <w:t>项目</w:t>
            </w:r>
          </w:p>
        </w:tc>
        <w:tc>
          <w:tcPr>
            <w:tcW w:w="284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580" w:lineRule="exact"/>
              <w:ind w:firstLine="640" w:firstLineChars="200"/>
              <w:jc w:val="left"/>
              <w:rPr>
                <w:rFonts w:hint="default" w:ascii="仿宋_GB2312" w:hAnsi="仿宋_GB2312" w:eastAsia="仿宋_GB2312" w:cs="仿宋_GB2312"/>
                <w:kern w:val="0"/>
                <w:sz w:val="32"/>
                <w:szCs w:val="32"/>
                <w:lang w:val="en-US" w:eastAsia="zh-CN"/>
              </w:rPr>
            </w:pPr>
            <w:r>
              <w:rPr>
                <w:rFonts w:hint="default" w:ascii="仿宋_GB2312" w:hAnsi="仿宋_GB2312" w:eastAsia="仿宋_GB2312" w:cs="仿宋_GB2312"/>
                <w:kern w:val="0"/>
                <w:sz w:val="32"/>
                <w:szCs w:val="32"/>
                <w:lang w:val="en-US" w:eastAsia="zh-CN"/>
              </w:rPr>
              <w:t>岗位</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580" w:lineRule="exact"/>
              <w:ind w:firstLine="640" w:firstLineChars="200"/>
              <w:jc w:val="left"/>
              <w:rPr>
                <w:rFonts w:hint="default" w:ascii="仿宋_GB2312" w:hAnsi="仿宋_GB2312" w:eastAsia="仿宋_GB2312" w:cs="仿宋_GB2312"/>
                <w:kern w:val="0"/>
                <w:sz w:val="32"/>
                <w:szCs w:val="32"/>
                <w:lang w:val="en-US" w:eastAsia="zh-CN"/>
              </w:rPr>
            </w:pPr>
            <w:r>
              <w:rPr>
                <w:rFonts w:hint="default" w:ascii="仿宋_GB2312" w:hAnsi="仿宋_GB2312" w:eastAsia="仿宋_GB2312" w:cs="仿宋_GB2312"/>
                <w:kern w:val="0"/>
                <w:sz w:val="32"/>
                <w:szCs w:val="32"/>
                <w:lang w:val="en-US" w:eastAsia="zh-CN"/>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1" w:hRule="atLeast"/>
          <w:jc w:val="center"/>
        </w:trPr>
        <w:tc>
          <w:tcPr>
            <w:tcW w:w="4239" w:type="dxa"/>
            <w:vMerge w:val="restart"/>
            <w:tcBorders>
              <w:top w:val="single" w:color="000000" w:sz="4" w:space="0"/>
              <w:left w:val="single" w:color="000000" w:sz="4" w:space="0"/>
              <w:right w:val="single" w:color="000000" w:sz="4" w:space="0"/>
            </w:tcBorders>
            <w:noWrap w:val="0"/>
            <w:vAlign w:val="center"/>
          </w:tcPr>
          <w:p>
            <w:pPr>
              <w:widowControl/>
              <w:spacing w:line="580" w:lineRule="exact"/>
              <w:ind w:firstLine="200"/>
              <w:jc w:val="center"/>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eastAsia="zh-CN"/>
              </w:rPr>
              <w:t>西山区怡芳苑小区老旧电梯更新更换项目</w:t>
            </w:r>
          </w:p>
        </w:tc>
        <w:tc>
          <w:tcPr>
            <w:tcW w:w="284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580" w:lineRule="exact"/>
              <w:ind w:firstLine="200"/>
              <w:jc w:val="center"/>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eastAsia="zh-CN"/>
              </w:rPr>
              <w:t>本项目负责人</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eastAsia="zh-CN"/>
              </w:rPr>
              <w:t>1人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4239" w:type="dxa"/>
            <w:vMerge w:val="continue"/>
            <w:tcBorders>
              <w:left w:val="single" w:color="000000" w:sz="4" w:space="0"/>
              <w:bottom w:val="single" w:color="000000" w:sz="4" w:space="0"/>
              <w:right w:val="single" w:color="000000" w:sz="4" w:space="0"/>
            </w:tcBorders>
            <w:noWrap w:val="0"/>
            <w:vAlign w:val="center"/>
          </w:tcPr>
          <w:p>
            <w:pPr>
              <w:widowControl/>
              <w:spacing w:line="580" w:lineRule="exact"/>
              <w:ind w:firstLine="640" w:firstLineChars="200"/>
              <w:jc w:val="left"/>
              <w:rPr>
                <w:rFonts w:hint="default" w:ascii="仿宋_GB2312" w:hAnsi="仿宋_GB2312" w:eastAsia="仿宋_GB2312" w:cs="仿宋_GB2312"/>
                <w:kern w:val="0"/>
                <w:sz w:val="32"/>
                <w:szCs w:val="32"/>
                <w:lang w:val="en-US" w:eastAsia="zh-CN"/>
              </w:rPr>
            </w:pPr>
          </w:p>
        </w:tc>
        <w:tc>
          <w:tcPr>
            <w:tcW w:w="284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580" w:lineRule="exact"/>
              <w:ind w:firstLine="200"/>
              <w:jc w:val="center"/>
              <w:rPr>
                <w:rFonts w:hint="default" w:ascii="仿宋_GB2312" w:hAnsi="仿宋_GB2312" w:eastAsia="仿宋_GB2312" w:cs="仿宋_GB2312"/>
                <w:kern w:val="0"/>
                <w:sz w:val="32"/>
                <w:szCs w:val="32"/>
                <w:lang w:val="en-US" w:eastAsia="zh-CN"/>
              </w:rPr>
            </w:pPr>
            <w:r>
              <w:rPr>
                <w:rFonts w:hint="default" w:ascii="仿宋_GB2312" w:hAnsi="仿宋_GB2312" w:eastAsia="仿宋_GB2312" w:cs="仿宋_GB2312"/>
                <w:kern w:val="0"/>
                <w:sz w:val="32"/>
                <w:szCs w:val="32"/>
                <w:lang w:val="en-US" w:eastAsia="zh-CN"/>
              </w:rPr>
              <w:t>特种设备作业人员</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580" w:lineRule="exact"/>
              <w:ind w:firstLine="640" w:firstLineChars="200"/>
              <w:jc w:val="left"/>
              <w:rPr>
                <w:rFonts w:hint="default" w:ascii="仿宋_GB2312" w:hAnsi="仿宋_GB2312" w:eastAsia="仿宋_GB2312" w:cs="仿宋_GB2312"/>
                <w:kern w:val="0"/>
                <w:sz w:val="32"/>
                <w:szCs w:val="32"/>
                <w:lang w:val="en-US" w:eastAsia="zh-CN"/>
              </w:rPr>
            </w:pPr>
            <w:r>
              <w:rPr>
                <w:rFonts w:hint="default" w:ascii="仿宋_GB2312" w:hAnsi="仿宋_GB2312" w:eastAsia="仿宋_GB2312" w:cs="仿宋_GB2312"/>
                <w:kern w:val="0"/>
                <w:sz w:val="32"/>
                <w:szCs w:val="32"/>
                <w:lang w:val="en-US" w:eastAsia="zh-CN"/>
              </w:rPr>
              <w:t>14人</w:t>
            </w:r>
          </w:p>
        </w:tc>
      </w:tr>
    </w:tbl>
    <w:p>
      <w:pPr>
        <w:widowControl/>
        <w:snapToGrid w:val="0"/>
        <w:spacing w:line="580" w:lineRule="exact"/>
        <w:ind w:firstLine="640" w:firstLineChars="200"/>
        <w:jc w:val="left"/>
        <w:rPr>
          <w:rFonts w:hint="default" w:ascii="黑体" w:hAnsi="黑体" w:eastAsia="黑体" w:cs="黑体"/>
          <w:b w:val="0"/>
          <w:bCs/>
          <w:kern w:val="0"/>
          <w:sz w:val="32"/>
          <w:szCs w:val="32"/>
          <w:lang w:val="en-US" w:eastAsia="zh-CN"/>
        </w:rPr>
      </w:pPr>
      <w:r>
        <w:rPr>
          <w:rFonts w:hint="default" w:ascii="仿宋_GB2312" w:hAnsi="仿宋_GB2312" w:eastAsia="仿宋_GB2312" w:cs="仿宋_GB2312"/>
          <w:b w:val="0"/>
          <w:bCs w:val="0"/>
          <w:kern w:val="0"/>
          <w:sz w:val="32"/>
          <w:szCs w:val="32"/>
          <w:lang w:val="en-US" w:eastAsia="zh-CN"/>
        </w:rPr>
        <w:t>投标人需承诺电梯安装人员配置最低按照岗位配置表中的岗位设置和人员数量进行配置。</w:t>
      </w:r>
    </w:p>
    <w:p>
      <w:pPr>
        <w:widowControl/>
        <w:snapToGrid w:val="0"/>
        <w:spacing w:line="580" w:lineRule="exact"/>
        <w:ind w:firstLine="640" w:firstLineChars="200"/>
        <w:jc w:val="left"/>
        <w:rPr>
          <w:rFonts w:hint="default" w:ascii="黑体" w:hAnsi="黑体" w:eastAsia="黑体" w:cs="黑体"/>
          <w:b w:val="0"/>
          <w:bCs/>
          <w:kern w:val="0"/>
          <w:sz w:val="32"/>
          <w:szCs w:val="32"/>
          <w:lang w:val="en-US" w:eastAsia="zh-CN"/>
        </w:rPr>
      </w:pPr>
      <w:r>
        <w:rPr>
          <w:rFonts w:hint="eastAsia" w:ascii="黑体" w:hAnsi="黑体" w:eastAsia="黑体" w:cs="黑体"/>
          <w:b w:val="0"/>
          <w:bCs/>
          <w:kern w:val="0"/>
          <w:sz w:val="32"/>
          <w:szCs w:val="32"/>
          <w:lang w:val="en-US" w:eastAsia="zh-CN"/>
        </w:rPr>
        <w:t>九</w:t>
      </w:r>
      <w:r>
        <w:rPr>
          <w:rFonts w:hint="default" w:ascii="黑体" w:hAnsi="黑体" w:eastAsia="黑体" w:cs="黑体"/>
          <w:b w:val="0"/>
          <w:bCs/>
          <w:kern w:val="0"/>
          <w:sz w:val="32"/>
          <w:szCs w:val="32"/>
          <w:lang w:val="en-US" w:eastAsia="zh-CN"/>
        </w:rPr>
        <w:t>、采购项目质量标准：</w:t>
      </w:r>
    </w:p>
    <w:p>
      <w:pPr>
        <w:widowControl/>
        <w:snapToGrid w:val="0"/>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eastAsia="zh-CN"/>
        </w:rPr>
        <w:t>1.乙方必须保证所供电梯是原厂</w:t>
      </w:r>
      <w:r>
        <w:rPr>
          <w:rFonts w:hint="default" w:ascii="仿宋_GB2312" w:hAnsi="仿宋_GB2312" w:eastAsia="仿宋_GB2312" w:cs="仿宋_GB2312"/>
          <w:kern w:val="0"/>
          <w:sz w:val="32"/>
          <w:szCs w:val="32"/>
          <w:lang w:val="en-US"/>
        </w:rPr>
        <w:t>生产的、全新的并完全符合招标文件规定、乙方投标文件承诺、经产品质量监督部门认定合格的要求；电梯设备中采用的主要的、核心的、关键的元件及技术标准与附件的要求内容一致。</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2</w:t>
      </w:r>
      <w:r>
        <w:rPr>
          <w:rFonts w:hint="default" w:ascii="仿宋_GB2312" w:hAnsi="仿宋_GB2312" w:eastAsia="仿宋_GB2312" w:cs="仿宋_GB2312"/>
          <w:kern w:val="0"/>
          <w:sz w:val="32"/>
          <w:szCs w:val="32"/>
          <w:lang w:val="en-US" w:eastAsia="zh-CN"/>
        </w:rPr>
        <w:t>.</w:t>
      </w:r>
      <w:r>
        <w:rPr>
          <w:rFonts w:hint="default" w:ascii="仿宋_GB2312" w:hAnsi="仿宋_GB2312" w:eastAsia="仿宋_GB2312" w:cs="仿宋_GB2312"/>
          <w:kern w:val="0"/>
          <w:sz w:val="32"/>
          <w:szCs w:val="32"/>
          <w:lang w:val="en-US"/>
        </w:rPr>
        <w:t>电梯设备应根据国家的相关标准、规范、招标文件的要求和乙方投标文件承诺进行设计和制造，所有主要部件必须至少达到</w:t>
      </w:r>
      <w:r>
        <w:rPr>
          <w:rFonts w:hint="default" w:ascii="仿宋_GB2312" w:hAnsi="仿宋_GB2312" w:eastAsia="仿宋_GB2312" w:cs="仿宋_GB2312"/>
          <w:kern w:val="0"/>
          <w:sz w:val="32"/>
          <w:szCs w:val="32"/>
          <w:lang w:val="en-US" w:eastAsia="zh-CN"/>
        </w:rPr>
        <w:t>国债标准，</w:t>
      </w:r>
      <w:r>
        <w:rPr>
          <w:rFonts w:hint="default" w:ascii="仿宋_GB2312" w:hAnsi="仿宋_GB2312" w:eastAsia="仿宋_GB2312" w:cs="仿宋_GB2312"/>
          <w:kern w:val="0"/>
          <w:sz w:val="32"/>
          <w:szCs w:val="32"/>
          <w:lang w:val="en-US"/>
        </w:rPr>
        <w:t>国内先进水平，结构合理、可靠性高、能耗低、运行噪音低、无污染，操作保养和维护简便。</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eastAsia="zh-CN"/>
        </w:rPr>
        <w:t>3.</w:t>
      </w:r>
      <w:r>
        <w:rPr>
          <w:rFonts w:hint="default" w:ascii="仿宋_GB2312" w:hAnsi="仿宋_GB2312" w:eastAsia="仿宋_GB2312" w:cs="仿宋_GB2312"/>
          <w:kern w:val="0"/>
          <w:sz w:val="32"/>
          <w:szCs w:val="32"/>
          <w:lang w:val="en-US"/>
        </w:rPr>
        <w:t xml:space="preserve">电梯必须达到或超过的国家、行业标准： </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（1）《电梯名词术语》（GB /T7024 -2008）</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（2）新于《电梯制造与安装安全规范》（GB7588-2003）的企业标准</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（3）《电梯技术条件》（GB/T 10058-2009）</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（4）《电梯实验方法》（GB/T10059-2009）</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（5）《电梯主参数及轿厢、井道、机房的型式与尺寸》（GB/T7025.1-2008）</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（6）《液压电梯》（JG5071-1996）</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（7）《杂物电梯技术条件》（Q/JBBM1-93）</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（8）《电梯曳引机》（GB/T24478-2009）</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（9）《电梯用钢丝绳》（GB 8903-2005）</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（10）《交流电梯电动机 通用技术条件》（GB/T 12974-1991）</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（11）《电梯T型导轨》（GB/T  22562-2008）</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（12）《电梯工程施工质量验收规范》（GB50310-2002）</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（13）《电梯安装工程质量检验评定标准》</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（14）《电梯安装验收规范》（GB10060-2023）</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（15）《电梯监督检验规程》</w:t>
      </w:r>
    </w:p>
    <w:p>
      <w:pPr>
        <w:widowControl/>
        <w:spacing w:line="580" w:lineRule="exact"/>
        <w:ind w:firstLine="640" w:firstLineChars="200"/>
        <w:jc w:val="left"/>
        <w:rPr>
          <w:rFonts w:hint="default" w:ascii="仿宋_GB2312" w:hAnsi="仿宋_GB2312" w:eastAsia="仿宋_GB2312" w:cs="仿宋_GB2312"/>
          <w:kern w:val="0"/>
          <w:sz w:val="32"/>
          <w:szCs w:val="32"/>
          <w:lang w:val="en-US" w:eastAsia="zh-CN"/>
        </w:rPr>
      </w:pPr>
      <w:r>
        <w:rPr>
          <w:rFonts w:hint="default" w:ascii="仿宋_GB2312" w:hAnsi="仿宋_GB2312" w:eastAsia="仿宋_GB2312" w:cs="仿宋_GB2312"/>
          <w:kern w:val="0"/>
          <w:sz w:val="32"/>
          <w:szCs w:val="32"/>
          <w:lang w:val="en-US" w:eastAsia="zh-CN"/>
        </w:rPr>
        <w:t>（16）</w:t>
      </w:r>
      <w:r>
        <w:rPr>
          <w:rFonts w:hint="default" w:ascii="仿宋_GB2312" w:hAnsi="仿宋_GB2312" w:eastAsia="仿宋_GB2312" w:cs="仿宋_GB2312"/>
          <w:kern w:val="0"/>
          <w:sz w:val="32"/>
          <w:szCs w:val="32"/>
          <w:lang w:val="en-US"/>
        </w:rPr>
        <w:t>超长期特别国债资金支持的更新电梯专项要求</w:t>
      </w:r>
    </w:p>
    <w:p>
      <w:pPr>
        <w:widowControl/>
        <w:spacing w:line="580" w:lineRule="exact"/>
        <w:ind w:firstLine="640" w:firstLineChars="200"/>
        <w:jc w:val="left"/>
        <w:rPr>
          <w:rFonts w:hint="default" w:ascii="仿宋_GB2312" w:hAnsi="仿宋_GB2312" w:eastAsia="仿宋_GB2312" w:cs="仿宋_GB2312"/>
          <w:kern w:val="0"/>
          <w:sz w:val="32"/>
          <w:szCs w:val="32"/>
          <w:lang w:val="en-US" w:eastAsia="zh-CN"/>
        </w:rPr>
      </w:pPr>
      <w:r>
        <w:rPr>
          <w:rFonts w:hint="default" w:ascii="仿宋_GB2312" w:hAnsi="仿宋_GB2312" w:eastAsia="仿宋_GB2312" w:cs="仿宋_GB2312"/>
          <w:kern w:val="0"/>
          <w:sz w:val="32"/>
          <w:szCs w:val="32"/>
          <w:lang w:val="en-US" w:eastAsia="zh-CN"/>
        </w:rPr>
        <w:t>（17）</w:t>
      </w:r>
      <w:r>
        <w:rPr>
          <w:rFonts w:hint="default" w:ascii="仿宋_GB2312" w:hAnsi="仿宋_GB2312" w:eastAsia="仿宋_GB2312" w:cs="仿宋_GB2312"/>
          <w:kern w:val="0"/>
          <w:sz w:val="32"/>
          <w:szCs w:val="32"/>
          <w:lang w:val="en-US"/>
        </w:rPr>
        <w:t>超长期特别国债资金支持的更新电梯检验附加要求</w:t>
      </w:r>
    </w:p>
    <w:p>
      <w:pPr>
        <w:widowControl/>
        <w:spacing w:line="580" w:lineRule="exact"/>
        <w:ind w:firstLine="640" w:firstLineChars="200"/>
        <w:jc w:val="left"/>
        <w:rPr>
          <w:rFonts w:hint="default" w:ascii="仿宋_GB2312" w:hAnsi="仿宋_GB2312" w:eastAsia="仿宋_GB2312" w:cs="仿宋_GB2312"/>
          <w:kern w:val="0"/>
          <w:sz w:val="32"/>
          <w:szCs w:val="32"/>
          <w:lang w:val="en-US" w:eastAsia="zh-CN"/>
        </w:rPr>
      </w:pPr>
      <w:r>
        <w:rPr>
          <w:rFonts w:hint="default" w:ascii="仿宋_GB2312" w:hAnsi="仿宋_GB2312" w:eastAsia="仿宋_GB2312" w:cs="仿宋_GB2312"/>
          <w:kern w:val="0"/>
          <w:sz w:val="32"/>
          <w:szCs w:val="32"/>
          <w:lang w:val="en-US" w:eastAsia="zh-CN"/>
        </w:rPr>
        <w:t>（18）《</w:t>
      </w:r>
      <w:r>
        <w:rPr>
          <w:rFonts w:hint="default" w:ascii="仿宋_GB2312" w:hAnsi="仿宋_GB2312" w:eastAsia="仿宋_GB2312" w:cs="仿宋_GB2312"/>
          <w:kern w:val="0"/>
          <w:sz w:val="32"/>
          <w:szCs w:val="32"/>
          <w:lang w:val="en-US"/>
        </w:rPr>
        <w:t>电梯制造与安装安全规范</w:t>
      </w:r>
      <w:r>
        <w:rPr>
          <w:rFonts w:hint="default" w:ascii="仿宋_GB2312" w:hAnsi="仿宋_GB2312" w:eastAsia="仿宋_GB2312" w:cs="仿宋_GB2312"/>
          <w:kern w:val="0"/>
          <w:sz w:val="32"/>
          <w:szCs w:val="32"/>
          <w:lang w:val="en-US" w:eastAsia="zh-CN"/>
        </w:rPr>
        <w:t>》GBGB/T7588.1—2020</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（1</w:t>
      </w:r>
      <w:r>
        <w:rPr>
          <w:rFonts w:hint="default" w:ascii="仿宋_GB2312" w:hAnsi="仿宋_GB2312" w:eastAsia="仿宋_GB2312" w:cs="仿宋_GB2312"/>
          <w:kern w:val="0"/>
          <w:sz w:val="32"/>
          <w:szCs w:val="32"/>
          <w:lang w:val="en-US" w:eastAsia="zh-CN"/>
        </w:rPr>
        <w:t>9</w:t>
      </w:r>
      <w:r>
        <w:rPr>
          <w:rFonts w:hint="default" w:ascii="仿宋_GB2312" w:hAnsi="仿宋_GB2312" w:eastAsia="仿宋_GB2312" w:cs="仿宋_GB2312"/>
          <w:kern w:val="0"/>
          <w:sz w:val="32"/>
          <w:szCs w:val="32"/>
          <w:lang w:val="en-US"/>
        </w:rPr>
        <w:t>）其他相关国家标准和规范。</w:t>
      </w:r>
    </w:p>
    <w:p>
      <w:pPr>
        <w:widowControl/>
        <w:spacing w:line="580" w:lineRule="exact"/>
        <w:ind w:firstLine="640" w:firstLineChars="200"/>
        <w:jc w:val="left"/>
        <w:rPr>
          <w:rFonts w:hint="default" w:ascii="仿宋_GB2312" w:hAnsi="仿宋_GB2312" w:eastAsia="仿宋_GB2312" w:cs="仿宋_GB2312"/>
          <w:kern w:val="0"/>
          <w:sz w:val="32"/>
          <w:szCs w:val="32"/>
          <w:lang w:val="en-US"/>
        </w:rPr>
      </w:pPr>
      <w:r>
        <w:rPr>
          <w:rFonts w:hint="default" w:ascii="仿宋_GB2312" w:hAnsi="仿宋_GB2312" w:eastAsia="仿宋_GB2312" w:cs="仿宋_GB2312"/>
          <w:kern w:val="0"/>
          <w:sz w:val="32"/>
          <w:szCs w:val="32"/>
          <w:lang w:val="en-US"/>
        </w:rPr>
        <w:t>以上未含的现行国家、云南省昆明市规范、标准，若电梯安装所在地政府相关部门有相应规定的，乙方承诺提供的电梯符合其规定；如有出台新的国家、行业标准,须按新标准执行。</w:t>
      </w:r>
    </w:p>
    <w:p>
      <w:pPr>
        <w:rPr>
          <w:rFonts w:hint="default" w:ascii="仿宋_GB2312" w:hAnsi="仿宋_GB2312" w:eastAsia="仿宋_GB2312" w:cs="仿宋_GB2312"/>
          <w:kern w:val="0"/>
          <w:sz w:val="32"/>
          <w:szCs w:val="32"/>
          <w:lang w:val="en-US"/>
        </w:rPr>
        <w:sectPr>
          <w:footerReference r:id="rId5" w:type="first"/>
          <w:headerReference r:id="rId3" w:type="default"/>
          <w:footerReference r:id="rId4" w:type="default"/>
          <w:pgSz w:w="11906" w:h="16838"/>
          <w:pgMar w:top="1134" w:right="1080" w:bottom="1134" w:left="1080" w:header="851" w:footer="992" w:gutter="0"/>
          <w:pgBorders>
            <w:top w:val="none" w:sz="0" w:space="0"/>
            <w:left w:val="none" w:sz="0" w:space="0"/>
            <w:bottom w:val="none" w:sz="0" w:space="0"/>
            <w:right w:val="none" w:sz="0" w:space="0"/>
          </w:pgBorders>
          <w:cols w:space="720" w:num="1"/>
          <w:titlePg/>
          <w:docGrid w:type="lines" w:linePitch="312" w:charSpace="0"/>
        </w:sectPr>
      </w:pPr>
    </w:p>
    <w:p>
      <w:pPr>
        <w:pStyle w:val="44"/>
        <w:ind w:left="0" w:leftChars="0" w:firstLine="0" w:firstLineChars="0"/>
        <w:rPr>
          <w:rFonts w:hint="default"/>
          <w:lang w:val="en-US"/>
        </w:rPr>
      </w:pPr>
    </w:p>
    <w:p>
      <w:pPr>
        <w:widowControl/>
        <w:snapToGrid w:val="0"/>
        <w:spacing w:line="580" w:lineRule="exact"/>
        <w:jc w:val="left"/>
        <w:rPr>
          <w:rFonts w:hint="eastAsia" w:ascii="黑体" w:hAnsi="黑体" w:eastAsia="黑体" w:cs="黑体"/>
          <w:b w:val="0"/>
          <w:bCs/>
          <w:kern w:val="0"/>
          <w:sz w:val="32"/>
          <w:szCs w:val="32"/>
          <w:lang w:val="en-US" w:eastAsia="zh-CN"/>
        </w:rPr>
      </w:pPr>
      <w:r>
        <w:rPr>
          <w:rFonts w:hint="eastAsia" w:ascii="黑体" w:hAnsi="黑体" w:eastAsia="黑体" w:cs="黑体"/>
          <w:b w:val="0"/>
          <w:bCs/>
          <w:kern w:val="0"/>
          <w:sz w:val="32"/>
          <w:szCs w:val="32"/>
          <w:lang w:val="en-US" w:eastAsia="zh-CN"/>
        </w:rPr>
        <w:t>十、 技术标准和要求</w:t>
      </w:r>
    </w:p>
    <w:p>
      <w:pPr>
        <w:keepNext/>
        <w:keepLines/>
        <w:pageBreakBefore w:val="0"/>
        <w:widowControl/>
        <w:kinsoku/>
        <w:wordWrap/>
        <w:overflowPunct/>
        <w:topLinePunct w:val="0"/>
        <w:autoSpaceDE/>
        <w:autoSpaceDN/>
        <w:bidi w:val="0"/>
        <w:adjustRightInd/>
        <w:snapToGrid/>
        <w:spacing w:line="360" w:lineRule="auto"/>
        <w:ind w:firstLine="200"/>
        <w:jc w:val="left"/>
        <w:textAlignment w:val="auto"/>
        <w:outlineLvl w:val="1"/>
        <w:rPr>
          <w:rFonts w:hint="eastAsia" w:ascii="黑体" w:hAnsi="黑体" w:eastAsia="黑体" w:cs="黑体"/>
          <w:b/>
          <w:bCs/>
          <w:kern w:val="0"/>
          <w:sz w:val="28"/>
          <w:szCs w:val="28"/>
          <w:lang w:val="en-US" w:eastAsia="zh-CN" w:bidi="ar-SA"/>
        </w:rPr>
      </w:pPr>
      <w:bookmarkStart w:id="171" w:name="_Toc15435"/>
      <w:r>
        <w:rPr>
          <w:rFonts w:hint="eastAsia" w:ascii="黑体" w:hAnsi="黑体" w:eastAsia="黑体" w:cs="黑体"/>
          <w:b/>
          <w:bCs/>
          <w:kern w:val="44"/>
          <w:sz w:val="28"/>
          <w:szCs w:val="28"/>
          <w:lang w:val="en-US" w:eastAsia="zh-CN" w:bidi="ar-SA"/>
        </w:rPr>
        <w:t>（一）电梯更新土建尺寸清单</w:t>
      </w:r>
      <w:r>
        <w:rPr>
          <w:rFonts w:hint="eastAsia" w:ascii="黑体" w:hAnsi="黑体" w:eastAsia="黑体" w:cs="黑体"/>
          <w:b/>
          <w:bCs/>
          <w:kern w:val="0"/>
          <w:sz w:val="28"/>
          <w:szCs w:val="28"/>
          <w:lang w:val="en-US" w:eastAsia="zh-CN" w:bidi="ar-SA"/>
        </w:rPr>
        <w:t xml:space="preserve"> </w:t>
      </w:r>
    </w:p>
    <w:p>
      <w:pPr>
        <w:keepNext/>
        <w:keepLines/>
        <w:pageBreakBefore w:val="0"/>
        <w:widowControl/>
        <w:kinsoku/>
        <w:wordWrap/>
        <w:overflowPunct/>
        <w:topLinePunct w:val="0"/>
        <w:autoSpaceDE/>
        <w:autoSpaceDN/>
        <w:bidi w:val="0"/>
        <w:adjustRightInd/>
        <w:snapToGrid/>
        <w:spacing w:line="360" w:lineRule="auto"/>
        <w:ind w:firstLine="200"/>
        <w:jc w:val="left"/>
        <w:textAlignment w:val="auto"/>
        <w:outlineLvl w:val="1"/>
        <w:rPr>
          <w:rFonts w:hint="eastAsia" w:ascii="黑体" w:hAnsi="黑体" w:eastAsia="黑体" w:cs="黑体"/>
          <w:b/>
          <w:bCs/>
          <w:kern w:val="0"/>
          <w:sz w:val="28"/>
          <w:szCs w:val="28"/>
          <w:lang w:val="en-US" w:eastAsia="zh-CN" w:bidi="ar-SA"/>
        </w:rPr>
      </w:pPr>
      <w:r>
        <w:rPr>
          <w:rFonts w:hint="eastAsia" w:ascii="黑体" w:hAnsi="黑体" w:eastAsia="黑体" w:cs="黑体"/>
          <w:b/>
          <w:bCs/>
          <w:kern w:val="0"/>
          <w:sz w:val="28"/>
          <w:szCs w:val="28"/>
          <w:lang w:val="en-US" w:eastAsia="zh-CN" w:bidi="ar-SA"/>
        </w:rPr>
        <w:t>1、</w:t>
      </w:r>
      <w:bookmarkEnd w:id="171"/>
      <w:r>
        <w:rPr>
          <w:rFonts w:hint="eastAsia" w:ascii="黑体" w:hAnsi="黑体" w:eastAsia="黑体" w:cs="黑体"/>
          <w:b/>
          <w:bCs/>
          <w:kern w:val="0"/>
          <w:sz w:val="28"/>
          <w:szCs w:val="28"/>
          <w:lang w:val="en-US" w:eastAsia="zh-CN" w:bidi="ar-SA"/>
        </w:rPr>
        <w:t>怡芳苑小区</w:t>
      </w:r>
      <w:r>
        <w:rPr>
          <w:rFonts w:hint="eastAsia" w:ascii="黑体" w:hAnsi="黑体" w:eastAsia="黑体" w:cs="黑体"/>
          <w:b/>
          <w:bCs/>
          <w:kern w:val="44"/>
          <w:sz w:val="28"/>
          <w:szCs w:val="28"/>
          <w:lang w:val="en-US" w:eastAsia="zh-CN" w:bidi="ar-SA"/>
        </w:rPr>
        <w:t>电梯更新土建尺寸清单</w:t>
      </w:r>
    </w:p>
    <w:tbl>
      <w:tblPr>
        <w:tblStyle w:val="45"/>
        <w:tblpPr w:leftFromText="180" w:rightFromText="180" w:vertAnchor="text" w:horzAnchor="page" w:tblpXSpec="center" w:tblpY="839"/>
        <w:tblOverlap w:val="never"/>
        <w:tblW w:w="14895" w:type="dxa"/>
        <w:jc w:val="center"/>
        <w:shd w:val="clear" w:color="auto" w:fill="FFFFFF" w:themeFill="background1"/>
        <w:tblLayout w:type="fixed"/>
        <w:tblCellMar>
          <w:top w:w="0" w:type="dxa"/>
          <w:left w:w="108" w:type="dxa"/>
          <w:bottom w:w="0" w:type="dxa"/>
          <w:right w:w="108" w:type="dxa"/>
        </w:tblCellMar>
      </w:tblPr>
      <w:tblGrid>
        <w:gridCol w:w="527"/>
        <w:gridCol w:w="1054"/>
        <w:gridCol w:w="737"/>
        <w:gridCol w:w="1406"/>
        <w:gridCol w:w="797"/>
        <w:gridCol w:w="1114"/>
        <w:gridCol w:w="759"/>
        <w:gridCol w:w="859"/>
        <w:gridCol w:w="796"/>
        <w:gridCol w:w="1058"/>
        <w:gridCol w:w="765"/>
        <w:gridCol w:w="1326"/>
        <w:gridCol w:w="1084"/>
        <w:gridCol w:w="2613"/>
      </w:tblGrid>
      <w:tr>
        <w:tblPrEx>
          <w:shd w:val="clear" w:color="auto" w:fill="FFFFFF" w:themeFill="background1"/>
          <w:tblCellMar>
            <w:top w:w="0" w:type="dxa"/>
            <w:left w:w="108" w:type="dxa"/>
            <w:bottom w:w="0" w:type="dxa"/>
            <w:right w:w="108" w:type="dxa"/>
          </w:tblCellMar>
        </w:tblPrEx>
        <w:trPr>
          <w:trHeight w:val="600" w:hRule="atLeast"/>
          <w:jc w:val="center"/>
        </w:trPr>
        <w:tc>
          <w:tcPr>
            <w:tcW w:w="527" w:type="dxa"/>
            <w:tcBorders>
              <w:top w:val="doub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bookmarkStart w:id="172" w:name="_Toc17447"/>
            <w:r>
              <w:rPr>
                <w:rFonts w:hint="eastAsia" w:ascii="FangSong_GB2312" w:hAnsi="FangSong_GB2312" w:eastAsia="FangSong_GB2312" w:cs="FangSong_GB2312"/>
                <w:b/>
                <w:bCs/>
                <w:kern w:val="0"/>
                <w:sz w:val="21"/>
                <w:szCs w:val="21"/>
                <w:lang w:bidi="ar"/>
              </w:rPr>
              <w:t>序号</w:t>
            </w:r>
          </w:p>
        </w:tc>
        <w:tc>
          <w:tcPr>
            <w:tcW w:w="1054"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栋号</w:t>
            </w:r>
          </w:p>
        </w:tc>
        <w:tc>
          <w:tcPr>
            <w:tcW w:w="737"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载重</w:t>
            </w:r>
          </w:p>
        </w:tc>
        <w:tc>
          <w:tcPr>
            <w:tcW w:w="1406"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层/站/门</w:t>
            </w:r>
          </w:p>
        </w:tc>
        <w:tc>
          <w:tcPr>
            <w:tcW w:w="797"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速度（m/s)</w:t>
            </w:r>
          </w:p>
        </w:tc>
        <w:tc>
          <w:tcPr>
            <w:tcW w:w="1114"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开门净尺寸</w:t>
            </w:r>
          </w:p>
        </w:tc>
        <w:tc>
          <w:tcPr>
            <w:tcW w:w="759"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井道净宽</w:t>
            </w:r>
          </w:p>
        </w:tc>
        <w:tc>
          <w:tcPr>
            <w:tcW w:w="859"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井道净深</w:t>
            </w:r>
          </w:p>
        </w:tc>
        <w:tc>
          <w:tcPr>
            <w:tcW w:w="796"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底坑深度</w:t>
            </w:r>
          </w:p>
        </w:tc>
        <w:tc>
          <w:tcPr>
            <w:tcW w:w="1058"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b/>
                <w:bCs/>
                <w:kern w:val="0"/>
                <w:sz w:val="21"/>
                <w:szCs w:val="21"/>
                <w:lang w:eastAsia="zh-CN" w:bidi="ar"/>
              </w:rPr>
            </w:pPr>
            <w:r>
              <w:rPr>
                <w:rFonts w:hint="eastAsia" w:ascii="FangSong_GB2312" w:hAnsi="FangSong_GB2312" w:eastAsia="FangSong_GB2312" w:cs="FangSong_GB2312"/>
                <w:b/>
                <w:bCs/>
                <w:kern w:val="0"/>
                <w:sz w:val="21"/>
                <w:szCs w:val="21"/>
                <w:lang w:eastAsia="zh-CN" w:bidi="ar"/>
              </w:rPr>
              <w:t>轿厢高度</w:t>
            </w:r>
          </w:p>
        </w:tc>
        <w:tc>
          <w:tcPr>
            <w:tcW w:w="765"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b/>
                <w:bCs/>
                <w:kern w:val="0"/>
                <w:sz w:val="21"/>
                <w:szCs w:val="21"/>
                <w:lang w:val="en-US" w:eastAsia="zh-CN" w:bidi="ar"/>
              </w:rPr>
            </w:pPr>
            <w:r>
              <w:rPr>
                <w:rFonts w:hint="eastAsia" w:ascii="FangSong_GB2312" w:hAnsi="FangSong_GB2312" w:eastAsia="FangSong_GB2312" w:cs="FangSong_GB2312"/>
                <w:b/>
                <w:bCs/>
                <w:kern w:val="0"/>
                <w:sz w:val="21"/>
                <w:szCs w:val="21"/>
                <w:lang w:val="en-US" w:eastAsia="zh-CN" w:bidi="ar"/>
              </w:rPr>
              <w:t>数量（台）</w:t>
            </w:r>
          </w:p>
        </w:tc>
        <w:tc>
          <w:tcPr>
            <w:tcW w:w="2410" w:type="dxa"/>
            <w:gridSpan w:val="2"/>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层高</w:t>
            </w:r>
          </w:p>
        </w:tc>
        <w:tc>
          <w:tcPr>
            <w:tcW w:w="2613" w:type="dxa"/>
            <w:tcBorders>
              <w:top w:val="doub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备注</w:t>
            </w:r>
          </w:p>
        </w:tc>
      </w:tr>
      <w:tr>
        <w:tblPrEx>
          <w:shd w:val="clear" w:color="auto" w:fill="FFFFFF" w:themeFill="background1"/>
          <w:tblCellMar>
            <w:top w:w="0" w:type="dxa"/>
            <w:left w:w="108" w:type="dxa"/>
            <w:bottom w:w="0" w:type="dxa"/>
            <w:right w:w="108" w:type="dxa"/>
          </w:tblCellMar>
        </w:tblPrEx>
        <w:trPr>
          <w:trHeight w:val="38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1</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1栋1单元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2420</w:t>
            </w:r>
            <w:r>
              <w:rPr>
                <w:rFonts w:hint="eastAsia" w:ascii="FangSong_GB2312" w:hAnsi="FangSong_GB2312" w:eastAsia="FangSong_GB2312" w:cs="FangSong_GB2312"/>
                <w:kern w:val="0"/>
                <w:sz w:val="21"/>
                <w:szCs w:val="21"/>
                <w:lang w:bidi="ar"/>
              </w:rPr>
              <w:t>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2150mm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6</w:t>
            </w:r>
            <w:r>
              <w:rPr>
                <w:rFonts w:hint="eastAsia" w:ascii="FangSong_GB2312" w:hAnsi="FangSong_GB2312" w:eastAsia="FangSong_GB2312" w:cs="FangSong_GB2312"/>
                <w:kern w:val="0"/>
                <w:sz w:val="21"/>
                <w:szCs w:val="21"/>
                <w:lang w:bidi="ar"/>
              </w:rPr>
              <w:t>50mm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445</w:t>
            </w:r>
            <w:r>
              <w:rPr>
                <w:rFonts w:hint="eastAsia" w:ascii="FangSong_GB2312" w:hAnsi="FangSong_GB2312" w:eastAsia="FangSong_GB2312" w:cs="FangSong_GB2312"/>
                <w:kern w:val="0"/>
                <w:sz w:val="21"/>
                <w:szCs w:val="21"/>
                <w:lang w:bidi="ar"/>
              </w:rPr>
              <w:t>0mm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90"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hint="default" w:ascii="FangSong_GB2312" w:hAnsi="FangSong_GB2312" w:eastAsia="FangSong_GB2312" w:cs="FangSong_GB2312"/>
                <w:kern w:val="0"/>
                <w:sz w:val="21"/>
                <w:szCs w:val="21"/>
                <w:lang w:val="en-US" w:eastAsia="zh-CN"/>
              </w:rPr>
            </w:pPr>
          </w:p>
        </w:tc>
        <w:tc>
          <w:tcPr>
            <w:tcW w:w="765" w:type="dxa"/>
            <w:vMerge w:val="continue"/>
            <w:tcBorders>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hint="default" w:ascii="FangSong_GB2312" w:hAnsi="FangSong_GB2312" w:eastAsia="FangSong_GB2312" w:cs="FangSong_GB2312"/>
                <w:kern w:val="0"/>
                <w:sz w:val="21"/>
                <w:szCs w:val="21"/>
                <w:lang w:val="en-US" w:eastAsia="zh-CN"/>
              </w:rPr>
            </w:pPr>
          </w:p>
        </w:tc>
        <w:tc>
          <w:tcPr>
            <w:tcW w:w="1326" w:type="dxa"/>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2800</w:t>
            </w:r>
            <w:r>
              <w:rPr>
                <w:rFonts w:hint="eastAsia" w:ascii="FangSong_GB2312" w:hAnsi="FangSong_GB2312" w:eastAsia="FangSong_GB2312" w:cs="FangSong_GB2312"/>
                <w:kern w:val="0"/>
                <w:sz w:val="21"/>
                <w:szCs w:val="21"/>
                <w:lang w:bidi="ar"/>
              </w:rPr>
              <w:t>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2</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1栋2单元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2420</w:t>
            </w:r>
            <w:r>
              <w:rPr>
                <w:rFonts w:hint="eastAsia" w:ascii="FangSong_GB2312" w:hAnsi="FangSong_GB2312" w:eastAsia="FangSong_GB2312" w:cs="FangSong_GB2312"/>
                <w:kern w:val="0"/>
                <w:sz w:val="21"/>
                <w:szCs w:val="21"/>
                <w:lang w:bidi="ar"/>
              </w:rPr>
              <w:t>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2150mm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6</w:t>
            </w:r>
            <w:r>
              <w:rPr>
                <w:rFonts w:hint="eastAsia" w:ascii="FangSong_GB2312" w:hAnsi="FangSong_GB2312" w:eastAsia="FangSong_GB2312" w:cs="FangSong_GB2312"/>
                <w:kern w:val="0"/>
                <w:sz w:val="21"/>
                <w:szCs w:val="21"/>
                <w:lang w:bidi="ar"/>
              </w:rPr>
              <w:t>50mm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445</w:t>
            </w:r>
            <w:r>
              <w:rPr>
                <w:rFonts w:hint="eastAsia" w:ascii="FangSong_GB2312" w:hAnsi="FangSong_GB2312" w:eastAsia="FangSong_GB2312" w:cs="FangSong_GB2312"/>
                <w:kern w:val="0"/>
                <w:sz w:val="21"/>
                <w:szCs w:val="21"/>
                <w:lang w:bidi="ar"/>
              </w:rPr>
              <w:t>0mm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lang w:val="en-US" w:eastAsia="zh-CN" w:bidi="ar-SA"/>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359"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1F-</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2800</w:t>
            </w:r>
            <w:r>
              <w:rPr>
                <w:rFonts w:hint="eastAsia" w:ascii="FangSong_GB2312" w:hAnsi="FangSong_GB2312" w:eastAsia="FangSong_GB2312" w:cs="FangSong_GB2312"/>
                <w:kern w:val="0"/>
                <w:sz w:val="21"/>
                <w:szCs w:val="21"/>
                <w:lang w:bidi="ar"/>
              </w:rPr>
              <w:t>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3</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2栋1单元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w:t>
            </w:r>
            <w:r>
              <w:rPr>
                <w:rFonts w:hint="eastAsia" w:ascii="FangSong_GB2312" w:hAnsi="FangSong_GB2312" w:eastAsia="FangSong_GB2312" w:cs="FangSong_GB2312"/>
                <w:kern w:val="0"/>
                <w:sz w:val="21"/>
                <w:szCs w:val="21"/>
                <w:lang w:val="en-US" w:eastAsia="zh-CN" w:bidi="ar"/>
              </w:rPr>
              <w:t>425</w:t>
            </w:r>
            <w:r>
              <w:rPr>
                <w:rFonts w:hint="eastAsia" w:ascii="FangSong_GB2312" w:hAnsi="FangSong_GB2312" w:eastAsia="FangSong_GB2312" w:cs="FangSong_GB2312"/>
                <w:kern w:val="0"/>
                <w:sz w:val="21"/>
                <w:szCs w:val="21"/>
                <w:lang w:bidi="ar"/>
              </w:rPr>
              <w:t>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w:t>
            </w:r>
            <w:r>
              <w:rPr>
                <w:rFonts w:hint="eastAsia" w:ascii="FangSong_GB2312" w:hAnsi="FangSong_GB2312" w:eastAsia="FangSong_GB2312" w:cs="FangSong_GB2312"/>
                <w:kern w:val="0"/>
                <w:sz w:val="21"/>
                <w:szCs w:val="21"/>
                <w:lang w:val="en-US" w:eastAsia="zh-CN" w:bidi="ar"/>
              </w:rPr>
              <w:t>36</w:t>
            </w:r>
            <w:r>
              <w:rPr>
                <w:rFonts w:hint="eastAsia" w:ascii="FangSong_GB2312" w:hAnsi="FangSong_GB2312" w:eastAsia="FangSong_GB2312" w:cs="FangSong_GB2312"/>
                <w:kern w:val="0"/>
                <w:sz w:val="21"/>
                <w:szCs w:val="21"/>
                <w:lang w:bidi="ar"/>
              </w:rPr>
              <w:t>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7</w:t>
            </w:r>
            <w:r>
              <w:rPr>
                <w:rFonts w:hint="eastAsia" w:ascii="FangSong_GB2312" w:hAnsi="FangSong_GB2312" w:eastAsia="FangSong_GB2312" w:cs="FangSong_GB2312"/>
                <w:kern w:val="0"/>
                <w:sz w:val="21"/>
                <w:szCs w:val="21"/>
                <w:lang w:bidi="ar"/>
              </w:rPr>
              <w:t>50mm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447</w:t>
            </w:r>
            <w:r>
              <w:rPr>
                <w:rFonts w:hint="eastAsia" w:ascii="FangSong_GB2312" w:hAnsi="FangSong_GB2312" w:eastAsia="FangSong_GB2312" w:cs="FangSong_GB2312"/>
                <w:kern w:val="0"/>
                <w:sz w:val="21"/>
                <w:szCs w:val="21"/>
                <w:lang w:bidi="ar"/>
              </w:rPr>
              <w:t>0mm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lang w:val="en-US" w:eastAsia="zh-CN" w:bidi="ar-SA"/>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304"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1F-</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2800</w:t>
            </w:r>
            <w:r>
              <w:rPr>
                <w:rFonts w:hint="eastAsia" w:ascii="FangSong_GB2312" w:hAnsi="FangSong_GB2312" w:eastAsia="FangSong_GB2312" w:cs="FangSong_GB2312"/>
                <w:kern w:val="0"/>
                <w:sz w:val="21"/>
                <w:szCs w:val="21"/>
                <w:lang w:bidi="ar"/>
              </w:rPr>
              <w:t>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4</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2栋2单元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w:t>
            </w:r>
            <w:r>
              <w:rPr>
                <w:rFonts w:hint="eastAsia" w:ascii="FangSong_GB2312" w:hAnsi="FangSong_GB2312" w:eastAsia="FangSong_GB2312" w:cs="FangSong_GB2312"/>
                <w:kern w:val="0"/>
                <w:sz w:val="21"/>
                <w:szCs w:val="21"/>
                <w:lang w:val="en-US" w:eastAsia="zh-CN" w:bidi="ar"/>
              </w:rPr>
              <w:t>425</w:t>
            </w:r>
            <w:r>
              <w:rPr>
                <w:rFonts w:hint="eastAsia" w:ascii="FangSong_GB2312" w:hAnsi="FangSong_GB2312" w:eastAsia="FangSong_GB2312" w:cs="FangSong_GB2312"/>
                <w:kern w:val="0"/>
                <w:sz w:val="21"/>
                <w:szCs w:val="21"/>
                <w:lang w:bidi="ar"/>
              </w:rPr>
              <w:t>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w:t>
            </w:r>
            <w:r>
              <w:rPr>
                <w:rFonts w:hint="eastAsia" w:ascii="FangSong_GB2312" w:hAnsi="FangSong_GB2312" w:eastAsia="FangSong_GB2312" w:cs="FangSong_GB2312"/>
                <w:kern w:val="0"/>
                <w:sz w:val="21"/>
                <w:szCs w:val="21"/>
                <w:lang w:val="en-US" w:eastAsia="zh-CN" w:bidi="ar"/>
              </w:rPr>
              <w:t>36</w:t>
            </w:r>
            <w:r>
              <w:rPr>
                <w:rFonts w:hint="eastAsia" w:ascii="FangSong_GB2312" w:hAnsi="FangSong_GB2312" w:eastAsia="FangSong_GB2312" w:cs="FangSong_GB2312"/>
                <w:kern w:val="0"/>
                <w:sz w:val="21"/>
                <w:szCs w:val="21"/>
                <w:lang w:bidi="ar"/>
              </w:rPr>
              <w:t>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7</w:t>
            </w:r>
            <w:r>
              <w:rPr>
                <w:rFonts w:hint="eastAsia" w:ascii="FangSong_GB2312" w:hAnsi="FangSong_GB2312" w:eastAsia="FangSong_GB2312" w:cs="FangSong_GB2312"/>
                <w:kern w:val="0"/>
                <w:sz w:val="21"/>
                <w:szCs w:val="21"/>
                <w:lang w:bidi="ar"/>
              </w:rPr>
              <w:t>50mm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447</w:t>
            </w:r>
            <w:r>
              <w:rPr>
                <w:rFonts w:hint="eastAsia" w:ascii="FangSong_GB2312" w:hAnsi="FangSong_GB2312" w:eastAsia="FangSong_GB2312" w:cs="FangSong_GB2312"/>
                <w:kern w:val="0"/>
                <w:sz w:val="21"/>
                <w:szCs w:val="21"/>
                <w:lang w:bidi="ar"/>
              </w:rPr>
              <w:t>0mm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lang w:val="en-US" w:eastAsia="zh-CN" w:bidi="ar-SA"/>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439"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1F-</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2800</w:t>
            </w:r>
            <w:r>
              <w:rPr>
                <w:rFonts w:hint="eastAsia" w:ascii="FangSong_GB2312" w:hAnsi="FangSong_GB2312" w:eastAsia="FangSong_GB2312" w:cs="FangSong_GB2312"/>
                <w:kern w:val="0"/>
                <w:sz w:val="21"/>
                <w:szCs w:val="21"/>
                <w:lang w:bidi="ar"/>
              </w:rPr>
              <w:t>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5</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3栋1单元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w:t>
            </w:r>
            <w:r>
              <w:rPr>
                <w:rFonts w:hint="eastAsia" w:ascii="FangSong_GB2312" w:hAnsi="FangSong_GB2312" w:eastAsia="FangSong_GB2312" w:cs="FangSong_GB2312"/>
                <w:kern w:val="0"/>
                <w:sz w:val="21"/>
                <w:szCs w:val="21"/>
                <w:lang w:val="en-US" w:eastAsia="zh-CN" w:bidi="ar"/>
              </w:rPr>
              <w:t>410</w:t>
            </w:r>
            <w:r>
              <w:rPr>
                <w:rFonts w:hint="eastAsia" w:ascii="FangSong_GB2312" w:hAnsi="FangSong_GB2312" w:eastAsia="FangSong_GB2312" w:cs="FangSong_GB2312"/>
                <w:kern w:val="0"/>
                <w:sz w:val="21"/>
                <w:szCs w:val="21"/>
                <w:lang w:bidi="ar"/>
              </w:rPr>
              <w:t>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2150mm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90</w:t>
            </w:r>
            <w:r>
              <w:rPr>
                <w:rFonts w:hint="eastAsia" w:ascii="FangSong_GB2312" w:hAnsi="FangSong_GB2312" w:eastAsia="FangSong_GB2312" w:cs="FangSong_GB2312"/>
                <w:kern w:val="0"/>
                <w:sz w:val="21"/>
                <w:szCs w:val="21"/>
                <w:lang w:bidi="ar"/>
              </w:rPr>
              <w:t>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444</w:t>
            </w:r>
            <w:r>
              <w:rPr>
                <w:rFonts w:hint="eastAsia" w:ascii="FangSong_GB2312" w:hAnsi="FangSong_GB2312" w:eastAsia="FangSong_GB2312" w:cs="FangSong_GB2312"/>
                <w:kern w:val="0"/>
                <w:sz w:val="21"/>
                <w:szCs w:val="21"/>
                <w:lang w:bidi="ar"/>
              </w:rPr>
              <w:t>0mm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lang w:val="en-US" w:eastAsia="zh-CN" w:bidi="ar-SA"/>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411"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1F-</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2800</w:t>
            </w:r>
            <w:r>
              <w:rPr>
                <w:rFonts w:hint="eastAsia" w:ascii="FangSong_GB2312" w:hAnsi="FangSong_GB2312" w:eastAsia="FangSong_GB2312" w:cs="FangSong_GB2312"/>
                <w:kern w:val="0"/>
                <w:sz w:val="21"/>
                <w:szCs w:val="21"/>
                <w:lang w:bidi="ar"/>
              </w:rPr>
              <w:t>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6</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3栋2单元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w:t>
            </w:r>
            <w:r>
              <w:rPr>
                <w:rFonts w:hint="eastAsia" w:ascii="FangSong_GB2312" w:hAnsi="FangSong_GB2312" w:eastAsia="FangSong_GB2312" w:cs="FangSong_GB2312"/>
                <w:kern w:val="0"/>
                <w:sz w:val="21"/>
                <w:szCs w:val="21"/>
                <w:lang w:val="en-US" w:eastAsia="zh-CN" w:bidi="ar"/>
              </w:rPr>
              <w:t>410</w:t>
            </w:r>
            <w:r>
              <w:rPr>
                <w:rFonts w:hint="eastAsia" w:ascii="FangSong_GB2312" w:hAnsi="FangSong_GB2312" w:eastAsia="FangSong_GB2312" w:cs="FangSong_GB2312"/>
                <w:kern w:val="0"/>
                <w:sz w:val="21"/>
                <w:szCs w:val="21"/>
                <w:lang w:bidi="ar"/>
              </w:rPr>
              <w:t>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2150mm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90</w:t>
            </w:r>
            <w:r>
              <w:rPr>
                <w:rFonts w:hint="eastAsia" w:ascii="FangSong_GB2312" w:hAnsi="FangSong_GB2312" w:eastAsia="FangSong_GB2312" w:cs="FangSong_GB2312"/>
                <w:kern w:val="0"/>
                <w:sz w:val="21"/>
                <w:szCs w:val="21"/>
                <w:lang w:bidi="ar"/>
              </w:rPr>
              <w:t>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val="en-US" w:eastAsia="zh-CN" w:bidi="ar"/>
              </w:rPr>
            </w:pP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444</w:t>
            </w:r>
            <w:r>
              <w:rPr>
                <w:rFonts w:hint="eastAsia" w:ascii="FangSong_GB2312" w:hAnsi="FangSong_GB2312" w:eastAsia="FangSong_GB2312" w:cs="FangSong_GB2312"/>
                <w:kern w:val="0"/>
                <w:sz w:val="21"/>
                <w:szCs w:val="21"/>
                <w:lang w:bidi="ar"/>
              </w:rPr>
              <w:t>0mm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lang w:val="en-US" w:eastAsia="zh-CN" w:bidi="ar-SA"/>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46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7</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3</w:t>
            </w:r>
            <w:r>
              <w:rPr>
                <w:rFonts w:hint="eastAsia" w:ascii="FangSong_GB2312" w:hAnsi="FangSong_GB2312" w:eastAsia="FangSong_GB2312" w:cs="FangSong_GB2312"/>
                <w:kern w:val="0"/>
                <w:sz w:val="21"/>
                <w:szCs w:val="21"/>
                <w:lang w:bidi="ar"/>
              </w:rPr>
              <w:t>栋</w:t>
            </w:r>
            <w:r>
              <w:rPr>
                <w:rFonts w:hint="eastAsia" w:ascii="FangSong_GB2312" w:hAnsi="FangSong_GB2312" w:eastAsia="FangSong_GB2312" w:cs="FangSong_GB2312"/>
                <w:kern w:val="0"/>
                <w:sz w:val="21"/>
                <w:szCs w:val="21"/>
                <w:lang w:val="en-US" w:eastAsia="zh-CN" w:bidi="ar"/>
              </w:rPr>
              <w:t>3</w:t>
            </w:r>
            <w:r>
              <w:rPr>
                <w:rFonts w:hint="eastAsia" w:ascii="FangSong_GB2312" w:hAnsi="FangSong_GB2312" w:eastAsia="FangSong_GB2312" w:cs="FangSong_GB2312"/>
                <w:kern w:val="0"/>
                <w:sz w:val="21"/>
                <w:szCs w:val="21"/>
                <w:lang w:bidi="ar"/>
              </w:rPr>
              <w:t>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w:t>
            </w:r>
            <w:r>
              <w:rPr>
                <w:rFonts w:hint="eastAsia" w:ascii="FangSong_GB2312" w:hAnsi="FangSong_GB2312" w:eastAsia="FangSong_GB2312" w:cs="FangSong_GB2312"/>
                <w:kern w:val="0"/>
                <w:sz w:val="21"/>
                <w:szCs w:val="21"/>
                <w:lang w:val="en-US" w:eastAsia="zh-CN" w:bidi="ar"/>
              </w:rPr>
              <w:t>410</w:t>
            </w:r>
            <w:r>
              <w:rPr>
                <w:rFonts w:hint="eastAsia" w:ascii="FangSong_GB2312" w:hAnsi="FangSong_GB2312" w:eastAsia="FangSong_GB2312" w:cs="FangSong_GB2312"/>
                <w:kern w:val="0"/>
                <w:sz w:val="21"/>
                <w:szCs w:val="21"/>
                <w:lang w:bidi="ar"/>
              </w:rPr>
              <w:t>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2150mm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90</w:t>
            </w:r>
            <w:r>
              <w:rPr>
                <w:rFonts w:hint="eastAsia" w:ascii="FangSong_GB2312" w:hAnsi="FangSong_GB2312" w:eastAsia="FangSong_GB2312" w:cs="FangSong_GB2312"/>
                <w:kern w:val="0"/>
                <w:sz w:val="21"/>
                <w:szCs w:val="21"/>
                <w:lang w:bidi="ar"/>
              </w:rPr>
              <w:t>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444</w:t>
            </w:r>
            <w:r>
              <w:rPr>
                <w:rFonts w:hint="eastAsia" w:ascii="FangSong_GB2312" w:hAnsi="FangSong_GB2312" w:eastAsia="FangSong_GB2312" w:cs="FangSong_GB2312"/>
                <w:kern w:val="0"/>
                <w:sz w:val="21"/>
                <w:szCs w:val="21"/>
                <w:lang w:bidi="ar"/>
              </w:rPr>
              <w:t>0mm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lang w:val="en-US" w:eastAsia="zh-CN" w:bidi="ar-SA"/>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303"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89"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8</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4栋</w:t>
            </w:r>
            <w:r>
              <w:rPr>
                <w:rFonts w:hint="eastAsia" w:ascii="FangSong_GB2312" w:hAnsi="FangSong_GB2312" w:eastAsia="FangSong_GB2312" w:cs="FangSong_GB2312"/>
                <w:kern w:val="0"/>
                <w:sz w:val="21"/>
                <w:szCs w:val="21"/>
                <w:lang w:val="en-US" w:eastAsia="zh-CN" w:bidi="ar"/>
              </w:rPr>
              <w:t>1</w:t>
            </w:r>
            <w:r>
              <w:rPr>
                <w:rFonts w:hint="eastAsia" w:ascii="FangSong_GB2312" w:hAnsi="FangSong_GB2312" w:eastAsia="FangSong_GB2312" w:cs="FangSong_GB2312"/>
                <w:kern w:val="0"/>
                <w:sz w:val="21"/>
                <w:szCs w:val="21"/>
                <w:lang w:bidi="ar"/>
              </w:rPr>
              <w:t>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w:t>
            </w:r>
            <w:r>
              <w:rPr>
                <w:rFonts w:hint="eastAsia" w:ascii="FangSong_GB2312" w:hAnsi="FangSong_GB2312" w:eastAsia="FangSong_GB2312" w:cs="FangSong_GB2312"/>
                <w:kern w:val="0"/>
                <w:sz w:val="21"/>
                <w:szCs w:val="21"/>
                <w:lang w:val="en-US" w:eastAsia="zh-CN" w:bidi="ar"/>
              </w:rPr>
              <w:t>40</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w:t>
            </w:r>
            <w:r>
              <w:rPr>
                <w:rFonts w:hint="eastAsia" w:ascii="FangSong_GB2312" w:hAnsi="FangSong_GB2312" w:eastAsia="FangSong_GB2312" w:cs="FangSong_GB2312"/>
                <w:kern w:val="0"/>
                <w:sz w:val="21"/>
                <w:szCs w:val="21"/>
                <w:lang w:val="en-US" w:eastAsia="zh-CN" w:bidi="ar"/>
              </w:rPr>
              <w:t>7</w:t>
            </w:r>
            <w:r>
              <w:rPr>
                <w:rFonts w:hint="eastAsia" w:ascii="FangSong_GB2312" w:hAnsi="FangSong_GB2312" w:eastAsia="FangSong_GB2312" w:cs="FangSong_GB2312"/>
                <w:kern w:val="0"/>
                <w:sz w:val="21"/>
                <w:szCs w:val="21"/>
                <w:lang w:bidi="ar"/>
              </w:rPr>
              <w:t>0mm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7</w:t>
            </w:r>
            <w:r>
              <w:rPr>
                <w:rFonts w:hint="eastAsia" w:ascii="FangSong_GB2312" w:hAnsi="FangSong_GB2312" w:eastAsia="FangSong_GB2312" w:cs="FangSong_GB2312"/>
                <w:kern w:val="0"/>
                <w:sz w:val="21"/>
                <w:szCs w:val="21"/>
                <w:lang w:bidi="ar"/>
              </w:rPr>
              <w:t>50mm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4580</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lang w:val="en-US" w:eastAsia="zh-CN" w:bidi="ar-SA"/>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246"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9</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w:t>
            </w:r>
            <w:r>
              <w:rPr>
                <w:rFonts w:hint="eastAsia" w:ascii="FangSong_GB2312" w:hAnsi="FangSong_GB2312" w:eastAsia="FangSong_GB2312" w:cs="FangSong_GB2312"/>
                <w:kern w:val="0"/>
                <w:sz w:val="21"/>
                <w:szCs w:val="21"/>
                <w:lang w:bidi="ar"/>
              </w:rPr>
              <w:t>栋</w:t>
            </w:r>
            <w:r>
              <w:rPr>
                <w:rFonts w:hint="eastAsia" w:ascii="FangSong_GB2312" w:hAnsi="FangSong_GB2312" w:eastAsia="FangSong_GB2312" w:cs="FangSong_GB2312"/>
                <w:kern w:val="0"/>
                <w:sz w:val="21"/>
                <w:szCs w:val="21"/>
                <w:lang w:val="en-US" w:eastAsia="zh-CN" w:bidi="ar"/>
              </w:rPr>
              <w:t>2</w:t>
            </w:r>
            <w:r>
              <w:rPr>
                <w:rFonts w:hint="eastAsia" w:ascii="FangSong_GB2312" w:hAnsi="FangSong_GB2312" w:eastAsia="FangSong_GB2312" w:cs="FangSong_GB2312"/>
                <w:kern w:val="0"/>
                <w:sz w:val="21"/>
                <w:szCs w:val="21"/>
                <w:lang w:bidi="ar"/>
              </w:rPr>
              <w:t>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w:t>
            </w:r>
            <w:r>
              <w:rPr>
                <w:rFonts w:hint="eastAsia" w:ascii="FangSong_GB2312" w:hAnsi="FangSong_GB2312" w:eastAsia="FangSong_GB2312" w:cs="FangSong_GB2312"/>
                <w:kern w:val="0"/>
                <w:sz w:val="21"/>
                <w:szCs w:val="21"/>
                <w:lang w:val="en-US" w:eastAsia="zh-CN" w:bidi="ar"/>
              </w:rPr>
              <w:t>40</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w:t>
            </w:r>
            <w:r>
              <w:rPr>
                <w:rFonts w:hint="eastAsia" w:ascii="FangSong_GB2312" w:hAnsi="FangSong_GB2312" w:eastAsia="FangSong_GB2312" w:cs="FangSong_GB2312"/>
                <w:kern w:val="0"/>
                <w:sz w:val="21"/>
                <w:szCs w:val="21"/>
                <w:lang w:val="en-US" w:eastAsia="zh-CN" w:bidi="ar"/>
              </w:rPr>
              <w:t>7</w:t>
            </w:r>
            <w:r>
              <w:rPr>
                <w:rFonts w:hint="eastAsia" w:ascii="FangSong_GB2312" w:hAnsi="FangSong_GB2312" w:eastAsia="FangSong_GB2312" w:cs="FangSong_GB2312"/>
                <w:kern w:val="0"/>
                <w:sz w:val="21"/>
                <w:szCs w:val="21"/>
                <w:lang w:bidi="ar"/>
              </w:rPr>
              <w:t>0mm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7</w:t>
            </w:r>
            <w:r>
              <w:rPr>
                <w:rFonts w:hint="eastAsia" w:ascii="FangSong_GB2312" w:hAnsi="FangSong_GB2312" w:eastAsia="FangSong_GB2312" w:cs="FangSong_GB2312"/>
                <w:kern w:val="0"/>
                <w:sz w:val="21"/>
                <w:szCs w:val="21"/>
                <w:lang w:bidi="ar"/>
              </w:rPr>
              <w:t>50mm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4580</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lang w:val="en-US" w:eastAsia="zh-CN" w:bidi="ar-SA"/>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366"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488"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10</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w:t>
            </w:r>
            <w:r>
              <w:rPr>
                <w:rFonts w:hint="eastAsia" w:ascii="FangSong_GB2312" w:hAnsi="FangSong_GB2312" w:eastAsia="FangSong_GB2312" w:cs="FangSong_GB2312"/>
                <w:kern w:val="0"/>
                <w:sz w:val="21"/>
                <w:szCs w:val="21"/>
                <w:lang w:bidi="ar"/>
              </w:rPr>
              <w:t>栋</w:t>
            </w:r>
            <w:r>
              <w:rPr>
                <w:rFonts w:hint="eastAsia" w:ascii="FangSong_GB2312" w:hAnsi="FangSong_GB2312" w:eastAsia="FangSong_GB2312" w:cs="FangSong_GB2312"/>
                <w:kern w:val="0"/>
                <w:sz w:val="21"/>
                <w:szCs w:val="21"/>
                <w:lang w:val="en-US" w:eastAsia="zh-CN" w:bidi="ar"/>
              </w:rPr>
              <w:t>3</w:t>
            </w:r>
            <w:r>
              <w:rPr>
                <w:rFonts w:hint="eastAsia" w:ascii="FangSong_GB2312" w:hAnsi="FangSong_GB2312" w:eastAsia="FangSong_GB2312" w:cs="FangSong_GB2312"/>
                <w:kern w:val="0"/>
                <w:sz w:val="21"/>
                <w:szCs w:val="21"/>
                <w:lang w:bidi="ar"/>
              </w:rPr>
              <w:t>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w:t>
            </w:r>
            <w:r>
              <w:rPr>
                <w:rFonts w:hint="eastAsia" w:ascii="FangSong_GB2312" w:hAnsi="FangSong_GB2312" w:eastAsia="FangSong_GB2312" w:cs="FangSong_GB2312"/>
                <w:kern w:val="0"/>
                <w:sz w:val="21"/>
                <w:szCs w:val="21"/>
                <w:lang w:val="en-US" w:eastAsia="zh-CN" w:bidi="ar"/>
              </w:rPr>
              <w:t>40</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w:t>
            </w:r>
            <w:r>
              <w:rPr>
                <w:rFonts w:hint="eastAsia" w:ascii="FangSong_GB2312" w:hAnsi="FangSong_GB2312" w:eastAsia="FangSong_GB2312" w:cs="FangSong_GB2312"/>
                <w:kern w:val="0"/>
                <w:sz w:val="21"/>
                <w:szCs w:val="21"/>
                <w:lang w:val="en-US" w:eastAsia="zh-CN" w:bidi="ar"/>
              </w:rPr>
              <w:t>7</w:t>
            </w:r>
            <w:r>
              <w:rPr>
                <w:rFonts w:hint="eastAsia" w:ascii="FangSong_GB2312" w:hAnsi="FangSong_GB2312" w:eastAsia="FangSong_GB2312" w:cs="FangSong_GB2312"/>
                <w:kern w:val="0"/>
                <w:sz w:val="21"/>
                <w:szCs w:val="21"/>
                <w:lang w:bidi="ar"/>
              </w:rPr>
              <w:t>0mm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7</w:t>
            </w:r>
            <w:r>
              <w:rPr>
                <w:rFonts w:hint="eastAsia" w:ascii="FangSong_GB2312" w:hAnsi="FangSong_GB2312" w:eastAsia="FangSong_GB2312" w:cs="FangSong_GB2312"/>
                <w:kern w:val="0"/>
                <w:sz w:val="21"/>
                <w:szCs w:val="21"/>
                <w:lang w:bidi="ar"/>
              </w:rPr>
              <w:t>50mm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4580</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lang w:val="en-US" w:eastAsia="zh-CN" w:bidi="ar-SA"/>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229"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11</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5</w:t>
            </w:r>
            <w:r>
              <w:rPr>
                <w:rFonts w:hint="eastAsia" w:ascii="FangSong_GB2312" w:hAnsi="FangSong_GB2312" w:eastAsia="FangSong_GB2312" w:cs="FangSong_GB2312"/>
                <w:kern w:val="0"/>
                <w:sz w:val="21"/>
                <w:szCs w:val="21"/>
                <w:lang w:bidi="ar"/>
              </w:rPr>
              <w:t>栋</w:t>
            </w:r>
            <w:r>
              <w:rPr>
                <w:rFonts w:hint="eastAsia" w:ascii="FangSong_GB2312" w:hAnsi="FangSong_GB2312" w:eastAsia="FangSong_GB2312" w:cs="FangSong_GB2312"/>
                <w:kern w:val="0"/>
                <w:sz w:val="21"/>
                <w:szCs w:val="21"/>
                <w:lang w:val="en-US" w:eastAsia="zh-CN" w:bidi="ar"/>
              </w:rPr>
              <w:t>1</w:t>
            </w:r>
            <w:r>
              <w:rPr>
                <w:rFonts w:hint="eastAsia" w:ascii="FangSong_GB2312" w:hAnsi="FangSong_GB2312" w:eastAsia="FangSong_GB2312" w:cs="FangSong_GB2312"/>
                <w:kern w:val="0"/>
                <w:sz w:val="21"/>
                <w:szCs w:val="21"/>
                <w:lang w:bidi="ar"/>
              </w:rPr>
              <w:t>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w:t>
            </w:r>
            <w:r>
              <w:rPr>
                <w:rFonts w:hint="eastAsia" w:ascii="FangSong_GB2312" w:hAnsi="FangSong_GB2312" w:eastAsia="FangSong_GB2312" w:cs="FangSong_GB2312"/>
                <w:kern w:val="0"/>
                <w:sz w:val="21"/>
                <w:szCs w:val="21"/>
                <w:lang w:val="en-US" w:eastAsia="zh-CN" w:bidi="ar"/>
              </w:rPr>
              <w:t>40</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w:t>
            </w:r>
            <w:r>
              <w:rPr>
                <w:rFonts w:hint="eastAsia" w:ascii="FangSong_GB2312" w:hAnsi="FangSong_GB2312" w:eastAsia="FangSong_GB2312" w:cs="FangSong_GB2312"/>
                <w:kern w:val="0"/>
                <w:sz w:val="21"/>
                <w:szCs w:val="21"/>
                <w:lang w:val="en-US" w:eastAsia="zh-CN" w:bidi="ar"/>
              </w:rPr>
              <w:t>66</w:t>
            </w:r>
            <w:r>
              <w:rPr>
                <w:rFonts w:hint="eastAsia" w:ascii="FangSong_GB2312" w:hAnsi="FangSong_GB2312" w:eastAsia="FangSong_GB2312" w:cs="FangSong_GB2312"/>
                <w:kern w:val="0"/>
                <w:sz w:val="21"/>
                <w:szCs w:val="21"/>
                <w:lang w:bidi="ar"/>
              </w:rPr>
              <w:t>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w:t>
            </w:r>
            <w:r>
              <w:rPr>
                <w:rFonts w:hint="eastAsia" w:ascii="FangSong_GB2312" w:hAnsi="FangSong_GB2312" w:eastAsia="FangSong_GB2312" w:cs="FangSong_GB2312"/>
                <w:kern w:val="0"/>
                <w:sz w:val="21"/>
                <w:szCs w:val="21"/>
                <w:lang w:val="en-US" w:eastAsia="zh-CN" w:bidi="ar"/>
              </w:rPr>
              <w:t>0</w:t>
            </w:r>
            <w:r>
              <w:rPr>
                <w:rFonts w:hint="eastAsia" w:ascii="FangSong_GB2312" w:hAnsi="FangSong_GB2312" w:eastAsia="FangSong_GB2312" w:cs="FangSong_GB2312"/>
                <w:kern w:val="0"/>
                <w:sz w:val="21"/>
                <w:szCs w:val="21"/>
                <w:lang w:bidi="ar"/>
              </w:rPr>
              <w:t>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4480</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lang w:val="en-US" w:eastAsia="zh-CN" w:bidi="ar-SA"/>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12</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5</w:t>
            </w:r>
            <w:r>
              <w:rPr>
                <w:rFonts w:hint="eastAsia" w:ascii="FangSong_GB2312" w:hAnsi="FangSong_GB2312" w:eastAsia="FangSong_GB2312" w:cs="FangSong_GB2312"/>
                <w:kern w:val="0"/>
                <w:sz w:val="21"/>
                <w:szCs w:val="21"/>
                <w:lang w:bidi="ar"/>
              </w:rPr>
              <w:t>栋2单元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w:t>
            </w:r>
            <w:r>
              <w:rPr>
                <w:rFonts w:hint="eastAsia" w:ascii="FangSong_GB2312" w:hAnsi="FangSong_GB2312" w:eastAsia="FangSong_GB2312" w:cs="FangSong_GB2312"/>
                <w:kern w:val="0"/>
                <w:sz w:val="21"/>
                <w:szCs w:val="21"/>
                <w:lang w:val="en-US" w:eastAsia="zh-CN" w:bidi="ar"/>
              </w:rPr>
              <w:t>40</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w:t>
            </w:r>
            <w:r>
              <w:rPr>
                <w:rFonts w:hint="eastAsia" w:ascii="FangSong_GB2312" w:hAnsi="FangSong_GB2312" w:eastAsia="FangSong_GB2312" w:cs="FangSong_GB2312"/>
                <w:kern w:val="0"/>
                <w:sz w:val="21"/>
                <w:szCs w:val="21"/>
                <w:lang w:val="en-US" w:eastAsia="zh-CN" w:bidi="ar"/>
              </w:rPr>
              <w:t>66</w:t>
            </w:r>
            <w:r>
              <w:rPr>
                <w:rFonts w:hint="eastAsia" w:ascii="FangSong_GB2312" w:hAnsi="FangSong_GB2312" w:eastAsia="FangSong_GB2312" w:cs="FangSong_GB2312"/>
                <w:kern w:val="0"/>
                <w:sz w:val="21"/>
                <w:szCs w:val="21"/>
                <w:lang w:bidi="ar"/>
              </w:rPr>
              <w:t>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w:t>
            </w:r>
            <w:r>
              <w:rPr>
                <w:rFonts w:hint="eastAsia" w:ascii="FangSong_GB2312" w:hAnsi="FangSong_GB2312" w:eastAsia="FangSong_GB2312" w:cs="FangSong_GB2312"/>
                <w:kern w:val="0"/>
                <w:sz w:val="21"/>
                <w:szCs w:val="21"/>
                <w:lang w:val="en-US" w:eastAsia="zh-CN" w:bidi="ar"/>
              </w:rPr>
              <w:t>0</w:t>
            </w:r>
            <w:r>
              <w:rPr>
                <w:rFonts w:hint="eastAsia" w:ascii="FangSong_GB2312" w:hAnsi="FangSong_GB2312" w:eastAsia="FangSong_GB2312" w:cs="FangSong_GB2312"/>
                <w:kern w:val="0"/>
                <w:sz w:val="21"/>
                <w:szCs w:val="21"/>
                <w:lang w:bidi="ar"/>
              </w:rPr>
              <w:t>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4480</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lang w:val="en-US" w:eastAsia="zh-CN" w:bidi="ar-SA"/>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13</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6</w:t>
            </w:r>
            <w:r>
              <w:rPr>
                <w:rFonts w:hint="eastAsia" w:ascii="FangSong_GB2312" w:hAnsi="FangSong_GB2312" w:eastAsia="FangSong_GB2312" w:cs="FangSong_GB2312"/>
                <w:kern w:val="0"/>
                <w:sz w:val="21"/>
                <w:szCs w:val="21"/>
                <w:lang w:bidi="ar"/>
              </w:rPr>
              <w:t>栋</w:t>
            </w:r>
            <w:r>
              <w:rPr>
                <w:rFonts w:hint="eastAsia" w:ascii="FangSong_GB2312" w:hAnsi="FangSong_GB2312" w:eastAsia="FangSong_GB2312" w:cs="FangSong_GB2312"/>
                <w:kern w:val="0"/>
                <w:sz w:val="21"/>
                <w:szCs w:val="21"/>
                <w:lang w:val="en-US" w:eastAsia="zh-CN" w:bidi="ar"/>
              </w:rPr>
              <w:t>1</w:t>
            </w:r>
            <w:r>
              <w:rPr>
                <w:rFonts w:hint="eastAsia" w:ascii="FangSong_GB2312" w:hAnsi="FangSong_GB2312" w:eastAsia="FangSong_GB2312" w:cs="FangSong_GB2312"/>
                <w:kern w:val="0"/>
                <w:sz w:val="21"/>
                <w:szCs w:val="21"/>
                <w:lang w:bidi="ar"/>
              </w:rPr>
              <w:t>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23</w:t>
            </w: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w:t>
            </w:r>
            <w:r>
              <w:rPr>
                <w:rFonts w:hint="eastAsia" w:ascii="FangSong_GB2312" w:hAnsi="FangSong_GB2312" w:eastAsia="FangSong_GB2312" w:cs="FangSong_GB2312"/>
                <w:kern w:val="0"/>
                <w:sz w:val="21"/>
                <w:szCs w:val="21"/>
                <w:lang w:val="en-US" w:eastAsia="zh-CN" w:bidi="ar"/>
              </w:rPr>
              <w:t>3</w:t>
            </w:r>
            <w:r>
              <w:rPr>
                <w:rFonts w:hint="eastAsia" w:ascii="FangSong_GB2312" w:hAnsi="FangSong_GB2312" w:eastAsia="FangSong_GB2312" w:cs="FangSong_GB2312"/>
                <w:kern w:val="0"/>
                <w:sz w:val="21"/>
                <w:szCs w:val="21"/>
                <w:lang w:bidi="ar"/>
              </w:rPr>
              <w:t>0mm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w:t>
            </w:r>
            <w:r>
              <w:rPr>
                <w:rFonts w:hint="eastAsia" w:ascii="FangSong_GB2312" w:hAnsi="FangSong_GB2312" w:eastAsia="FangSong_GB2312" w:cs="FangSong_GB2312"/>
                <w:kern w:val="0"/>
                <w:sz w:val="21"/>
                <w:szCs w:val="21"/>
                <w:lang w:val="en-US" w:eastAsia="zh-CN" w:bidi="ar"/>
              </w:rPr>
              <w:t>5</w:t>
            </w:r>
            <w:r>
              <w:rPr>
                <w:rFonts w:hint="eastAsia" w:ascii="FangSong_GB2312" w:hAnsi="FangSong_GB2312" w:eastAsia="FangSong_GB2312" w:cs="FangSong_GB2312"/>
                <w:kern w:val="0"/>
                <w:sz w:val="21"/>
                <w:szCs w:val="21"/>
                <w:lang w:bidi="ar"/>
              </w:rPr>
              <w:t>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4524</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lang w:val="en-US" w:eastAsia="zh-CN" w:bidi="ar-SA"/>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276"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9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14</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6</w:t>
            </w:r>
            <w:r>
              <w:rPr>
                <w:rFonts w:hint="eastAsia" w:ascii="FangSong_GB2312" w:hAnsi="FangSong_GB2312" w:eastAsia="FangSong_GB2312" w:cs="FangSong_GB2312"/>
                <w:kern w:val="0"/>
                <w:sz w:val="21"/>
                <w:szCs w:val="21"/>
                <w:lang w:bidi="ar"/>
              </w:rPr>
              <w:t>栋</w:t>
            </w:r>
            <w:r>
              <w:rPr>
                <w:rFonts w:hint="eastAsia" w:ascii="FangSong_GB2312" w:hAnsi="FangSong_GB2312" w:eastAsia="FangSong_GB2312" w:cs="FangSong_GB2312"/>
                <w:kern w:val="0"/>
                <w:sz w:val="21"/>
                <w:szCs w:val="21"/>
                <w:lang w:val="en-US" w:eastAsia="zh-CN" w:bidi="ar"/>
              </w:rPr>
              <w:t>2</w:t>
            </w:r>
            <w:r>
              <w:rPr>
                <w:rFonts w:hint="eastAsia" w:ascii="FangSong_GB2312" w:hAnsi="FangSong_GB2312" w:eastAsia="FangSong_GB2312" w:cs="FangSong_GB2312"/>
                <w:kern w:val="0"/>
                <w:sz w:val="21"/>
                <w:szCs w:val="21"/>
                <w:lang w:bidi="ar"/>
              </w:rPr>
              <w:t>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23</w:t>
            </w: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w:t>
            </w:r>
            <w:r>
              <w:rPr>
                <w:rFonts w:hint="eastAsia" w:ascii="FangSong_GB2312" w:hAnsi="FangSong_GB2312" w:eastAsia="FangSong_GB2312" w:cs="FangSong_GB2312"/>
                <w:kern w:val="0"/>
                <w:sz w:val="21"/>
                <w:szCs w:val="21"/>
                <w:lang w:val="en-US" w:eastAsia="zh-CN" w:bidi="ar"/>
              </w:rPr>
              <w:t>3</w:t>
            </w:r>
            <w:r>
              <w:rPr>
                <w:rFonts w:hint="eastAsia" w:ascii="FangSong_GB2312" w:hAnsi="FangSong_GB2312" w:eastAsia="FangSong_GB2312" w:cs="FangSong_GB2312"/>
                <w:kern w:val="0"/>
                <w:sz w:val="21"/>
                <w:szCs w:val="21"/>
                <w:lang w:bidi="ar"/>
              </w:rPr>
              <w:t>0mm</w:t>
            </w:r>
          </w:p>
        </w:tc>
        <w:tc>
          <w:tcPr>
            <w:tcW w:w="796" w:type="dxa"/>
            <w:vMerge w:val="restart"/>
            <w:tcBorders>
              <w:top w:val="single" w:color="000000" w:sz="4" w:space="0"/>
              <w:left w:val="single" w:color="000000" w:sz="4" w:space="0"/>
              <w:bottom w:val="single" w:color="000000" w:sz="4" w:space="0"/>
              <w:right w:val="single" w:color="auto"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w:t>
            </w:r>
            <w:r>
              <w:rPr>
                <w:rFonts w:hint="eastAsia" w:ascii="FangSong_GB2312" w:hAnsi="FangSong_GB2312" w:eastAsia="FangSong_GB2312" w:cs="FangSong_GB2312"/>
                <w:kern w:val="0"/>
                <w:sz w:val="21"/>
                <w:szCs w:val="21"/>
                <w:lang w:val="en-US" w:eastAsia="zh-CN" w:bidi="ar"/>
              </w:rPr>
              <w:t>5</w:t>
            </w:r>
            <w:r>
              <w:rPr>
                <w:rFonts w:hint="eastAsia" w:ascii="FangSong_GB2312" w:hAnsi="FangSong_GB2312" w:eastAsia="FangSong_GB2312" w:cs="FangSong_GB2312"/>
                <w:kern w:val="0"/>
                <w:sz w:val="21"/>
                <w:szCs w:val="21"/>
                <w:lang w:bidi="ar"/>
              </w:rPr>
              <w:t>0mm</w:t>
            </w:r>
          </w:p>
        </w:tc>
        <w:tc>
          <w:tcPr>
            <w:tcW w:w="1058" w:type="dxa"/>
            <w:vMerge w:val="restart"/>
            <w:tcBorders>
              <w:top w:val="single" w:color="auto" w:sz="4" w:space="0"/>
              <w:left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auto" w:sz="4" w:space="0"/>
              <w:left w:val="single" w:color="000000" w:sz="4" w:space="0"/>
              <w:right w:val="single" w:color="auto"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auto" w:sz="4" w:space="0"/>
              <w:left w:val="single" w:color="000000" w:sz="4" w:space="0"/>
              <w:bottom w:val="single" w:color="000000" w:sz="4" w:space="0"/>
              <w:right w:val="single" w:color="auto"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auto"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4524</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90"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auto"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auto"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auto" w:sz="4" w:space="0"/>
              <w:right w:val="single" w:color="auto"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bottom w:val="single" w:color="auto" w:sz="4" w:space="0"/>
              <w:right w:val="single" w:color="auto"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auto"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418"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15</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6</w:t>
            </w:r>
            <w:r>
              <w:rPr>
                <w:rFonts w:hint="eastAsia" w:ascii="FangSong_GB2312" w:hAnsi="FangSong_GB2312" w:eastAsia="FangSong_GB2312" w:cs="FangSong_GB2312"/>
                <w:kern w:val="0"/>
                <w:sz w:val="21"/>
                <w:szCs w:val="21"/>
                <w:lang w:bidi="ar"/>
              </w:rPr>
              <w:t>栋</w:t>
            </w:r>
            <w:r>
              <w:rPr>
                <w:rFonts w:hint="eastAsia" w:ascii="FangSong_GB2312" w:hAnsi="FangSong_GB2312" w:eastAsia="FangSong_GB2312" w:cs="FangSong_GB2312"/>
                <w:kern w:val="0"/>
                <w:sz w:val="21"/>
                <w:szCs w:val="21"/>
                <w:lang w:val="en-US" w:eastAsia="zh-CN" w:bidi="ar"/>
              </w:rPr>
              <w:t>3</w:t>
            </w:r>
            <w:r>
              <w:rPr>
                <w:rFonts w:hint="eastAsia" w:ascii="FangSong_GB2312" w:hAnsi="FangSong_GB2312" w:eastAsia="FangSong_GB2312" w:cs="FangSong_GB2312"/>
                <w:kern w:val="0"/>
                <w:sz w:val="21"/>
                <w:szCs w:val="21"/>
                <w:lang w:bidi="ar"/>
              </w:rPr>
              <w:t>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23</w:t>
            </w: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w:t>
            </w:r>
            <w:r>
              <w:rPr>
                <w:rFonts w:hint="eastAsia" w:ascii="FangSong_GB2312" w:hAnsi="FangSong_GB2312" w:eastAsia="FangSong_GB2312" w:cs="FangSong_GB2312"/>
                <w:kern w:val="0"/>
                <w:sz w:val="21"/>
                <w:szCs w:val="21"/>
                <w:lang w:val="en-US" w:eastAsia="zh-CN" w:bidi="ar"/>
              </w:rPr>
              <w:t>3</w:t>
            </w:r>
            <w:r>
              <w:rPr>
                <w:rFonts w:hint="eastAsia" w:ascii="FangSong_GB2312" w:hAnsi="FangSong_GB2312" w:eastAsia="FangSong_GB2312" w:cs="FangSong_GB2312"/>
                <w:kern w:val="0"/>
                <w:sz w:val="21"/>
                <w:szCs w:val="21"/>
                <w:lang w:bidi="ar"/>
              </w:rPr>
              <w:t>0mm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w:t>
            </w:r>
            <w:r>
              <w:rPr>
                <w:rFonts w:hint="eastAsia" w:ascii="FangSong_GB2312" w:hAnsi="FangSong_GB2312" w:eastAsia="FangSong_GB2312" w:cs="FangSong_GB2312"/>
                <w:kern w:val="0"/>
                <w:sz w:val="21"/>
                <w:szCs w:val="21"/>
                <w:lang w:val="en-US" w:eastAsia="zh-CN" w:bidi="ar"/>
              </w:rPr>
              <w:t>5</w:t>
            </w:r>
            <w:r>
              <w:rPr>
                <w:rFonts w:hint="eastAsia" w:ascii="FangSong_GB2312" w:hAnsi="FangSong_GB2312" w:eastAsia="FangSong_GB2312" w:cs="FangSong_GB2312"/>
                <w:kern w:val="0"/>
                <w:sz w:val="21"/>
                <w:szCs w:val="21"/>
                <w:lang w:bidi="ar"/>
              </w:rPr>
              <w:t>0mm</w:t>
            </w:r>
          </w:p>
        </w:tc>
        <w:tc>
          <w:tcPr>
            <w:tcW w:w="1058" w:type="dxa"/>
            <w:vMerge w:val="restart"/>
            <w:tcBorders>
              <w:top w:val="single" w:color="auto"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auto"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auto"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4524</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16</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7</w:t>
            </w:r>
            <w:r>
              <w:rPr>
                <w:rFonts w:hint="eastAsia" w:ascii="FangSong_GB2312" w:hAnsi="FangSong_GB2312" w:eastAsia="FangSong_GB2312" w:cs="FangSong_GB2312"/>
                <w:kern w:val="0"/>
                <w:sz w:val="21"/>
                <w:szCs w:val="21"/>
                <w:lang w:bidi="ar"/>
              </w:rPr>
              <w:t>栋1单元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23</w:t>
            </w:r>
            <w:r>
              <w:rPr>
                <w:rFonts w:hint="eastAsia" w:ascii="FangSong_GB2312" w:hAnsi="FangSong_GB2312" w:eastAsia="FangSong_GB2312" w:cs="FangSong_GB2312"/>
                <w:kern w:val="0"/>
                <w:sz w:val="21"/>
                <w:szCs w:val="21"/>
                <w:lang w:val="en-US" w:eastAsia="zh-CN" w:bidi="ar"/>
              </w:rPr>
              <w:t>8</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w:t>
            </w:r>
            <w:r>
              <w:rPr>
                <w:rFonts w:hint="eastAsia" w:ascii="FangSong_GB2312" w:hAnsi="FangSong_GB2312" w:eastAsia="FangSong_GB2312" w:cs="FangSong_GB2312"/>
                <w:kern w:val="0"/>
                <w:sz w:val="21"/>
                <w:szCs w:val="21"/>
                <w:lang w:val="en-US" w:eastAsia="zh-CN" w:bidi="ar"/>
              </w:rPr>
              <w:t>48</w:t>
            </w:r>
            <w:r>
              <w:rPr>
                <w:rFonts w:hint="eastAsia" w:ascii="FangSong_GB2312" w:hAnsi="FangSong_GB2312" w:eastAsia="FangSong_GB2312" w:cs="FangSong_GB2312"/>
                <w:kern w:val="0"/>
                <w:sz w:val="21"/>
                <w:szCs w:val="21"/>
                <w:lang w:bidi="ar"/>
              </w:rPr>
              <w:t>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1700mm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4500</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341"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32"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17</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7</w:t>
            </w:r>
            <w:r>
              <w:rPr>
                <w:rFonts w:hint="eastAsia" w:ascii="FangSong_GB2312" w:hAnsi="FangSong_GB2312" w:eastAsia="FangSong_GB2312" w:cs="FangSong_GB2312"/>
                <w:kern w:val="0"/>
                <w:sz w:val="21"/>
                <w:szCs w:val="21"/>
                <w:lang w:bidi="ar"/>
              </w:rPr>
              <w:t>栋</w:t>
            </w:r>
            <w:r>
              <w:rPr>
                <w:rFonts w:hint="eastAsia" w:ascii="FangSong_GB2312" w:hAnsi="FangSong_GB2312" w:eastAsia="FangSong_GB2312" w:cs="FangSong_GB2312"/>
                <w:kern w:val="0"/>
                <w:sz w:val="21"/>
                <w:szCs w:val="21"/>
                <w:lang w:val="en-US" w:eastAsia="zh-CN" w:bidi="ar"/>
              </w:rPr>
              <w:t>2</w:t>
            </w:r>
            <w:r>
              <w:rPr>
                <w:rFonts w:hint="eastAsia" w:ascii="FangSong_GB2312" w:hAnsi="FangSong_GB2312" w:eastAsia="FangSong_GB2312" w:cs="FangSong_GB2312"/>
                <w:kern w:val="0"/>
                <w:sz w:val="21"/>
                <w:szCs w:val="21"/>
                <w:lang w:bidi="ar"/>
              </w:rPr>
              <w:t>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23</w:t>
            </w:r>
            <w:r>
              <w:rPr>
                <w:rFonts w:hint="eastAsia" w:ascii="FangSong_GB2312" w:hAnsi="FangSong_GB2312" w:eastAsia="FangSong_GB2312" w:cs="FangSong_GB2312"/>
                <w:kern w:val="0"/>
                <w:sz w:val="21"/>
                <w:szCs w:val="21"/>
                <w:lang w:val="en-US" w:eastAsia="zh-CN" w:bidi="ar"/>
              </w:rPr>
              <w:t>8</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w:t>
            </w:r>
            <w:r>
              <w:rPr>
                <w:rFonts w:hint="eastAsia" w:ascii="FangSong_GB2312" w:hAnsi="FangSong_GB2312" w:eastAsia="FangSong_GB2312" w:cs="FangSong_GB2312"/>
                <w:kern w:val="0"/>
                <w:sz w:val="21"/>
                <w:szCs w:val="21"/>
                <w:lang w:val="en-US" w:eastAsia="zh-CN" w:bidi="ar"/>
              </w:rPr>
              <w:t>48</w:t>
            </w:r>
            <w:r>
              <w:rPr>
                <w:rFonts w:hint="eastAsia" w:ascii="FangSong_GB2312" w:hAnsi="FangSong_GB2312" w:eastAsia="FangSong_GB2312" w:cs="FangSong_GB2312"/>
                <w:kern w:val="0"/>
                <w:sz w:val="21"/>
                <w:szCs w:val="21"/>
                <w:lang w:bidi="ar"/>
              </w:rPr>
              <w:t>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1700mm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4500</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w:t>
            </w:r>
            <w:r>
              <w:rPr>
                <w:rFonts w:hint="eastAsia" w:ascii="FangSong_GB2312" w:hAnsi="FangSong_GB2312" w:eastAsia="FangSong_GB2312" w:cs="FangSong_GB2312"/>
                <w:b/>
                <w:bCs/>
                <w:kern w:val="0"/>
                <w:sz w:val="21"/>
                <w:szCs w:val="21"/>
                <w:lang w:eastAsia="zh-CN" w:bidi="ar"/>
              </w:rPr>
              <w:t>孔洞</w:t>
            </w:r>
            <w:r>
              <w:rPr>
                <w:rFonts w:hint="eastAsia" w:ascii="FangSong_GB2312" w:hAnsi="FangSong_GB2312" w:eastAsia="FangSong_GB2312" w:cs="FangSong_GB2312"/>
                <w:kern w:val="0"/>
                <w:sz w:val="21"/>
                <w:szCs w:val="21"/>
                <w:lang w:eastAsia="zh-CN" w:bidi="ar"/>
              </w:rPr>
              <w:t>、钢丝绳孔洞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386"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18</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7</w:t>
            </w:r>
            <w:r>
              <w:rPr>
                <w:rFonts w:hint="eastAsia" w:ascii="FangSong_GB2312" w:hAnsi="FangSong_GB2312" w:eastAsia="FangSong_GB2312" w:cs="FangSong_GB2312"/>
                <w:kern w:val="0"/>
                <w:sz w:val="21"/>
                <w:szCs w:val="21"/>
                <w:lang w:bidi="ar"/>
              </w:rPr>
              <w:t>栋</w:t>
            </w:r>
            <w:r>
              <w:rPr>
                <w:rFonts w:hint="eastAsia" w:ascii="FangSong_GB2312" w:hAnsi="FangSong_GB2312" w:eastAsia="FangSong_GB2312" w:cs="FangSong_GB2312"/>
                <w:kern w:val="0"/>
                <w:sz w:val="21"/>
                <w:szCs w:val="21"/>
                <w:lang w:val="en-US" w:eastAsia="zh-CN" w:bidi="ar"/>
              </w:rPr>
              <w:t>3</w:t>
            </w:r>
            <w:r>
              <w:rPr>
                <w:rFonts w:hint="eastAsia" w:ascii="FangSong_GB2312" w:hAnsi="FangSong_GB2312" w:eastAsia="FangSong_GB2312" w:cs="FangSong_GB2312"/>
                <w:kern w:val="0"/>
                <w:sz w:val="21"/>
                <w:szCs w:val="21"/>
                <w:lang w:bidi="ar"/>
              </w:rPr>
              <w:t>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23</w:t>
            </w:r>
            <w:r>
              <w:rPr>
                <w:rFonts w:hint="eastAsia" w:ascii="FangSong_GB2312" w:hAnsi="FangSong_GB2312" w:eastAsia="FangSong_GB2312" w:cs="FangSong_GB2312"/>
                <w:kern w:val="0"/>
                <w:sz w:val="21"/>
                <w:szCs w:val="21"/>
                <w:lang w:val="en-US" w:eastAsia="zh-CN" w:bidi="ar"/>
              </w:rPr>
              <w:t>8</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w:t>
            </w:r>
            <w:r>
              <w:rPr>
                <w:rFonts w:hint="eastAsia" w:ascii="FangSong_GB2312" w:hAnsi="FangSong_GB2312" w:eastAsia="FangSong_GB2312" w:cs="FangSong_GB2312"/>
                <w:kern w:val="0"/>
                <w:sz w:val="21"/>
                <w:szCs w:val="21"/>
                <w:lang w:val="en-US" w:eastAsia="zh-CN" w:bidi="ar"/>
              </w:rPr>
              <w:t>48</w:t>
            </w:r>
            <w:r>
              <w:rPr>
                <w:rFonts w:hint="eastAsia" w:ascii="FangSong_GB2312" w:hAnsi="FangSong_GB2312" w:eastAsia="FangSong_GB2312" w:cs="FangSong_GB2312"/>
                <w:kern w:val="0"/>
                <w:sz w:val="21"/>
                <w:szCs w:val="21"/>
                <w:lang w:bidi="ar"/>
              </w:rPr>
              <w:t>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1700mm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4500</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161"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19</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8</w:t>
            </w:r>
            <w:r>
              <w:rPr>
                <w:rFonts w:hint="eastAsia" w:ascii="FangSong_GB2312" w:hAnsi="FangSong_GB2312" w:eastAsia="FangSong_GB2312" w:cs="FangSong_GB2312"/>
                <w:kern w:val="0"/>
                <w:sz w:val="21"/>
                <w:szCs w:val="21"/>
                <w:lang w:bidi="ar"/>
              </w:rPr>
              <w:t>栋</w:t>
            </w:r>
            <w:r>
              <w:rPr>
                <w:rFonts w:hint="eastAsia" w:ascii="FangSong_GB2312" w:hAnsi="FangSong_GB2312" w:eastAsia="FangSong_GB2312" w:cs="FangSong_GB2312"/>
                <w:kern w:val="0"/>
                <w:sz w:val="21"/>
                <w:szCs w:val="21"/>
                <w:lang w:val="en-US" w:eastAsia="zh-CN" w:bidi="ar"/>
              </w:rPr>
              <w:t>1</w:t>
            </w:r>
            <w:r>
              <w:rPr>
                <w:rFonts w:hint="eastAsia" w:ascii="FangSong_GB2312" w:hAnsi="FangSong_GB2312" w:eastAsia="FangSong_GB2312" w:cs="FangSong_GB2312"/>
                <w:kern w:val="0"/>
                <w:sz w:val="21"/>
                <w:szCs w:val="21"/>
                <w:lang w:bidi="ar"/>
              </w:rPr>
              <w:t>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23</w:t>
            </w: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w:t>
            </w:r>
            <w:r>
              <w:rPr>
                <w:rFonts w:hint="eastAsia" w:ascii="FangSong_GB2312" w:hAnsi="FangSong_GB2312" w:eastAsia="FangSong_GB2312" w:cs="FangSong_GB2312"/>
                <w:kern w:val="0"/>
                <w:sz w:val="21"/>
                <w:szCs w:val="21"/>
                <w:lang w:val="en-US" w:eastAsia="zh-CN" w:bidi="ar"/>
              </w:rPr>
              <w:t>6</w:t>
            </w:r>
            <w:r>
              <w:rPr>
                <w:rFonts w:hint="eastAsia" w:ascii="FangSong_GB2312" w:hAnsi="FangSong_GB2312" w:eastAsia="FangSong_GB2312" w:cs="FangSong_GB2312"/>
                <w:kern w:val="0"/>
                <w:sz w:val="21"/>
                <w:szCs w:val="21"/>
                <w:lang w:bidi="ar"/>
              </w:rPr>
              <w:t>0mm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1650mm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4556</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266"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20</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8</w:t>
            </w:r>
            <w:r>
              <w:rPr>
                <w:rFonts w:hint="eastAsia" w:ascii="FangSong_GB2312" w:hAnsi="FangSong_GB2312" w:eastAsia="FangSong_GB2312" w:cs="FangSong_GB2312"/>
                <w:kern w:val="0"/>
                <w:sz w:val="21"/>
                <w:szCs w:val="21"/>
                <w:lang w:bidi="ar"/>
              </w:rPr>
              <w:t>栋</w:t>
            </w:r>
            <w:r>
              <w:rPr>
                <w:rFonts w:hint="eastAsia" w:ascii="FangSong_GB2312" w:hAnsi="FangSong_GB2312" w:eastAsia="FangSong_GB2312" w:cs="FangSong_GB2312"/>
                <w:kern w:val="0"/>
                <w:sz w:val="21"/>
                <w:szCs w:val="21"/>
                <w:lang w:val="en-US" w:eastAsia="zh-CN" w:bidi="ar"/>
              </w:rPr>
              <w:t>2</w:t>
            </w:r>
            <w:r>
              <w:rPr>
                <w:rFonts w:hint="eastAsia" w:ascii="FangSong_GB2312" w:hAnsi="FangSong_GB2312" w:eastAsia="FangSong_GB2312" w:cs="FangSong_GB2312"/>
                <w:kern w:val="0"/>
                <w:sz w:val="21"/>
                <w:szCs w:val="21"/>
                <w:lang w:bidi="ar"/>
              </w:rPr>
              <w:t>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23</w:t>
            </w: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w:t>
            </w:r>
            <w:r>
              <w:rPr>
                <w:rFonts w:hint="eastAsia" w:ascii="FangSong_GB2312" w:hAnsi="FangSong_GB2312" w:eastAsia="FangSong_GB2312" w:cs="FangSong_GB2312"/>
                <w:kern w:val="0"/>
                <w:sz w:val="21"/>
                <w:szCs w:val="21"/>
                <w:lang w:val="en-US" w:eastAsia="zh-CN" w:bidi="ar"/>
              </w:rPr>
              <w:t>6</w:t>
            </w:r>
            <w:r>
              <w:rPr>
                <w:rFonts w:hint="eastAsia" w:ascii="FangSong_GB2312" w:hAnsi="FangSong_GB2312" w:eastAsia="FangSong_GB2312" w:cs="FangSong_GB2312"/>
                <w:kern w:val="0"/>
                <w:sz w:val="21"/>
                <w:szCs w:val="21"/>
                <w:lang w:bidi="ar"/>
              </w:rPr>
              <w:t>0mm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1650mm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4556</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346"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60" w:hRule="atLeast"/>
          <w:jc w:val="center"/>
        </w:trPr>
        <w:tc>
          <w:tcPr>
            <w:tcW w:w="527" w:type="dxa"/>
            <w:vMerge w:val="restart"/>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b/>
                <w:bCs/>
                <w:kern w:val="0"/>
                <w:sz w:val="21"/>
                <w:szCs w:val="21"/>
              </w:rPr>
            </w:pPr>
            <w:r>
              <w:rPr>
                <w:rFonts w:hint="eastAsia" w:ascii="FangSong_GB2312" w:hAnsi="FangSong_GB2312" w:eastAsia="FangSong_GB2312" w:cs="FangSong_GB2312"/>
                <w:b/>
                <w:bCs/>
                <w:kern w:val="0"/>
                <w:sz w:val="21"/>
                <w:szCs w:val="21"/>
                <w:lang w:bidi="ar"/>
              </w:rPr>
              <w:t>21</w:t>
            </w:r>
          </w:p>
        </w:tc>
        <w:tc>
          <w:tcPr>
            <w:tcW w:w="10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栋</w:t>
            </w:r>
            <w:r>
              <w:rPr>
                <w:rFonts w:hint="eastAsia" w:ascii="FangSong_GB2312" w:hAnsi="FangSong_GB2312" w:eastAsia="FangSong_GB2312" w:cs="FangSong_GB2312"/>
                <w:kern w:val="0"/>
                <w:sz w:val="21"/>
                <w:szCs w:val="21"/>
                <w:lang w:val="en-US" w:eastAsia="zh-CN" w:bidi="ar"/>
              </w:rPr>
              <w:t>1</w:t>
            </w:r>
            <w:r>
              <w:rPr>
                <w:rFonts w:hint="eastAsia" w:ascii="FangSong_GB2312" w:hAnsi="FangSong_GB2312" w:eastAsia="FangSong_GB2312" w:cs="FangSong_GB2312"/>
                <w:kern w:val="0"/>
                <w:sz w:val="21"/>
                <w:szCs w:val="21"/>
                <w:lang w:bidi="ar"/>
              </w:rPr>
              <w:t>单元</w:t>
            </w:r>
          </w:p>
        </w:tc>
        <w:tc>
          <w:tcPr>
            <w:tcW w:w="73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23</w:t>
            </w: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215</w:t>
            </w:r>
            <w:r>
              <w:rPr>
                <w:rFonts w:hint="eastAsia" w:ascii="FangSong_GB2312" w:hAnsi="FangSong_GB2312" w:eastAsia="FangSong_GB2312" w:cs="FangSong_GB2312"/>
                <w:kern w:val="0"/>
                <w:sz w:val="21"/>
                <w:szCs w:val="21"/>
                <w:lang w:val="en-US" w:eastAsia="zh-CN" w:bidi="ar"/>
              </w:rPr>
              <w:t>7</w:t>
            </w:r>
            <w:r>
              <w:rPr>
                <w:rFonts w:hint="eastAsia" w:ascii="FangSong_GB2312" w:hAnsi="FangSong_GB2312" w:eastAsia="FangSong_GB2312" w:cs="FangSong_GB2312"/>
                <w:kern w:val="0"/>
                <w:sz w:val="21"/>
                <w:szCs w:val="21"/>
                <w:lang w:bidi="ar"/>
              </w:rPr>
              <w:t>mm</w:t>
            </w:r>
          </w:p>
        </w:tc>
        <w:tc>
          <w:tcPr>
            <w:tcW w:w="79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70</w:t>
            </w:r>
            <w:r>
              <w:rPr>
                <w:rFonts w:hint="eastAsia" w:ascii="FangSong_GB2312" w:hAnsi="FangSong_GB2312" w:eastAsia="FangSong_GB2312" w:cs="FangSong_GB2312"/>
                <w:kern w:val="0"/>
                <w:sz w:val="21"/>
                <w:szCs w:val="21"/>
                <w:lang w:bidi="ar"/>
              </w:rPr>
              <w:t>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4507</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121" w:hRule="atLeast"/>
          <w:jc w:val="center"/>
        </w:trPr>
        <w:tc>
          <w:tcPr>
            <w:tcW w:w="527" w:type="dxa"/>
            <w:vMerge w:val="continue"/>
            <w:tcBorders>
              <w:top w:val="single" w:color="000000" w:sz="4" w:space="0"/>
              <w:left w:val="doub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b/>
                <w:bCs/>
                <w:kern w:val="0"/>
                <w:sz w:val="21"/>
                <w:szCs w:val="21"/>
              </w:rPr>
            </w:pPr>
          </w:p>
        </w:tc>
        <w:tc>
          <w:tcPr>
            <w:tcW w:w="10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3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40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859"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9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058"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c>
          <w:tcPr>
            <w:tcW w:w="1326"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pPr>
              <w:widowControl/>
              <w:spacing w:line="240" w:lineRule="auto"/>
              <w:ind w:firstLine="0"/>
              <w:jc w:val="center"/>
              <w:rPr>
                <w:rFonts w:ascii="FangSong_GB2312" w:hAnsi="FangSong_GB2312" w:eastAsia="FangSong_GB2312" w:cs="FangSong_GB2312"/>
                <w:kern w:val="0"/>
                <w:sz w:val="21"/>
                <w:szCs w:val="21"/>
              </w:rPr>
            </w:pPr>
          </w:p>
        </w:tc>
      </w:tr>
      <w:tr>
        <w:tblPrEx>
          <w:shd w:val="clear" w:color="auto" w:fill="FFFFFF" w:themeFill="background1"/>
          <w:tblCellMar>
            <w:top w:w="0" w:type="dxa"/>
            <w:left w:w="108" w:type="dxa"/>
            <w:bottom w:w="0" w:type="dxa"/>
            <w:right w:w="108" w:type="dxa"/>
          </w:tblCellMar>
        </w:tblPrEx>
        <w:trPr>
          <w:trHeight w:val="327" w:hRule="atLeast"/>
          <w:jc w:val="center"/>
        </w:trPr>
        <w:tc>
          <w:tcPr>
            <w:tcW w:w="527" w:type="dxa"/>
            <w:vMerge w:val="restart"/>
            <w:tcBorders>
              <w:top w:val="single" w:color="000000" w:sz="4" w:space="0"/>
              <w:left w:val="doub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b/>
                <w:bCs/>
                <w:kern w:val="0"/>
                <w:sz w:val="21"/>
                <w:szCs w:val="21"/>
                <w:lang w:eastAsia="zh-CN"/>
              </w:rPr>
            </w:pPr>
            <w:r>
              <w:rPr>
                <w:rFonts w:hint="eastAsia" w:ascii="FangSong_GB2312" w:hAnsi="FangSong_GB2312" w:eastAsia="FangSong_GB2312" w:cs="FangSong_GB2312"/>
                <w:b/>
                <w:bCs/>
                <w:kern w:val="0"/>
                <w:sz w:val="21"/>
                <w:szCs w:val="21"/>
                <w:lang w:bidi="ar"/>
              </w:rPr>
              <w:t>2</w:t>
            </w:r>
            <w:r>
              <w:rPr>
                <w:rFonts w:hint="eastAsia" w:ascii="FangSong_GB2312" w:hAnsi="FangSong_GB2312" w:eastAsia="FangSong_GB2312" w:cs="FangSong_GB2312"/>
                <w:b/>
                <w:bCs/>
                <w:kern w:val="0"/>
                <w:sz w:val="21"/>
                <w:szCs w:val="21"/>
                <w:lang w:val="en-US" w:eastAsia="zh-CN" w:bidi="ar"/>
              </w:rPr>
              <w:t>2</w:t>
            </w:r>
          </w:p>
        </w:tc>
        <w:tc>
          <w:tcPr>
            <w:tcW w:w="1054"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栋</w:t>
            </w:r>
            <w:r>
              <w:rPr>
                <w:rFonts w:hint="eastAsia" w:ascii="FangSong_GB2312" w:hAnsi="FangSong_GB2312" w:eastAsia="FangSong_GB2312" w:cs="FangSong_GB2312"/>
                <w:kern w:val="0"/>
                <w:sz w:val="21"/>
                <w:szCs w:val="21"/>
                <w:lang w:val="en-US" w:eastAsia="zh-CN" w:bidi="ar"/>
              </w:rPr>
              <w:t>1</w:t>
            </w:r>
            <w:r>
              <w:rPr>
                <w:rFonts w:hint="eastAsia" w:ascii="FangSong_GB2312" w:hAnsi="FangSong_GB2312" w:eastAsia="FangSong_GB2312" w:cs="FangSong_GB2312"/>
                <w:kern w:val="0"/>
                <w:sz w:val="21"/>
                <w:szCs w:val="21"/>
                <w:lang w:bidi="ar"/>
              </w:rPr>
              <w:t>单元</w:t>
            </w:r>
          </w:p>
        </w:tc>
        <w:tc>
          <w:tcPr>
            <w:tcW w:w="737"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23</w:t>
            </w: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215</w:t>
            </w:r>
            <w:r>
              <w:rPr>
                <w:rFonts w:hint="eastAsia" w:ascii="FangSong_GB2312" w:hAnsi="FangSong_GB2312" w:eastAsia="FangSong_GB2312" w:cs="FangSong_GB2312"/>
                <w:kern w:val="0"/>
                <w:sz w:val="21"/>
                <w:szCs w:val="21"/>
                <w:lang w:val="en-US" w:eastAsia="zh-CN" w:bidi="ar"/>
              </w:rPr>
              <w:t>7</w:t>
            </w:r>
            <w:r>
              <w:rPr>
                <w:rFonts w:hint="eastAsia" w:ascii="FangSong_GB2312" w:hAnsi="FangSong_GB2312" w:eastAsia="FangSong_GB2312" w:cs="FangSong_GB2312"/>
                <w:kern w:val="0"/>
                <w:sz w:val="21"/>
                <w:szCs w:val="21"/>
                <w:lang w:bidi="ar"/>
              </w:rPr>
              <w:t>mm</w:t>
            </w:r>
          </w:p>
        </w:tc>
        <w:tc>
          <w:tcPr>
            <w:tcW w:w="796"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70</w:t>
            </w:r>
            <w:r>
              <w:rPr>
                <w:rFonts w:hint="eastAsia" w:ascii="FangSong_GB2312" w:hAnsi="FangSong_GB2312" w:eastAsia="FangSong_GB2312" w:cs="FangSong_GB2312"/>
                <w:kern w:val="0"/>
                <w:sz w:val="21"/>
                <w:szCs w:val="21"/>
                <w:lang w:bidi="ar"/>
              </w:rPr>
              <w:t>0mm</w:t>
            </w:r>
          </w:p>
        </w:tc>
        <w:tc>
          <w:tcPr>
            <w:tcW w:w="1058"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000000" w:sz="4" w:space="0"/>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bidi="ar"/>
              </w:rPr>
              <w:t>顶层高度</w:t>
            </w:r>
          </w:p>
        </w:tc>
        <w:tc>
          <w:tcPr>
            <w:tcW w:w="1084" w:type="dxa"/>
            <w:tcBorders>
              <w:top w:val="single" w:color="000000" w:sz="4" w:space="0"/>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4507</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000000"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机房通道、机房搁机梁孔洞、钢丝绳孔洞</w:t>
            </w:r>
            <w:r>
              <w:rPr>
                <w:rFonts w:hint="eastAsia" w:ascii="FangSong_GB2312" w:hAnsi="FangSong_GB2312" w:eastAsia="FangSong_GB2312" w:cs="FangSong_GB2312"/>
                <w:kern w:val="0"/>
                <w:sz w:val="21"/>
                <w:szCs w:val="21"/>
                <w:lang w:bidi="ar"/>
              </w:rPr>
              <w:t>需整改</w:t>
            </w:r>
          </w:p>
        </w:tc>
      </w:tr>
      <w:tr>
        <w:tblPrEx>
          <w:shd w:val="clear" w:color="auto" w:fill="FFFFFF" w:themeFill="background1"/>
          <w:tblCellMar>
            <w:top w:w="0" w:type="dxa"/>
            <w:left w:w="108" w:type="dxa"/>
            <w:bottom w:w="0" w:type="dxa"/>
            <w:right w:w="108" w:type="dxa"/>
          </w:tblCellMar>
        </w:tblPrEx>
        <w:trPr>
          <w:trHeight w:val="374" w:hRule="atLeast"/>
          <w:jc w:val="center"/>
        </w:trPr>
        <w:tc>
          <w:tcPr>
            <w:tcW w:w="527" w:type="dxa"/>
            <w:vMerge w:val="continue"/>
            <w:tcBorders>
              <w:left w:val="doub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b/>
                <w:bCs/>
                <w:kern w:val="0"/>
                <w:sz w:val="21"/>
                <w:szCs w:val="21"/>
                <w:lang w:bidi="ar"/>
              </w:rPr>
            </w:pPr>
          </w:p>
        </w:tc>
        <w:tc>
          <w:tcPr>
            <w:tcW w:w="1054"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val="en-US" w:eastAsia="zh-CN" w:bidi="ar"/>
              </w:rPr>
            </w:pPr>
          </w:p>
        </w:tc>
        <w:tc>
          <w:tcPr>
            <w:tcW w:w="737"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c>
          <w:tcPr>
            <w:tcW w:w="1406"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c>
          <w:tcPr>
            <w:tcW w:w="797"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c>
          <w:tcPr>
            <w:tcW w:w="1114"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c>
          <w:tcPr>
            <w:tcW w:w="759"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c>
          <w:tcPr>
            <w:tcW w:w="859"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c>
          <w:tcPr>
            <w:tcW w:w="796"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c>
          <w:tcPr>
            <w:tcW w:w="1058"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p>
        </w:tc>
        <w:tc>
          <w:tcPr>
            <w:tcW w:w="1326" w:type="dxa"/>
            <w:tcBorders>
              <w:top w:val="single" w:color="auto" w:sz="4" w:space="0"/>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auto" w:sz="4" w:space="0"/>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r>
      <w:tr>
        <w:tblPrEx>
          <w:shd w:val="clear" w:color="auto" w:fill="FFFFFF" w:themeFill="background1"/>
          <w:tblCellMar>
            <w:top w:w="0" w:type="dxa"/>
            <w:left w:w="108" w:type="dxa"/>
            <w:bottom w:w="0" w:type="dxa"/>
            <w:right w:w="108" w:type="dxa"/>
          </w:tblCellMar>
        </w:tblPrEx>
        <w:trPr>
          <w:trHeight w:val="387" w:hRule="atLeast"/>
          <w:jc w:val="center"/>
        </w:trPr>
        <w:tc>
          <w:tcPr>
            <w:tcW w:w="527" w:type="dxa"/>
            <w:vMerge w:val="restart"/>
            <w:tcBorders>
              <w:top w:val="single" w:color="auto" w:sz="4" w:space="0"/>
              <w:left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b/>
                <w:bCs/>
                <w:kern w:val="0"/>
                <w:sz w:val="21"/>
                <w:szCs w:val="21"/>
                <w:lang w:eastAsia="zh-CN" w:bidi="ar"/>
              </w:rPr>
            </w:pPr>
            <w:r>
              <w:rPr>
                <w:rFonts w:hint="eastAsia" w:ascii="FangSong_GB2312" w:hAnsi="FangSong_GB2312" w:eastAsia="FangSong_GB2312" w:cs="FangSong_GB2312"/>
                <w:b/>
                <w:bCs/>
                <w:kern w:val="0"/>
                <w:sz w:val="21"/>
                <w:szCs w:val="21"/>
                <w:lang w:bidi="ar"/>
              </w:rPr>
              <w:t>2</w:t>
            </w:r>
            <w:r>
              <w:rPr>
                <w:rFonts w:hint="eastAsia" w:ascii="FangSong_GB2312" w:hAnsi="FangSong_GB2312" w:eastAsia="FangSong_GB2312" w:cs="FangSong_GB2312"/>
                <w:b/>
                <w:bCs/>
                <w:kern w:val="0"/>
                <w:sz w:val="21"/>
                <w:szCs w:val="21"/>
                <w:lang w:val="en-US" w:eastAsia="zh-CN" w:bidi="ar"/>
              </w:rPr>
              <w:t>3</w:t>
            </w:r>
          </w:p>
        </w:tc>
        <w:tc>
          <w:tcPr>
            <w:tcW w:w="1054" w:type="dxa"/>
            <w:vMerge w:val="restart"/>
            <w:tcBorders>
              <w:top w:val="single" w:color="auto"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栋</w:t>
            </w:r>
            <w:r>
              <w:rPr>
                <w:rFonts w:hint="eastAsia" w:ascii="FangSong_GB2312" w:hAnsi="FangSong_GB2312" w:eastAsia="FangSong_GB2312" w:cs="FangSong_GB2312"/>
                <w:kern w:val="0"/>
                <w:sz w:val="21"/>
                <w:szCs w:val="21"/>
                <w:lang w:val="en-US" w:eastAsia="zh-CN" w:bidi="ar"/>
              </w:rPr>
              <w:t>1</w:t>
            </w:r>
            <w:r>
              <w:rPr>
                <w:rFonts w:hint="eastAsia" w:ascii="FangSong_GB2312" w:hAnsi="FangSong_GB2312" w:eastAsia="FangSong_GB2312" w:cs="FangSong_GB2312"/>
                <w:kern w:val="0"/>
                <w:sz w:val="21"/>
                <w:szCs w:val="21"/>
                <w:lang w:bidi="ar"/>
              </w:rPr>
              <w:t>单元</w:t>
            </w:r>
          </w:p>
        </w:tc>
        <w:tc>
          <w:tcPr>
            <w:tcW w:w="737" w:type="dxa"/>
            <w:vMerge w:val="restart"/>
            <w:tcBorders>
              <w:top w:val="single" w:color="auto"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1050</w:t>
            </w:r>
            <w:r>
              <w:rPr>
                <w:rFonts w:hint="eastAsia" w:ascii="FangSong_GB2312" w:hAnsi="FangSong_GB2312" w:eastAsia="FangSong_GB2312" w:cs="FangSong_GB2312"/>
                <w:kern w:val="0"/>
                <w:sz w:val="21"/>
                <w:szCs w:val="21"/>
                <w:lang w:bidi="ar"/>
              </w:rPr>
              <w:t>KG</w:t>
            </w:r>
          </w:p>
        </w:tc>
        <w:tc>
          <w:tcPr>
            <w:tcW w:w="1406" w:type="dxa"/>
            <w:vMerge w:val="restart"/>
            <w:tcBorders>
              <w:top w:val="single" w:color="auto"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层</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站</w:t>
            </w:r>
            <w:r>
              <w:rPr>
                <w:rFonts w:hint="eastAsia" w:ascii="FangSong_GB2312" w:hAnsi="FangSong_GB2312" w:eastAsia="FangSong_GB2312" w:cs="FangSong_GB2312"/>
                <w:kern w:val="0"/>
                <w:sz w:val="21"/>
                <w:szCs w:val="21"/>
                <w:lang w:val="en-US" w:eastAsia="zh-CN" w:bidi="ar"/>
              </w:rPr>
              <w:t>11</w:t>
            </w:r>
            <w:r>
              <w:rPr>
                <w:rFonts w:hint="eastAsia" w:ascii="FangSong_GB2312" w:hAnsi="FangSong_GB2312" w:eastAsia="FangSong_GB2312" w:cs="FangSong_GB2312"/>
                <w:kern w:val="0"/>
                <w:sz w:val="21"/>
                <w:szCs w:val="21"/>
                <w:lang w:bidi="ar"/>
              </w:rPr>
              <w:t>门</w:t>
            </w:r>
          </w:p>
        </w:tc>
        <w:tc>
          <w:tcPr>
            <w:tcW w:w="797" w:type="dxa"/>
            <w:vMerge w:val="restart"/>
            <w:tcBorders>
              <w:top w:val="single" w:color="auto"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bidi="ar"/>
              </w:rPr>
              <w:t>1.75</w:t>
            </w:r>
          </w:p>
        </w:tc>
        <w:tc>
          <w:tcPr>
            <w:tcW w:w="1114" w:type="dxa"/>
            <w:vMerge w:val="restart"/>
            <w:tcBorders>
              <w:top w:val="single" w:color="auto"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00*2100mm</w:t>
            </w:r>
          </w:p>
        </w:tc>
        <w:tc>
          <w:tcPr>
            <w:tcW w:w="759" w:type="dxa"/>
            <w:vMerge w:val="restart"/>
            <w:tcBorders>
              <w:top w:val="single" w:color="auto"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bidi="ar"/>
              </w:rPr>
              <w:t>23</w:t>
            </w:r>
            <w:r>
              <w:rPr>
                <w:rFonts w:hint="eastAsia" w:ascii="FangSong_GB2312" w:hAnsi="FangSong_GB2312" w:eastAsia="FangSong_GB2312" w:cs="FangSong_GB2312"/>
                <w:kern w:val="0"/>
                <w:sz w:val="21"/>
                <w:szCs w:val="21"/>
                <w:lang w:val="en-US" w:eastAsia="zh-CN" w:bidi="ar"/>
              </w:rPr>
              <w:t>9</w:t>
            </w:r>
            <w:r>
              <w:rPr>
                <w:rFonts w:hint="eastAsia" w:ascii="FangSong_GB2312" w:hAnsi="FangSong_GB2312" w:eastAsia="FangSong_GB2312" w:cs="FangSong_GB2312"/>
                <w:kern w:val="0"/>
                <w:sz w:val="21"/>
                <w:szCs w:val="21"/>
                <w:lang w:bidi="ar"/>
              </w:rPr>
              <w:t>0mm</w:t>
            </w:r>
          </w:p>
        </w:tc>
        <w:tc>
          <w:tcPr>
            <w:tcW w:w="859" w:type="dxa"/>
            <w:vMerge w:val="restart"/>
            <w:tcBorders>
              <w:top w:val="single" w:color="auto"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bidi="ar"/>
              </w:rPr>
              <w:t>215</w:t>
            </w:r>
            <w:r>
              <w:rPr>
                <w:rFonts w:hint="eastAsia" w:ascii="FangSong_GB2312" w:hAnsi="FangSong_GB2312" w:eastAsia="FangSong_GB2312" w:cs="FangSong_GB2312"/>
                <w:kern w:val="0"/>
                <w:sz w:val="21"/>
                <w:szCs w:val="21"/>
                <w:lang w:val="en-US" w:eastAsia="zh-CN" w:bidi="ar"/>
              </w:rPr>
              <w:t>7</w:t>
            </w:r>
            <w:r>
              <w:rPr>
                <w:rFonts w:hint="eastAsia" w:ascii="FangSong_GB2312" w:hAnsi="FangSong_GB2312" w:eastAsia="FangSong_GB2312" w:cs="FangSong_GB2312"/>
                <w:kern w:val="0"/>
                <w:sz w:val="21"/>
                <w:szCs w:val="21"/>
                <w:lang w:bidi="ar"/>
              </w:rPr>
              <w:t>mm</w:t>
            </w:r>
          </w:p>
        </w:tc>
        <w:tc>
          <w:tcPr>
            <w:tcW w:w="796" w:type="dxa"/>
            <w:vMerge w:val="restart"/>
            <w:tcBorders>
              <w:top w:val="single" w:color="auto"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70</w:t>
            </w:r>
            <w:r>
              <w:rPr>
                <w:rFonts w:hint="eastAsia" w:ascii="FangSong_GB2312" w:hAnsi="FangSong_GB2312" w:eastAsia="FangSong_GB2312" w:cs="FangSong_GB2312"/>
                <w:kern w:val="0"/>
                <w:sz w:val="21"/>
                <w:szCs w:val="21"/>
                <w:lang w:bidi="ar"/>
              </w:rPr>
              <w:t>0mm</w:t>
            </w:r>
          </w:p>
        </w:tc>
        <w:tc>
          <w:tcPr>
            <w:tcW w:w="1058" w:type="dxa"/>
            <w:vMerge w:val="restart"/>
            <w:tcBorders>
              <w:top w:val="single" w:color="auto"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r>
              <w:rPr>
                <w:rFonts w:hint="eastAsia" w:ascii="FangSong_GB2312" w:hAnsi="FangSong_GB2312" w:eastAsia="FangSong_GB2312" w:cs="FangSong_GB2312"/>
                <w:kern w:val="0"/>
                <w:sz w:val="21"/>
                <w:szCs w:val="21"/>
                <w:lang w:val="en-US" w:eastAsia="zh-CN" w:bidi="ar"/>
              </w:rPr>
              <w:t>≥2400mm</w:t>
            </w:r>
          </w:p>
        </w:tc>
        <w:tc>
          <w:tcPr>
            <w:tcW w:w="765" w:type="dxa"/>
            <w:vMerge w:val="restart"/>
            <w:tcBorders>
              <w:top w:val="single" w:color="auto" w:sz="4" w:space="0"/>
              <w:left w:val="single" w:color="000000"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default" w:ascii="FangSong_GB2312" w:hAnsi="FangSong_GB2312" w:eastAsia="FangSong_GB2312" w:cs="FangSong_GB2312"/>
                <w:kern w:val="0"/>
                <w:sz w:val="21"/>
                <w:szCs w:val="21"/>
                <w:lang w:val="en-US" w:eastAsia="zh-CN" w:bidi="ar"/>
              </w:rPr>
            </w:pPr>
            <w:r>
              <w:rPr>
                <w:rFonts w:hint="eastAsia" w:ascii="FangSong_GB2312" w:hAnsi="FangSong_GB2312" w:eastAsia="FangSong_GB2312" w:cs="FangSong_GB2312"/>
                <w:kern w:val="0"/>
                <w:sz w:val="21"/>
                <w:szCs w:val="21"/>
                <w:lang w:val="en-US" w:eastAsia="zh-CN" w:bidi="ar"/>
              </w:rPr>
              <w:t>1</w:t>
            </w:r>
          </w:p>
        </w:tc>
        <w:tc>
          <w:tcPr>
            <w:tcW w:w="1326" w:type="dxa"/>
            <w:tcBorders>
              <w:top w:val="single" w:color="auto" w:sz="4" w:space="0"/>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bidi="ar"/>
              </w:rPr>
              <w:t>顶层高度</w:t>
            </w:r>
          </w:p>
        </w:tc>
        <w:tc>
          <w:tcPr>
            <w:tcW w:w="1084" w:type="dxa"/>
            <w:tcBorders>
              <w:top w:val="single" w:color="auto" w:sz="4" w:space="0"/>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4507</w:t>
            </w:r>
            <w:r>
              <w:rPr>
                <w:rFonts w:hint="eastAsia" w:ascii="FangSong_GB2312" w:hAnsi="FangSong_GB2312" w:eastAsia="FangSong_GB2312" w:cs="FangSong_GB2312"/>
                <w:kern w:val="0"/>
                <w:sz w:val="21"/>
                <w:szCs w:val="21"/>
                <w:lang w:bidi="ar"/>
              </w:rPr>
              <w:t>mm</w:t>
            </w:r>
          </w:p>
        </w:tc>
        <w:tc>
          <w:tcPr>
            <w:tcW w:w="2613" w:type="dxa"/>
            <w:vMerge w:val="restart"/>
            <w:tcBorders>
              <w:top w:val="single" w:color="auto" w:sz="4" w:space="0"/>
              <w:left w:val="single" w:color="000000" w:sz="4" w:space="0"/>
              <w:right w:val="single" w:color="auto"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eastAsia="zh-CN" w:bidi="ar"/>
              </w:rPr>
              <w:t>机房高度</w:t>
            </w:r>
            <w:r>
              <w:rPr>
                <w:rFonts w:hint="eastAsia" w:ascii="FangSong_GB2312" w:hAnsi="FangSong_GB2312" w:eastAsia="FangSong_GB2312" w:cs="FangSong_GB2312"/>
                <w:kern w:val="0"/>
                <w:sz w:val="21"/>
                <w:szCs w:val="21"/>
                <w:lang w:val="en-US" w:eastAsia="zh-CN" w:bidi="ar"/>
              </w:rPr>
              <w:t>2400mm、</w:t>
            </w:r>
            <w:r>
              <w:rPr>
                <w:rFonts w:hint="eastAsia" w:ascii="FangSong_GB2312" w:hAnsi="FangSong_GB2312" w:eastAsia="FangSong_GB2312" w:cs="FangSong_GB2312"/>
                <w:kern w:val="0"/>
                <w:sz w:val="21"/>
                <w:szCs w:val="21"/>
                <w:lang w:eastAsia="zh-CN" w:bidi="ar"/>
              </w:rPr>
              <w:t>机房通道、机房搁机梁孔洞</w:t>
            </w:r>
          </w:p>
        </w:tc>
      </w:tr>
      <w:tr>
        <w:tblPrEx>
          <w:shd w:val="clear" w:color="auto" w:fill="FFFFFF" w:themeFill="background1"/>
          <w:tblCellMar>
            <w:top w:w="0" w:type="dxa"/>
            <w:left w:w="108" w:type="dxa"/>
            <w:bottom w:w="0" w:type="dxa"/>
            <w:right w:w="108" w:type="dxa"/>
          </w:tblCellMar>
        </w:tblPrEx>
        <w:trPr>
          <w:trHeight w:val="157" w:hRule="atLeast"/>
          <w:jc w:val="center"/>
        </w:trPr>
        <w:tc>
          <w:tcPr>
            <w:tcW w:w="527" w:type="dxa"/>
            <w:vMerge w:val="continue"/>
            <w:tcBorders>
              <w:left w:val="single" w:color="auto"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b/>
                <w:bCs/>
                <w:kern w:val="0"/>
                <w:sz w:val="21"/>
                <w:szCs w:val="21"/>
                <w:lang w:bidi="ar"/>
              </w:rPr>
            </w:pPr>
          </w:p>
        </w:tc>
        <w:tc>
          <w:tcPr>
            <w:tcW w:w="1054"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val="en-US" w:eastAsia="zh-CN" w:bidi="ar"/>
              </w:rPr>
            </w:pPr>
          </w:p>
        </w:tc>
        <w:tc>
          <w:tcPr>
            <w:tcW w:w="737"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c>
          <w:tcPr>
            <w:tcW w:w="1406"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c>
          <w:tcPr>
            <w:tcW w:w="797"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c>
          <w:tcPr>
            <w:tcW w:w="1114"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c>
          <w:tcPr>
            <w:tcW w:w="759"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c>
          <w:tcPr>
            <w:tcW w:w="859"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c>
          <w:tcPr>
            <w:tcW w:w="796"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c>
          <w:tcPr>
            <w:tcW w:w="1058"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p>
        </w:tc>
        <w:tc>
          <w:tcPr>
            <w:tcW w:w="765" w:type="dxa"/>
            <w:vMerge w:val="continue"/>
            <w:tcBorders>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ascii="FangSong_GB2312" w:hAnsi="FangSong_GB2312" w:eastAsia="FangSong_GB2312" w:cs="FangSong_GB2312"/>
                <w:kern w:val="0"/>
                <w:sz w:val="21"/>
                <w:szCs w:val="21"/>
              </w:rPr>
            </w:pPr>
          </w:p>
        </w:tc>
        <w:tc>
          <w:tcPr>
            <w:tcW w:w="1326" w:type="dxa"/>
            <w:tcBorders>
              <w:top w:val="single" w:color="auto" w:sz="4" w:space="0"/>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bidi="ar"/>
              </w:rPr>
              <w:t>1</w:t>
            </w:r>
            <w:r>
              <w:rPr>
                <w:rFonts w:hint="eastAsia" w:ascii="FangSong_GB2312" w:hAnsi="FangSong_GB2312" w:eastAsia="FangSong_GB2312" w:cs="FangSong_GB2312"/>
                <w:kern w:val="0"/>
                <w:sz w:val="21"/>
                <w:szCs w:val="21"/>
                <w:lang w:val="en-US" w:eastAsia="zh-CN" w:bidi="ar"/>
              </w:rPr>
              <w:t>F</w:t>
            </w:r>
            <w:r>
              <w:rPr>
                <w:rFonts w:hint="eastAsia" w:ascii="FangSong_GB2312" w:hAnsi="FangSong_GB2312" w:eastAsia="FangSong_GB2312" w:cs="FangSong_GB2312"/>
                <w:kern w:val="0"/>
                <w:sz w:val="21"/>
                <w:szCs w:val="21"/>
                <w:lang w:bidi="ar"/>
              </w:rPr>
              <w:t>-</w:t>
            </w:r>
            <w:r>
              <w:rPr>
                <w:rFonts w:hint="eastAsia" w:ascii="FangSong_GB2312" w:hAnsi="FangSong_GB2312" w:eastAsia="FangSong_GB2312" w:cs="FangSong_GB2312"/>
                <w:kern w:val="0"/>
                <w:sz w:val="21"/>
                <w:szCs w:val="21"/>
                <w:lang w:val="en-US" w:eastAsia="zh-CN" w:bidi="ar"/>
              </w:rPr>
              <w:t>10</w:t>
            </w:r>
            <w:r>
              <w:rPr>
                <w:rFonts w:hint="eastAsia" w:ascii="FangSong_GB2312" w:hAnsi="FangSong_GB2312" w:eastAsia="FangSong_GB2312" w:cs="FangSong_GB2312"/>
                <w:kern w:val="0"/>
                <w:sz w:val="21"/>
                <w:szCs w:val="21"/>
                <w:lang w:bidi="ar"/>
              </w:rPr>
              <w:t>F</w:t>
            </w:r>
          </w:p>
        </w:tc>
        <w:tc>
          <w:tcPr>
            <w:tcW w:w="1084" w:type="dxa"/>
            <w:tcBorders>
              <w:top w:val="single" w:color="auto" w:sz="4" w:space="0"/>
              <w:left w:val="single" w:color="000000" w:sz="4" w:space="0"/>
              <w:bottom w:val="single" w:color="auto" w:sz="4" w:space="0"/>
              <w:right w:val="single" w:color="000000"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r>
              <w:rPr>
                <w:rFonts w:hint="eastAsia" w:ascii="FangSong_GB2312" w:hAnsi="FangSong_GB2312" w:eastAsia="FangSong_GB2312" w:cs="FangSong_GB2312"/>
                <w:kern w:val="0"/>
                <w:sz w:val="21"/>
                <w:szCs w:val="21"/>
                <w:lang w:val="en-US" w:eastAsia="zh-CN" w:bidi="ar"/>
              </w:rPr>
              <w:t>28</w:t>
            </w:r>
            <w:r>
              <w:rPr>
                <w:rFonts w:hint="eastAsia" w:ascii="FangSong_GB2312" w:hAnsi="FangSong_GB2312" w:eastAsia="FangSong_GB2312" w:cs="FangSong_GB2312"/>
                <w:kern w:val="0"/>
                <w:sz w:val="21"/>
                <w:szCs w:val="21"/>
                <w:lang w:bidi="ar"/>
              </w:rPr>
              <w:t>00mm</w:t>
            </w:r>
          </w:p>
        </w:tc>
        <w:tc>
          <w:tcPr>
            <w:tcW w:w="2613" w:type="dxa"/>
            <w:vMerge w:val="continue"/>
            <w:tcBorders>
              <w:left w:val="single" w:color="000000" w:sz="4" w:space="0"/>
              <w:bottom w:val="single" w:color="auto" w:sz="4" w:space="0"/>
              <w:right w:val="single" w:color="auto" w:sz="4" w:space="0"/>
            </w:tcBorders>
            <w:shd w:val="clear" w:color="auto" w:fill="FFFFFF" w:themeFill="background1"/>
            <w:noWrap w:val="0"/>
            <w:vAlign w:val="center"/>
          </w:tcPr>
          <w:p>
            <w:pPr>
              <w:widowControl/>
              <w:spacing w:line="240" w:lineRule="auto"/>
              <w:ind w:firstLine="0"/>
              <w:jc w:val="center"/>
              <w:textAlignment w:val="center"/>
              <w:rPr>
                <w:rFonts w:hint="eastAsia" w:ascii="FangSong_GB2312" w:hAnsi="FangSong_GB2312" w:eastAsia="FangSong_GB2312" w:cs="FangSong_GB2312"/>
                <w:kern w:val="0"/>
                <w:sz w:val="21"/>
                <w:szCs w:val="21"/>
                <w:lang w:bidi="ar"/>
              </w:rPr>
            </w:pPr>
          </w:p>
        </w:tc>
      </w:tr>
      <w:bookmarkEnd w:id="172"/>
    </w:tbl>
    <w:p>
      <w:pPr>
        <w:widowControl/>
        <w:spacing w:line="240" w:lineRule="auto"/>
        <w:ind w:firstLine="0"/>
        <w:jc w:val="left"/>
        <w:rPr>
          <w:rFonts w:ascii="Times New Roman" w:hAnsi="Times New Roman" w:eastAsia="宋体" w:cs="Times New Roman"/>
          <w:kern w:val="0"/>
          <w:sz w:val="20"/>
          <w:szCs w:val="20"/>
        </w:rPr>
      </w:pPr>
    </w:p>
    <w:p>
      <w:pPr>
        <w:widowControl/>
        <w:spacing w:line="360" w:lineRule="auto"/>
        <w:ind w:firstLine="200"/>
        <w:jc w:val="both"/>
        <w:rPr>
          <w:rFonts w:hint="eastAsia" w:ascii="仿宋_GB2312" w:hAnsi="仿宋_GB2312" w:eastAsia="仿宋_GB2312" w:cs="仿宋_GB2312"/>
          <w:b/>
          <w:bCs/>
          <w:color w:val="000000"/>
          <w:kern w:val="0"/>
          <w:sz w:val="21"/>
          <w:szCs w:val="21"/>
          <w:highlight w:val="none"/>
          <w:lang w:val="en-US" w:eastAsia="zh-CN"/>
        </w:rPr>
        <w:sectPr>
          <w:pgSz w:w="16838" w:h="11906" w:orient="landscape"/>
          <w:pgMar w:top="1080" w:right="1134" w:bottom="1080" w:left="1134" w:header="851" w:footer="992" w:gutter="0"/>
          <w:pgBorders>
            <w:top w:val="none" w:sz="0" w:space="0"/>
            <w:left w:val="none" w:sz="0" w:space="0"/>
            <w:bottom w:val="none" w:sz="0" w:space="0"/>
            <w:right w:val="none" w:sz="0" w:space="0"/>
          </w:pgBorders>
          <w:cols w:space="720" w:num="1"/>
          <w:titlePg/>
          <w:docGrid w:type="lines" w:linePitch="312" w:charSpace="0"/>
        </w:sectPr>
      </w:pPr>
      <w:r>
        <w:rPr>
          <w:rFonts w:hint="eastAsia" w:ascii="仿宋_GB2312" w:hAnsi="仿宋_GB2312" w:eastAsia="仿宋_GB2312" w:cs="仿宋_GB2312"/>
          <w:b/>
          <w:bCs/>
          <w:color w:val="000000"/>
          <w:kern w:val="0"/>
          <w:sz w:val="21"/>
          <w:szCs w:val="21"/>
          <w:highlight w:val="none"/>
          <w:lang w:val="en-US" w:eastAsia="zh-CN"/>
        </w:rPr>
        <w:t>注：本次电梯品牌参照或相当于蒂升、通力、康力、上海三菱、沃克斯迅达、杭州西奥、广州奥的斯品牌电梯</w:t>
      </w:r>
    </w:p>
    <w:p>
      <w:pPr>
        <w:widowControl/>
        <w:spacing w:line="580" w:lineRule="exact"/>
        <w:jc w:val="left"/>
        <w:rPr>
          <w:rFonts w:hint="eastAsia" w:ascii="仿宋_GB2312" w:hAnsi="仿宋_GB2312" w:eastAsia="仿宋_GB2312" w:cs="仿宋_GB2312"/>
          <w:b/>
          <w:bCs/>
          <w:color w:val="000000"/>
          <w:kern w:val="0"/>
          <w:sz w:val="21"/>
          <w:szCs w:val="21"/>
          <w:highlight w:val="none"/>
          <w:lang w:val="en-US" w:eastAsia="zh-CN" w:bidi="ar-SA"/>
        </w:rPr>
      </w:pPr>
      <w:bookmarkStart w:id="173" w:name="_Toc20460"/>
      <w:r>
        <w:rPr>
          <w:rFonts w:hint="eastAsia" w:ascii="仿宋_GB2312" w:hAnsi="仿宋_GB2312" w:eastAsia="仿宋_GB2312" w:cs="仿宋_GB2312"/>
          <w:b/>
          <w:bCs/>
          <w:color w:val="000000"/>
          <w:kern w:val="0"/>
          <w:sz w:val="21"/>
          <w:szCs w:val="21"/>
          <w:highlight w:val="none"/>
          <w:lang w:val="en-US" w:eastAsia="zh-CN" w:bidi="ar-SA"/>
        </w:rPr>
        <w:t>（二）技术要求</w:t>
      </w:r>
      <w:bookmarkEnd w:id="173"/>
    </w:p>
    <w:tbl>
      <w:tblPr>
        <w:tblStyle w:val="45"/>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0"/>
        <w:gridCol w:w="7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300" w:type="dxa"/>
            <w:gridSpan w:val="2"/>
            <w:noWrap w:val="0"/>
            <w:vAlign w:val="center"/>
          </w:tcPr>
          <w:p>
            <w:pPr>
              <w:widowControl/>
              <w:adjustRightInd w:val="0"/>
              <w:snapToGrid w:val="0"/>
              <w:spacing w:line="240" w:lineRule="auto"/>
              <w:ind w:firstLine="0"/>
              <w:jc w:val="center"/>
              <w:rPr>
                <w:rFonts w:hint="eastAsia" w:ascii="仿宋_GB2312" w:hAnsi="仿宋_GB2312" w:eastAsia="仿宋_GB2312" w:cs="仿宋_GB2312"/>
                <w:b/>
                <w:color w:val="000000"/>
                <w:kern w:val="0"/>
                <w:sz w:val="21"/>
                <w:szCs w:val="21"/>
                <w:highlight w:val="none"/>
                <w:shd w:val="clear" w:color="auto" w:fill="FFFFFF"/>
              </w:rPr>
            </w:pPr>
            <w:r>
              <w:rPr>
                <w:rFonts w:hint="eastAsia" w:ascii="仿宋_GB2312" w:hAnsi="仿宋_GB2312" w:eastAsia="仿宋_GB2312" w:cs="仿宋_GB2312"/>
                <w:b/>
                <w:color w:val="000000"/>
                <w:kern w:val="0"/>
                <w:sz w:val="21"/>
                <w:szCs w:val="21"/>
                <w:highlight w:val="none"/>
                <w:shd w:val="clear" w:color="auto" w:fill="FFFFFF"/>
              </w:rPr>
              <w:t>产品规格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000" w:type="dxa"/>
            <w:vMerge w:val="restart"/>
            <w:noWrap w:val="0"/>
            <w:vAlign w:val="center"/>
          </w:tcPr>
          <w:p>
            <w:pPr>
              <w:widowControl/>
              <w:adjustRightInd w:val="0"/>
              <w:snapToGrid w:val="0"/>
              <w:spacing w:line="240" w:lineRule="auto"/>
              <w:ind w:firstLine="0"/>
              <w:jc w:val="center"/>
              <w:rPr>
                <w:rFonts w:hint="eastAsia" w:ascii="仿宋_GB2312" w:hAnsi="仿宋_GB2312" w:eastAsia="仿宋_GB2312" w:cs="仿宋_GB2312"/>
                <w:b/>
                <w:color w:val="000000"/>
                <w:kern w:val="0"/>
                <w:sz w:val="21"/>
                <w:szCs w:val="21"/>
                <w:highlight w:val="none"/>
                <w:shd w:val="clear" w:color="auto" w:fill="FFFFFF"/>
              </w:rPr>
            </w:pPr>
            <w:r>
              <w:rPr>
                <w:rFonts w:hint="eastAsia" w:ascii="仿宋_GB2312" w:hAnsi="仿宋_GB2312" w:eastAsia="仿宋_GB2312" w:cs="仿宋_GB2312"/>
                <w:b/>
                <w:color w:val="000000"/>
                <w:kern w:val="0"/>
                <w:sz w:val="21"/>
                <w:szCs w:val="21"/>
                <w:highlight w:val="none"/>
                <w:shd w:val="clear" w:color="auto" w:fill="FFFFFF"/>
              </w:rPr>
              <w:t>基本规格</w:t>
            </w: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楼层编号：以现场实际为准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货物名称：有机房</w:t>
            </w:r>
            <w:r>
              <w:rPr>
                <w:rFonts w:hint="eastAsia" w:ascii="仿宋_GB2312" w:hAnsi="仿宋_GB2312" w:eastAsia="仿宋_GB2312" w:cs="仿宋_GB2312"/>
                <w:color w:val="000000"/>
                <w:kern w:val="0"/>
                <w:sz w:val="21"/>
                <w:szCs w:val="21"/>
                <w:highlight w:val="none"/>
                <w:shd w:val="clear" w:color="auto" w:fill="FFFFFF"/>
                <w:lang w:val="en-US" w:eastAsia="zh-CN"/>
              </w:rPr>
              <w:t>曳引</w:t>
            </w:r>
            <w:r>
              <w:rPr>
                <w:rFonts w:hint="eastAsia" w:ascii="仿宋_GB2312" w:hAnsi="仿宋_GB2312" w:eastAsia="仿宋_GB2312" w:cs="仿宋_GB2312"/>
                <w:color w:val="000000"/>
                <w:kern w:val="0"/>
                <w:sz w:val="21"/>
                <w:szCs w:val="21"/>
                <w:highlight w:val="none"/>
                <w:shd w:val="clear" w:color="auto" w:fill="FFFFFF"/>
              </w:rPr>
              <w:t>乘客电梯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电梯数量：</w:t>
            </w:r>
            <w:r>
              <w:rPr>
                <w:rFonts w:hint="eastAsia" w:ascii="仿宋_GB2312" w:hAnsi="仿宋_GB2312" w:eastAsia="仿宋_GB2312" w:cs="仿宋_GB2312"/>
                <w:color w:val="000000"/>
                <w:kern w:val="0"/>
                <w:sz w:val="21"/>
                <w:szCs w:val="21"/>
                <w:highlight w:val="none"/>
                <w:shd w:val="clear" w:color="auto" w:fill="FFFFFF"/>
                <w:lang w:val="en-US" w:eastAsia="zh-CN"/>
              </w:rPr>
              <w:t>23</w:t>
            </w:r>
            <w:r>
              <w:rPr>
                <w:rFonts w:hint="eastAsia" w:ascii="仿宋_GB2312" w:hAnsi="仿宋_GB2312" w:eastAsia="仿宋_GB2312" w:cs="仿宋_GB2312"/>
                <w:color w:val="000000"/>
                <w:kern w:val="0"/>
                <w:sz w:val="21"/>
                <w:szCs w:val="21"/>
                <w:highlight w:val="none"/>
                <w:shd w:val="clear" w:color="auto" w:fill="FFFFFF"/>
              </w:rPr>
              <w:t>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default" w:ascii="仿宋_GB2312" w:hAnsi="仿宋_GB2312" w:eastAsia="仿宋_GB2312" w:cs="仿宋_GB2312"/>
                <w:color w:val="000000"/>
                <w:kern w:val="0"/>
                <w:sz w:val="21"/>
                <w:szCs w:val="21"/>
                <w:highlight w:val="none"/>
                <w:shd w:val="clear" w:color="auto" w:fill="FFFFFF"/>
                <w:lang w:val="en-US" w:eastAsia="zh-CN"/>
              </w:rPr>
            </w:pPr>
            <w:r>
              <w:rPr>
                <w:rFonts w:hint="eastAsia" w:ascii="仿宋_GB2312" w:hAnsi="仿宋_GB2312" w:eastAsia="仿宋_GB2312" w:cs="仿宋_GB2312"/>
                <w:color w:val="000000"/>
                <w:kern w:val="0"/>
                <w:sz w:val="21"/>
                <w:szCs w:val="21"/>
                <w:highlight w:val="none"/>
                <w:shd w:val="clear" w:color="auto" w:fill="FFFFFF"/>
              </w:rPr>
              <w:t>载重：详见“电梯更新土建尺寸清单”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速度：详见“电梯更新土建尺寸清单”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服务层站：详见“电梯更新土建尺寸清单”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单双通：单通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lang w:eastAsia="zh-CN"/>
              </w:rPr>
            </w:pPr>
            <w:r>
              <w:rPr>
                <w:rFonts w:hint="eastAsia" w:ascii="仿宋_GB2312" w:hAnsi="仿宋_GB2312" w:eastAsia="仿宋_GB2312" w:cs="仿宋_GB2312"/>
                <w:b/>
                <w:color w:val="000000"/>
                <w:kern w:val="0"/>
                <w:sz w:val="21"/>
                <w:szCs w:val="21"/>
                <w:highlight w:val="none"/>
                <w:shd w:val="clear" w:color="auto" w:fill="FFFFFF"/>
                <w:lang w:val="en-US" w:eastAsia="zh-CN"/>
              </w:rPr>
              <w:t>*</w:t>
            </w:r>
            <w:r>
              <w:rPr>
                <w:rFonts w:hint="eastAsia" w:ascii="仿宋_GB2312" w:hAnsi="仿宋_GB2312" w:eastAsia="仿宋_GB2312" w:cs="仿宋_GB2312"/>
                <w:color w:val="000000"/>
                <w:kern w:val="0"/>
                <w:sz w:val="21"/>
                <w:szCs w:val="21"/>
                <w:highlight w:val="none"/>
                <w:shd w:val="clear" w:color="auto" w:fill="FFFFFF"/>
              </w:rPr>
              <w:t>曳引机：永磁同步曳引机、要求原厂原品牌</w:t>
            </w:r>
            <w:r>
              <w:rPr>
                <w:rFonts w:hint="eastAsia" w:ascii="仿宋_GB2312" w:hAnsi="仿宋_GB2312" w:eastAsia="仿宋_GB2312" w:cs="仿宋_GB2312"/>
                <w:color w:val="000000"/>
                <w:kern w:val="0"/>
                <w:sz w:val="21"/>
                <w:szCs w:val="21"/>
                <w:highlight w:val="none"/>
                <w:shd w:val="clear" w:color="auto" w:fill="FFFFFF"/>
                <w:lang w:eastAsia="zh-CN"/>
              </w:rPr>
              <w:t>，</w:t>
            </w:r>
            <w:r>
              <w:rPr>
                <w:rFonts w:hint="eastAsia" w:ascii="仿宋_GB2312" w:hAnsi="仿宋_GB2312" w:eastAsia="仿宋_GB2312" w:cs="仿宋_GB2312"/>
                <w:color w:val="000000"/>
                <w:kern w:val="0"/>
                <w:sz w:val="21"/>
                <w:szCs w:val="21"/>
                <w:highlight w:val="none"/>
                <w:shd w:val="clear" w:color="auto" w:fill="FFFFFF"/>
                <w:lang w:val="en-US" w:eastAsia="zh-CN"/>
              </w:rPr>
              <w:t>不接受贴牌产品，</w:t>
            </w:r>
            <w:r>
              <w:rPr>
                <w:rFonts w:hint="eastAsia" w:ascii="仿宋_GB2312" w:hAnsi="仿宋_GB2312" w:eastAsia="仿宋_GB2312" w:cs="仿宋_GB2312"/>
                <w:color w:val="000000"/>
                <w:kern w:val="0"/>
                <w:sz w:val="21"/>
                <w:szCs w:val="21"/>
                <w:highlight w:val="none"/>
                <w:shd w:val="clear" w:color="auto" w:fill="FFFFFF"/>
              </w:rPr>
              <w:t>提供原厂原品牌型式试验证书作为证明材料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控制方式：单台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lang w:eastAsia="zh-CN"/>
              </w:rPr>
            </w:pPr>
            <w:r>
              <w:rPr>
                <w:rFonts w:hint="eastAsia" w:ascii="仿宋_GB2312" w:hAnsi="仿宋_GB2312" w:eastAsia="仿宋_GB2312" w:cs="仿宋_GB2312"/>
                <w:b/>
                <w:color w:val="000000"/>
                <w:kern w:val="0"/>
                <w:sz w:val="21"/>
                <w:szCs w:val="21"/>
                <w:highlight w:val="none"/>
                <w:shd w:val="clear" w:color="auto" w:fill="FFFFFF"/>
                <w:lang w:val="en-US" w:eastAsia="zh-CN"/>
              </w:rPr>
              <w:t>*</w:t>
            </w:r>
            <w:r>
              <w:rPr>
                <w:rFonts w:hint="eastAsia" w:ascii="仿宋_GB2312" w:hAnsi="仿宋_GB2312" w:eastAsia="仿宋_GB2312" w:cs="仿宋_GB2312"/>
                <w:color w:val="000000"/>
                <w:kern w:val="0"/>
                <w:sz w:val="21"/>
                <w:szCs w:val="21"/>
                <w:highlight w:val="none"/>
                <w:shd w:val="clear" w:color="auto" w:fill="FFFFFF"/>
              </w:rPr>
              <w:t>控制柜：全电脑全集选方式、要求原厂原品牌</w:t>
            </w:r>
            <w:r>
              <w:rPr>
                <w:rFonts w:hint="eastAsia" w:ascii="仿宋_GB2312" w:hAnsi="仿宋_GB2312" w:eastAsia="仿宋_GB2312" w:cs="仿宋_GB2312"/>
                <w:color w:val="000000"/>
                <w:kern w:val="0"/>
                <w:sz w:val="21"/>
                <w:szCs w:val="21"/>
                <w:highlight w:val="none"/>
                <w:shd w:val="clear" w:color="auto" w:fill="FFFFFF"/>
                <w:lang w:eastAsia="zh-CN"/>
              </w:rPr>
              <w:t>，</w:t>
            </w:r>
            <w:r>
              <w:rPr>
                <w:rFonts w:hint="eastAsia" w:ascii="仿宋_GB2312" w:hAnsi="仿宋_GB2312" w:eastAsia="仿宋_GB2312" w:cs="仿宋_GB2312"/>
                <w:color w:val="000000"/>
                <w:kern w:val="0"/>
                <w:sz w:val="21"/>
                <w:szCs w:val="21"/>
                <w:highlight w:val="none"/>
                <w:shd w:val="clear" w:color="auto" w:fill="FFFFFF"/>
                <w:lang w:val="en-US" w:eastAsia="zh-CN"/>
              </w:rPr>
              <w:t>不接受贴牌产品，</w:t>
            </w:r>
            <w:r>
              <w:rPr>
                <w:rFonts w:hint="eastAsia" w:ascii="仿宋_GB2312" w:hAnsi="仿宋_GB2312" w:eastAsia="仿宋_GB2312" w:cs="仿宋_GB2312"/>
                <w:color w:val="000000"/>
                <w:kern w:val="0"/>
                <w:sz w:val="21"/>
                <w:szCs w:val="21"/>
                <w:highlight w:val="none"/>
                <w:shd w:val="clear" w:color="auto" w:fill="FFFFFF"/>
              </w:rPr>
              <w:t>提供原厂原品牌型式试验证书作为证明材料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控制系统：控制装置采用双32位微机控制，供电电压为380V三相交流电，抗电压波动范围380V±10%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default" w:ascii="仿宋_GB2312" w:hAnsi="仿宋_GB2312" w:eastAsia="仿宋_GB2312" w:cs="仿宋_GB2312"/>
                <w:color w:val="000000"/>
                <w:kern w:val="0"/>
                <w:sz w:val="21"/>
                <w:szCs w:val="21"/>
                <w:highlight w:val="none"/>
                <w:shd w:val="clear" w:color="auto" w:fill="FFFFFF"/>
                <w:lang w:val="en-US" w:eastAsia="zh-CN"/>
              </w:rPr>
            </w:pPr>
            <w:r>
              <w:rPr>
                <w:rFonts w:hint="eastAsia" w:ascii="仿宋_GB2312" w:hAnsi="仿宋_GB2312" w:eastAsia="仿宋_GB2312" w:cs="仿宋_GB2312"/>
                <w:b/>
                <w:color w:val="000000"/>
                <w:kern w:val="0"/>
                <w:sz w:val="21"/>
                <w:szCs w:val="21"/>
                <w:highlight w:val="none"/>
                <w:shd w:val="clear" w:color="auto" w:fill="FFFFFF"/>
                <w:lang w:val="en-US" w:eastAsia="zh-CN"/>
              </w:rPr>
              <w:t>*</w:t>
            </w:r>
            <w:r>
              <w:rPr>
                <w:rFonts w:hint="eastAsia" w:ascii="仿宋_GB2312" w:hAnsi="仿宋_GB2312" w:eastAsia="仿宋_GB2312" w:cs="仿宋_GB2312"/>
                <w:color w:val="000000"/>
                <w:kern w:val="0"/>
                <w:sz w:val="21"/>
                <w:szCs w:val="21"/>
                <w:highlight w:val="none"/>
                <w:shd w:val="clear" w:color="auto" w:fill="FFFFFF"/>
                <w:lang w:val="en-US" w:eastAsia="zh-CN"/>
              </w:rPr>
              <w:t>主机：采用永磁同步无齿轮电机驱动，</w:t>
            </w:r>
            <w:r>
              <w:rPr>
                <w:rFonts w:hint="eastAsia" w:ascii="仿宋_GB2312" w:hAnsi="仿宋_GB2312" w:eastAsia="仿宋_GB2312" w:cs="仿宋_GB2312"/>
                <w:color w:val="000000"/>
                <w:kern w:val="0"/>
                <w:sz w:val="21"/>
                <w:szCs w:val="21"/>
                <w:highlight w:val="none"/>
                <w:shd w:val="clear" w:color="auto" w:fill="FFFFFF"/>
              </w:rPr>
              <w:t>要求原厂原品牌</w:t>
            </w:r>
            <w:r>
              <w:rPr>
                <w:rFonts w:hint="eastAsia" w:ascii="仿宋_GB2312" w:hAnsi="仿宋_GB2312" w:eastAsia="仿宋_GB2312" w:cs="仿宋_GB2312"/>
                <w:color w:val="000000"/>
                <w:kern w:val="0"/>
                <w:sz w:val="21"/>
                <w:szCs w:val="21"/>
                <w:highlight w:val="none"/>
                <w:shd w:val="clear" w:color="auto" w:fill="FFFFFF"/>
                <w:lang w:eastAsia="zh-CN"/>
              </w:rPr>
              <w:t>，</w:t>
            </w:r>
            <w:r>
              <w:rPr>
                <w:rFonts w:hint="eastAsia" w:ascii="仿宋_GB2312" w:hAnsi="仿宋_GB2312" w:eastAsia="仿宋_GB2312" w:cs="仿宋_GB2312"/>
                <w:color w:val="000000"/>
                <w:kern w:val="0"/>
                <w:sz w:val="21"/>
                <w:szCs w:val="21"/>
                <w:highlight w:val="none"/>
                <w:shd w:val="clear" w:color="auto" w:fill="FFFFFF"/>
                <w:lang w:val="en-US" w:eastAsia="zh-CN"/>
              </w:rPr>
              <w:t>不接受贴牌产品，</w:t>
            </w:r>
            <w:r>
              <w:rPr>
                <w:rFonts w:hint="eastAsia" w:ascii="仿宋_GB2312" w:hAnsi="仿宋_GB2312" w:eastAsia="仿宋_GB2312" w:cs="仿宋_GB2312"/>
                <w:color w:val="000000"/>
                <w:kern w:val="0"/>
                <w:sz w:val="21"/>
                <w:szCs w:val="21"/>
                <w:highlight w:val="none"/>
                <w:shd w:val="clear" w:color="auto" w:fill="FFFFFF"/>
              </w:rPr>
              <w:t>提供原厂原品牌型式试验证书作为证明材料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拖动系统：交流变频变压无级调速无齿拖动系统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lang w:eastAsia="zh-CN"/>
              </w:rPr>
            </w:pPr>
            <w:r>
              <w:rPr>
                <w:rFonts w:hint="eastAsia" w:ascii="仿宋_GB2312" w:hAnsi="仿宋_GB2312" w:eastAsia="仿宋_GB2312" w:cs="仿宋_GB2312"/>
                <w:b/>
                <w:color w:val="000000"/>
                <w:kern w:val="0"/>
                <w:sz w:val="21"/>
                <w:szCs w:val="21"/>
                <w:highlight w:val="none"/>
                <w:shd w:val="clear" w:color="auto" w:fill="FFFFFF"/>
                <w:lang w:val="en-US" w:eastAsia="zh-CN"/>
              </w:rPr>
              <w:t>*</w:t>
            </w:r>
            <w:r>
              <w:rPr>
                <w:rFonts w:hint="eastAsia" w:ascii="仿宋_GB2312" w:hAnsi="仿宋_GB2312" w:eastAsia="仿宋_GB2312" w:cs="仿宋_GB2312"/>
                <w:color w:val="000000"/>
                <w:kern w:val="0"/>
                <w:sz w:val="21"/>
                <w:szCs w:val="21"/>
                <w:highlight w:val="none"/>
                <w:shd w:val="clear" w:color="auto" w:fill="FFFFFF"/>
              </w:rPr>
              <w:t>门机：中分</w:t>
            </w:r>
            <w:r>
              <w:rPr>
                <w:rFonts w:hint="eastAsia" w:ascii="仿宋_GB2312" w:hAnsi="仿宋_GB2312" w:eastAsia="仿宋_GB2312" w:cs="仿宋_GB2312"/>
                <w:color w:val="000000"/>
                <w:kern w:val="0"/>
                <w:sz w:val="21"/>
                <w:szCs w:val="21"/>
                <w:highlight w:val="none"/>
                <w:shd w:val="clear" w:color="auto" w:fill="FFFFFF"/>
                <w:lang w:val="en-US" w:eastAsia="zh-CN"/>
              </w:rPr>
              <w:t>永磁</w:t>
            </w:r>
            <w:r>
              <w:rPr>
                <w:rFonts w:hint="eastAsia" w:ascii="仿宋_GB2312" w:hAnsi="仿宋_GB2312" w:eastAsia="仿宋_GB2312" w:cs="仿宋_GB2312"/>
                <w:color w:val="000000"/>
                <w:kern w:val="0"/>
                <w:sz w:val="21"/>
                <w:szCs w:val="21"/>
                <w:highlight w:val="none"/>
                <w:shd w:val="clear" w:color="auto" w:fill="FFFFFF"/>
              </w:rPr>
              <w:t>变频门机、要求原厂原品牌</w:t>
            </w:r>
            <w:r>
              <w:rPr>
                <w:rFonts w:hint="eastAsia" w:ascii="仿宋_GB2312" w:hAnsi="仿宋_GB2312" w:eastAsia="仿宋_GB2312" w:cs="仿宋_GB2312"/>
                <w:color w:val="000000"/>
                <w:kern w:val="0"/>
                <w:sz w:val="21"/>
                <w:szCs w:val="21"/>
                <w:highlight w:val="none"/>
                <w:shd w:val="clear" w:color="auto" w:fill="FFFFFF"/>
                <w:lang w:eastAsia="zh-CN"/>
              </w:rPr>
              <w:t>，</w:t>
            </w:r>
            <w:r>
              <w:rPr>
                <w:rFonts w:hint="eastAsia" w:ascii="仿宋_GB2312" w:hAnsi="仿宋_GB2312" w:eastAsia="仿宋_GB2312" w:cs="仿宋_GB2312"/>
                <w:color w:val="000000"/>
                <w:kern w:val="0"/>
                <w:sz w:val="21"/>
                <w:szCs w:val="21"/>
                <w:highlight w:val="none"/>
                <w:shd w:val="clear" w:color="auto" w:fill="FFFFFF"/>
                <w:lang w:val="en-US" w:eastAsia="zh-CN"/>
              </w:rPr>
              <w:t>不接受贴牌产品，</w:t>
            </w:r>
            <w:r>
              <w:rPr>
                <w:rFonts w:hint="eastAsia" w:ascii="仿宋_GB2312" w:hAnsi="仿宋_GB2312" w:eastAsia="仿宋_GB2312" w:cs="仿宋_GB2312"/>
                <w:color w:val="000000"/>
                <w:kern w:val="0"/>
                <w:sz w:val="21"/>
                <w:szCs w:val="21"/>
                <w:highlight w:val="none"/>
                <w:shd w:val="clear" w:color="auto" w:fill="FFFFFF"/>
              </w:rPr>
              <w:t>提供原厂原品牌型式试验证书作为证明材料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地坎：采用高强度铝合金地坎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曳引机位置：井道顶部机房内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2000" w:type="dxa"/>
            <w:vMerge w:val="restart"/>
            <w:noWrap w:val="0"/>
            <w:vAlign w:val="center"/>
          </w:tcPr>
          <w:p>
            <w:pPr>
              <w:widowControl/>
              <w:adjustRightInd w:val="0"/>
              <w:snapToGrid w:val="0"/>
              <w:spacing w:line="240" w:lineRule="auto"/>
              <w:ind w:firstLine="0"/>
              <w:jc w:val="center"/>
              <w:rPr>
                <w:rFonts w:hint="eastAsia" w:ascii="仿宋_GB2312" w:hAnsi="仿宋_GB2312" w:eastAsia="仿宋_GB2312" w:cs="仿宋_GB2312"/>
                <w:b/>
                <w:color w:val="000000"/>
                <w:kern w:val="0"/>
                <w:sz w:val="21"/>
                <w:szCs w:val="21"/>
                <w:highlight w:val="none"/>
                <w:shd w:val="clear" w:color="auto" w:fill="FFFFFF"/>
              </w:rPr>
            </w:pPr>
            <w:r>
              <w:rPr>
                <w:rFonts w:hint="eastAsia" w:ascii="仿宋_GB2312" w:hAnsi="仿宋_GB2312" w:eastAsia="仿宋_GB2312" w:cs="仿宋_GB2312"/>
                <w:b/>
                <w:color w:val="000000"/>
                <w:kern w:val="0"/>
                <w:sz w:val="21"/>
                <w:szCs w:val="21"/>
                <w:highlight w:val="none"/>
                <w:shd w:val="clear" w:color="auto" w:fill="FFFFFF"/>
              </w:rPr>
              <w:t>井道及轿厢尺寸</w:t>
            </w: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井道尺寸(宽×深)：详见“电梯更新土建尺寸清单”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轿厢尺寸类型：内(净)尺寸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default" w:ascii="仿宋_GB2312" w:hAnsi="仿宋_GB2312" w:eastAsia="仿宋_GB2312" w:cs="仿宋_GB2312"/>
                <w:color w:val="000000"/>
                <w:kern w:val="0"/>
                <w:sz w:val="21"/>
                <w:szCs w:val="21"/>
                <w:highlight w:val="none"/>
                <w:shd w:val="clear" w:color="auto" w:fill="FFFFFF"/>
                <w:lang w:val="en-US" w:eastAsia="zh-CN"/>
              </w:rPr>
            </w:pPr>
            <w:r>
              <w:rPr>
                <w:rFonts w:hint="eastAsia" w:ascii="仿宋_GB2312" w:hAnsi="仿宋_GB2312" w:eastAsia="仿宋_GB2312" w:cs="仿宋_GB2312"/>
                <w:color w:val="000000"/>
                <w:kern w:val="0"/>
                <w:sz w:val="21"/>
                <w:szCs w:val="21"/>
                <w:highlight w:val="none"/>
                <w:shd w:val="clear" w:color="auto" w:fill="FFFFFF"/>
              </w:rPr>
              <w:t>轿厢尺寸(宽×深)：</w:t>
            </w:r>
            <w:r>
              <w:rPr>
                <w:rFonts w:hint="eastAsia" w:ascii="仿宋_GB2312" w:hAnsi="仿宋_GB2312" w:eastAsia="仿宋_GB2312" w:cs="仿宋_GB2312"/>
                <w:color w:val="000000"/>
                <w:kern w:val="0"/>
                <w:sz w:val="21"/>
                <w:szCs w:val="21"/>
                <w:highlight w:val="none"/>
                <w:shd w:val="clear" w:color="auto" w:fill="FFFFFF"/>
                <w:lang w:val="en-US" w:eastAsia="zh-CN"/>
              </w:rPr>
              <w:t>1000kg≥1600mm*1400mm；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轿厢净高：详见“电梯更新土建尺寸清单”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开门净尺寸(宽×高)：详见“电梯更新土建尺寸清单”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顶层净高：详见“电梯更新土建尺寸清单”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底坑深度：详见“电梯更新土建尺寸清单”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000" w:type="dxa"/>
            <w:vMerge w:val="restart"/>
            <w:noWrap w:val="0"/>
            <w:vAlign w:val="center"/>
          </w:tcPr>
          <w:p>
            <w:pPr>
              <w:widowControl/>
              <w:adjustRightInd w:val="0"/>
              <w:snapToGrid w:val="0"/>
              <w:spacing w:line="240" w:lineRule="auto"/>
              <w:ind w:firstLine="0"/>
              <w:jc w:val="center"/>
              <w:rPr>
                <w:rFonts w:hint="eastAsia" w:ascii="仿宋_GB2312" w:hAnsi="仿宋_GB2312" w:eastAsia="仿宋_GB2312" w:cs="仿宋_GB2312"/>
                <w:b/>
                <w:color w:val="000000"/>
                <w:kern w:val="0"/>
                <w:sz w:val="21"/>
                <w:szCs w:val="21"/>
                <w:highlight w:val="none"/>
                <w:shd w:val="clear" w:color="auto" w:fill="FFFFFF"/>
              </w:rPr>
            </w:pPr>
            <w:r>
              <w:rPr>
                <w:rFonts w:hint="eastAsia" w:ascii="仿宋_GB2312" w:hAnsi="仿宋_GB2312" w:eastAsia="仿宋_GB2312" w:cs="仿宋_GB2312"/>
                <w:b/>
                <w:color w:val="000000"/>
                <w:kern w:val="0"/>
                <w:sz w:val="21"/>
                <w:szCs w:val="21"/>
                <w:highlight w:val="none"/>
                <w:shd w:val="clear" w:color="auto" w:fill="FFFFFF"/>
              </w:rPr>
              <w:t>轿厢装潢</w:t>
            </w: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轿厢两侧壁：发纹不锈钢（厚度</w:t>
            </w:r>
            <w:r>
              <w:rPr>
                <w:rFonts w:hint="eastAsia" w:ascii="仿宋_GB2312" w:hAnsi="仿宋_GB2312" w:eastAsia="仿宋_GB2312" w:cs="仿宋_GB2312"/>
                <w:color w:val="000000"/>
                <w:kern w:val="0"/>
                <w:sz w:val="21"/>
                <w:szCs w:val="21"/>
                <w:highlight w:val="none"/>
                <w:shd w:val="clear" w:color="auto" w:fill="FFFFFF"/>
                <w:lang w:val="en-US" w:eastAsia="zh-CN"/>
              </w:rPr>
              <w:t>≥</w:t>
            </w:r>
            <w:r>
              <w:rPr>
                <w:rFonts w:hint="eastAsia" w:ascii="仿宋_GB2312" w:hAnsi="仿宋_GB2312" w:eastAsia="仿宋_GB2312" w:cs="仿宋_GB2312"/>
                <w:color w:val="000000"/>
                <w:kern w:val="0"/>
                <w:sz w:val="21"/>
                <w:szCs w:val="21"/>
                <w:highlight w:val="none"/>
                <w:shd w:val="clear" w:color="auto" w:fill="FFFFFF"/>
              </w:rPr>
              <w:t>1.5mm）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轿厢后壁：发纹不锈钢（厚度</w:t>
            </w:r>
            <w:r>
              <w:rPr>
                <w:rFonts w:hint="eastAsia" w:ascii="仿宋_GB2312" w:hAnsi="仿宋_GB2312" w:eastAsia="仿宋_GB2312" w:cs="仿宋_GB2312"/>
                <w:color w:val="000000"/>
                <w:kern w:val="0"/>
                <w:sz w:val="21"/>
                <w:szCs w:val="21"/>
                <w:highlight w:val="none"/>
                <w:shd w:val="clear" w:color="auto" w:fill="FFFFFF"/>
                <w:lang w:val="en-US" w:eastAsia="zh-CN"/>
              </w:rPr>
              <w:t>≥</w:t>
            </w:r>
            <w:r>
              <w:rPr>
                <w:rFonts w:hint="eastAsia" w:ascii="仿宋_GB2312" w:hAnsi="仿宋_GB2312" w:eastAsia="仿宋_GB2312" w:cs="仿宋_GB2312"/>
                <w:color w:val="000000"/>
                <w:kern w:val="0"/>
                <w:sz w:val="21"/>
                <w:szCs w:val="21"/>
                <w:highlight w:val="none"/>
                <w:shd w:val="clear" w:color="auto" w:fill="FFFFFF"/>
              </w:rPr>
              <w:t>1.5mm）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轿门材质：发纹不锈钢（厚度</w:t>
            </w:r>
            <w:r>
              <w:rPr>
                <w:rFonts w:hint="eastAsia" w:ascii="仿宋_GB2312" w:hAnsi="仿宋_GB2312" w:eastAsia="仿宋_GB2312" w:cs="仿宋_GB2312"/>
                <w:color w:val="000000"/>
                <w:kern w:val="0"/>
                <w:sz w:val="21"/>
                <w:szCs w:val="21"/>
                <w:highlight w:val="none"/>
                <w:shd w:val="clear" w:color="auto" w:fill="FFFFFF"/>
                <w:lang w:val="en-US" w:eastAsia="zh-CN"/>
              </w:rPr>
              <w:t>≥</w:t>
            </w:r>
            <w:r>
              <w:rPr>
                <w:rFonts w:hint="eastAsia" w:ascii="仿宋_GB2312" w:hAnsi="仿宋_GB2312" w:eastAsia="仿宋_GB2312" w:cs="仿宋_GB2312"/>
                <w:color w:val="000000"/>
                <w:kern w:val="0"/>
                <w:sz w:val="21"/>
                <w:szCs w:val="21"/>
                <w:highlight w:val="none"/>
                <w:shd w:val="clear" w:color="auto" w:fill="FFFFFF"/>
              </w:rPr>
              <w:t>1.5mm）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b/>
                <w:color w:val="000000"/>
                <w:kern w:val="0"/>
                <w:sz w:val="21"/>
                <w:szCs w:val="21"/>
                <w:highlight w:val="none"/>
                <w:shd w:val="clear" w:color="auto" w:fill="FFFFFF"/>
                <w:lang w:val="en-US" w:eastAsia="zh-CN"/>
              </w:rPr>
              <w:t>*</w:t>
            </w:r>
            <w:r>
              <w:rPr>
                <w:rFonts w:hint="eastAsia" w:ascii="仿宋_GB2312" w:hAnsi="仿宋_GB2312" w:eastAsia="仿宋_GB2312" w:cs="仿宋_GB2312"/>
                <w:color w:val="000000"/>
                <w:kern w:val="0"/>
                <w:sz w:val="21"/>
                <w:szCs w:val="21"/>
                <w:highlight w:val="none"/>
                <w:shd w:val="clear" w:color="auto" w:fill="FFFFFF"/>
              </w:rPr>
              <w:t>光幕保护：光幕，光束≥150束 、要求原厂原品牌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轿顶型号：样式由投标单位提供选择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轿底装饰说明：PVC拼花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扶手型号：圆形不锈钢扶手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扶手备注：后壁安装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照明设施：高效节能专用灯具，LED灯照明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通风设施：低噪音风机通风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通讯设施：隐藏式对讲装置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检修设施：位于轿厢操纵箱下方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000" w:type="dxa"/>
            <w:vMerge w:val="restart"/>
            <w:noWrap w:val="0"/>
            <w:vAlign w:val="center"/>
          </w:tcPr>
          <w:p>
            <w:pPr>
              <w:widowControl/>
              <w:adjustRightInd w:val="0"/>
              <w:snapToGrid w:val="0"/>
              <w:spacing w:line="240" w:lineRule="auto"/>
              <w:ind w:firstLine="0"/>
              <w:jc w:val="center"/>
              <w:rPr>
                <w:rFonts w:hint="eastAsia" w:ascii="仿宋_GB2312" w:hAnsi="仿宋_GB2312" w:eastAsia="仿宋_GB2312" w:cs="仿宋_GB2312"/>
                <w:b/>
                <w:color w:val="000000"/>
                <w:kern w:val="0"/>
                <w:sz w:val="21"/>
                <w:szCs w:val="21"/>
                <w:highlight w:val="none"/>
                <w:shd w:val="clear" w:color="auto" w:fill="FFFFFF"/>
              </w:rPr>
            </w:pPr>
            <w:r>
              <w:rPr>
                <w:rFonts w:hint="eastAsia" w:ascii="仿宋_GB2312" w:hAnsi="仿宋_GB2312" w:eastAsia="仿宋_GB2312" w:cs="仿宋_GB2312"/>
                <w:b/>
                <w:color w:val="000000"/>
                <w:kern w:val="0"/>
                <w:sz w:val="21"/>
                <w:szCs w:val="21"/>
                <w:highlight w:val="none"/>
                <w:shd w:val="clear" w:color="auto" w:fill="FFFFFF"/>
              </w:rPr>
              <w:t>操纵盘</w:t>
            </w: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型    号：一体整体式操纵箱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面板材料：发纹不锈钢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 xml:space="preserve">显示类型： 15"多媒体显示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按钮类型：不锈钢盲文按钮，登记带辉光高亮显示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default" w:ascii="仿宋_GB2312" w:hAnsi="仿宋_GB2312" w:eastAsia="仿宋_GB2312" w:cs="仿宋_GB2312"/>
                <w:color w:val="000000"/>
                <w:kern w:val="0"/>
                <w:sz w:val="21"/>
                <w:szCs w:val="21"/>
                <w:highlight w:val="none"/>
                <w:shd w:val="clear" w:color="auto" w:fill="FFFFFF"/>
                <w:lang w:val="en-US" w:eastAsia="zh-CN"/>
              </w:rPr>
            </w:pPr>
            <w:r>
              <w:rPr>
                <w:rFonts w:hint="eastAsia" w:ascii="仿宋_GB2312" w:hAnsi="仿宋_GB2312" w:eastAsia="仿宋_GB2312" w:cs="仿宋_GB2312"/>
                <w:color w:val="000000"/>
                <w:kern w:val="0"/>
                <w:sz w:val="21"/>
                <w:szCs w:val="21"/>
                <w:highlight w:val="none"/>
                <w:shd w:val="clear" w:color="auto" w:fill="FFFFFF"/>
                <w:lang w:val="en-US" w:eastAsia="zh-CN"/>
              </w:rPr>
              <w:t>功能：带残疾操作功能（带副操作箱）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000" w:type="dxa"/>
            <w:vMerge w:val="restart"/>
            <w:noWrap w:val="0"/>
            <w:vAlign w:val="center"/>
          </w:tcPr>
          <w:p>
            <w:pPr>
              <w:widowControl/>
              <w:adjustRightInd w:val="0"/>
              <w:snapToGrid w:val="0"/>
              <w:spacing w:line="240" w:lineRule="auto"/>
              <w:ind w:firstLine="0"/>
              <w:jc w:val="center"/>
              <w:rPr>
                <w:rFonts w:hint="eastAsia" w:ascii="仿宋_GB2312" w:hAnsi="仿宋_GB2312" w:eastAsia="仿宋_GB2312" w:cs="仿宋_GB2312"/>
                <w:b/>
                <w:color w:val="000000"/>
                <w:kern w:val="0"/>
                <w:sz w:val="21"/>
                <w:szCs w:val="21"/>
                <w:highlight w:val="none"/>
                <w:shd w:val="clear" w:color="auto" w:fill="FFFFFF"/>
              </w:rPr>
            </w:pPr>
            <w:r>
              <w:rPr>
                <w:rFonts w:hint="eastAsia" w:ascii="仿宋_GB2312" w:hAnsi="仿宋_GB2312" w:eastAsia="仿宋_GB2312" w:cs="仿宋_GB2312"/>
                <w:b/>
                <w:color w:val="000000"/>
                <w:kern w:val="0"/>
                <w:sz w:val="21"/>
                <w:szCs w:val="21"/>
                <w:highlight w:val="none"/>
                <w:shd w:val="clear" w:color="auto" w:fill="FFFFFF"/>
              </w:rPr>
              <w:t>外呼</w:t>
            </w: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面板材质：所有层为发纹不锈钢面板材质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按钮类型：所有层为不锈钢盲文按钮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显示类型：4.3英寸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restart"/>
            <w:noWrap w:val="0"/>
            <w:vAlign w:val="center"/>
          </w:tcPr>
          <w:p>
            <w:pPr>
              <w:widowControl/>
              <w:adjustRightInd w:val="0"/>
              <w:snapToGrid w:val="0"/>
              <w:spacing w:line="240" w:lineRule="auto"/>
              <w:ind w:firstLine="0"/>
              <w:jc w:val="center"/>
              <w:rPr>
                <w:rFonts w:hint="eastAsia" w:ascii="仿宋_GB2312" w:hAnsi="仿宋_GB2312" w:eastAsia="仿宋_GB2312" w:cs="仿宋_GB2312"/>
                <w:b/>
                <w:color w:val="000000"/>
                <w:kern w:val="0"/>
                <w:sz w:val="21"/>
                <w:szCs w:val="21"/>
                <w:highlight w:val="none"/>
                <w:shd w:val="clear" w:color="auto" w:fill="FFFFFF"/>
              </w:rPr>
            </w:pPr>
            <w:r>
              <w:rPr>
                <w:rFonts w:hint="eastAsia" w:ascii="仿宋_GB2312" w:hAnsi="仿宋_GB2312" w:eastAsia="仿宋_GB2312" w:cs="仿宋_GB2312"/>
                <w:b/>
                <w:color w:val="000000"/>
                <w:kern w:val="0"/>
                <w:sz w:val="21"/>
                <w:szCs w:val="21"/>
                <w:highlight w:val="none"/>
                <w:shd w:val="clear" w:color="auto" w:fill="FFFFFF"/>
              </w:rPr>
              <w:t>厅门及门套</w:t>
            </w:r>
          </w:p>
        </w:tc>
        <w:tc>
          <w:tcPr>
            <w:tcW w:w="7300" w:type="dxa"/>
            <w:noWrap w:val="0"/>
            <w:vAlign w:val="center"/>
          </w:tcPr>
          <w:p>
            <w:pPr>
              <w:widowControl/>
              <w:adjustRightInd w:val="0"/>
              <w:snapToGrid w:val="0"/>
              <w:spacing w:line="240" w:lineRule="auto"/>
              <w:ind w:firstLine="0"/>
              <w:jc w:val="left"/>
              <w:rPr>
                <w:rFonts w:hint="default" w:ascii="仿宋_GB2312" w:hAnsi="仿宋_GB2312" w:eastAsia="仿宋_GB2312" w:cs="仿宋_GB2312"/>
                <w:color w:val="000000"/>
                <w:kern w:val="0"/>
                <w:sz w:val="21"/>
                <w:szCs w:val="21"/>
                <w:highlight w:val="none"/>
                <w:shd w:val="clear" w:color="auto" w:fill="FFFFFF"/>
                <w:lang w:val="en-US" w:eastAsia="zh-CN"/>
              </w:rPr>
            </w:pPr>
            <w:r>
              <w:rPr>
                <w:rFonts w:hint="eastAsia" w:ascii="仿宋_GB2312" w:hAnsi="仿宋_GB2312" w:eastAsia="仿宋_GB2312" w:cs="仿宋_GB2312"/>
                <w:color w:val="000000"/>
                <w:kern w:val="0"/>
                <w:sz w:val="21"/>
                <w:szCs w:val="21"/>
                <w:highlight w:val="none"/>
                <w:shd w:val="clear" w:color="auto" w:fill="FFFFFF"/>
              </w:rPr>
              <w:t>厅门材质：</w:t>
            </w:r>
            <w:r>
              <w:rPr>
                <w:rFonts w:hint="eastAsia" w:ascii="仿宋_GB2312" w:hAnsi="仿宋_GB2312" w:eastAsia="仿宋_GB2312" w:cs="仿宋_GB2312"/>
                <w:color w:val="000000"/>
                <w:kern w:val="0"/>
                <w:sz w:val="21"/>
                <w:szCs w:val="21"/>
                <w:highlight w:val="none"/>
                <w:shd w:val="clear" w:color="auto" w:fill="FFFFFF"/>
                <w:lang w:val="en-US" w:eastAsia="zh-CN"/>
              </w:rPr>
              <w:t>1</w:t>
            </w:r>
            <w:r>
              <w:rPr>
                <w:rFonts w:hint="eastAsia" w:ascii="仿宋_GB2312" w:hAnsi="仿宋_GB2312" w:eastAsia="仿宋_GB2312" w:cs="仿宋_GB2312"/>
                <w:color w:val="000000"/>
                <w:kern w:val="0"/>
                <w:sz w:val="21"/>
                <w:szCs w:val="21"/>
                <w:highlight w:val="none"/>
                <w:shd w:val="clear" w:color="auto" w:fill="FFFFFF"/>
              </w:rPr>
              <w:t>层为发纹不锈钢(厚度</w:t>
            </w:r>
            <w:r>
              <w:rPr>
                <w:rFonts w:hint="eastAsia" w:ascii="仿宋_GB2312" w:hAnsi="仿宋_GB2312" w:eastAsia="仿宋_GB2312" w:cs="仿宋_GB2312"/>
                <w:color w:val="000000"/>
                <w:kern w:val="0"/>
                <w:sz w:val="21"/>
                <w:szCs w:val="21"/>
                <w:highlight w:val="none"/>
                <w:shd w:val="clear" w:color="auto" w:fill="FFFFFF"/>
                <w:lang w:val="en-US" w:eastAsia="zh-CN"/>
              </w:rPr>
              <w:t>≥</w:t>
            </w:r>
            <w:r>
              <w:rPr>
                <w:rFonts w:hint="eastAsia" w:ascii="仿宋_GB2312" w:hAnsi="仿宋_GB2312" w:eastAsia="仿宋_GB2312" w:cs="仿宋_GB2312"/>
                <w:color w:val="000000"/>
                <w:kern w:val="0"/>
                <w:sz w:val="21"/>
                <w:szCs w:val="21"/>
                <w:highlight w:val="none"/>
                <w:shd w:val="clear" w:color="auto" w:fill="FFFFFF"/>
              </w:rPr>
              <w:t>1.5mm)；</w:t>
            </w:r>
            <w:r>
              <w:rPr>
                <w:rFonts w:hint="eastAsia" w:ascii="仿宋_GB2312" w:hAnsi="仿宋_GB2312" w:eastAsia="仿宋_GB2312" w:cs="仿宋_GB2312"/>
                <w:color w:val="000000"/>
                <w:kern w:val="0"/>
                <w:sz w:val="21"/>
                <w:szCs w:val="21"/>
                <w:highlight w:val="none"/>
                <w:shd w:val="clear" w:color="auto" w:fill="FFFFFF"/>
                <w:lang w:val="en-US" w:eastAsia="zh-CN"/>
              </w:rPr>
              <w:t>其余层为</w:t>
            </w:r>
            <w:r>
              <w:rPr>
                <w:rFonts w:ascii="仿宋" w:hAnsi="仿宋" w:eastAsia="仿宋" w:cs="仿宋"/>
                <w:b w:val="0"/>
                <w:bCs w:val="0"/>
                <w:color w:val="000000"/>
                <w:kern w:val="0"/>
                <w:sz w:val="20"/>
                <w:szCs w:val="20"/>
                <w:highlight w:val="none"/>
              </w:rPr>
              <w:t>涂装钢板</w:t>
            </w:r>
            <w:r>
              <w:rPr>
                <w:rFonts w:hint="eastAsia" w:ascii="仿宋_GB2312" w:hAnsi="仿宋_GB2312" w:eastAsia="仿宋_GB2312" w:cs="仿宋_GB2312"/>
                <w:color w:val="000000"/>
                <w:kern w:val="0"/>
                <w:sz w:val="21"/>
                <w:szCs w:val="21"/>
                <w:highlight w:val="none"/>
                <w:shd w:val="clear" w:color="auto" w:fill="FFFFFF"/>
              </w:rPr>
              <w:t>(厚度</w:t>
            </w:r>
            <w:r>
              <w:rPr>
                <w:rFonts w:hint="eastAsia" w:ascii="仿宋_GB2312" w:hAnsi="仿宋_GB2312" w:eastAsia="仿宋_GB2312" w:cs="仿宋_GB2312"/>
                <w:color w:val="000000"/>
                <w:kern w:val="0"/>
                <w:sz w:val="21"/>
                <w:szCs w:val="21"/>
                <w:highlight w:val="none"/>
                <w:shd w:val="clear" w:color="auto" w:fill="FFFFFF"/>
                <w:lang w:val="en-US" w:eastAsia="zh-CN"/>
              </w:rPr>
              <w:t>≥</w:t>
            </w:r>
            <w:r>
              <w:rPr>
                <w:rFonts w:hint="eastAsia" w:ascii="仿宋_GB2312" w:hAnsi="仿宋_GB2312" w:eastAsia="仿宋_GB2312" w:cs="仿宋_GB2312"/>
                <w:color w:val="000000"/>
                <w:kern w:val="0"/>
                <w:sz w:val="21"/>
                <w:szCs w:val="21"/>
                <w:highlight w:val="none"/>
                <w:shd w:val="clear" w:color="auto" w:fill="FFFFFF"/>
              </w:rPr>
              <w:t>1.5mm)；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厅门类型：所有层为中分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小门套材质：</w:t>
            </w:r>
            <w:r>
              <w:rPr>
                <w:rFonts w:hint="eastAsia" w:ascii="仿宋_GB2312" w:hAnsi="仿宋_GB2312" w:eastAsia="仿宋_GB2312" w:cs="仿宋_GB2312"/>
                <w:color w:val="000000"/>
                <w:kern w:val="0"/>
                <w:sz w:val="21"/>
                <w:szCs w:val="21"/>
                <w:highlight w:val="none"/>
                <w:shd w:val="clear" w:color="auto" w:fill="FFFFFF"/>
                <w:lang w:val="en-US" w:eastAsia="zh-CN"/>
              </w:rPr>
              <w:t>1</w:t>
            </w:r>
            <w:r>
              <w:rPr>
                <w:rFonts w:hint="eastAsia" w:ascii="仿宋_GB2312" w:hAnsi="仿宋_GB2312" w:eastAsia="仿宋_GB2312" w:cs="仿宋_GB2312"/>
                <w:color w:val="000000"/>
                <w:kern w:val="0"/>
                <w:sz w:val="21"/>
                <w:szCs w:val="21"/>
                <w:highlight w:val="none"/>
                <w:shd w:val="clear" w:color="auto" w:fill="FFFFFF"/>
              </w:rPr>
              <w:t>层为发纹不锈钢(厚度</w:t>
            </w:r>
            <w:r>
              <w:rPr>
                <w:rFonts w:hint="eastAsia" w:ascii="仿宋_GB2312" w:hAnsi="仿宋_GB2312" w:eastAsia="仿宋_GB2312" w:cs="仿宋_GB2312"/>
                <w:color w:val="000000"/>
                <w:kern w:val="0"/>
                <w:sz w:val="21"/>
                <w:szCs w:val="21"/>
                <w:highlight w:val="none"/>
                <w:shd w:val="clear" w:color="auto" w:fill="FFFFFF"/>
                <w:lang w:val="en-US" w:eastAsia="zh-CN"/>
              </w:rPr>
              <w:t>≥</w:t>
            </w:r>
            <w:r>
              <w:rPr>
                <w:rFonts w:hint="eastAsia" w:ascii="仿宋_GB2312" w:hAnsi="仿宋_GB2312" w:eastAsia="仿宋_GB2312" w:cs="仿宋_GB2312"/>
                <w:color w:val="000000"/>
                <w:kern w:val="0"/>
                <w:sz w:val="21"/>
                <w:szCs w:val="21"/>
                <w:highlight w:val="none"/>
                <w:shd w:val="clear" w:color="auto" w:fill="FFFFFF"/>
              </w:rPr>
              <w:t>1.5mm)；</w:t>
            </w:r>
            <w:r>
              <w:rPr>
                <w:rFonts w:hint="eastAsia" w:ascii="仿宋_GB2312" w:hAnsi="仿宋_GB2312" w:eastAsia="仿宋_GB2312" w:cs="仿宋_GB2312"/>
                <w:color w:val="000000"/>
                <w:kern w:val="0"/>
                <w:sz w:val="21"/>
                <w:szCs w:val="21"/>
                <w:highlight w:val="none"/>
                <w:shd w:val="clear" w:color="auto" w:fill="FFFFFF"/>
                <w:lang w:val="en-US" w:eastAsia="zh-CN"/>
              </w:rPr>
              <w:t>其余层为</w:t>
            </w:r>
            <w:r>
              <w:rPr>
                <w:rFonts w:ascii="仿宋" w:hAnsi="仿宋" w:eastAsia="仿宋" w:cs="仿宋"/>
                <w:b w:val="0"/>
                <w:bCs w:val="0"/>
                <w:color w:val="000000"/>
                <w:kern w:val="0"/>
                <w:sz w:val="20"/>
                <w:szCs w:val="20"/>
                <w:highlight w:val="none"/>
              </w:rPr>
              <w:t>喷涂钢板</w:t>
            </w:r>
            <w:r>
              <w:rPr>
                <w:rFonts w:hint="eastAsia" w:ascii="仿宋_GB2312" w:hAnsi="仿宋_GB2312" w:eastAsia="仿宋_GB2312" w:cs="仿宋_GB2312"/>
                <w:color w:val="000000"/>
                <w:kern w:val="0"/>
                <w:sz w:val="21"/>
                <w:szCs w:val="21"/>
                <w:highlight w:val="none"/>
                <w:shd w:val="clear" w:color="auto" w:fill="FFFFFF"/>
              </w:rPr>
              <w:t>(厚度</w:t>
            </w:r>
            <w:r>
              <w:rPr>
                <w:rFonts w:hint="eastAsia" w:ascii="仿宋_GB2312" w:hAnsi="仿宋_GB2312" w:eastAsia="仿宋_GB2312" w:cs="仿宋_GB2312"/>
                <w:color w:val="000000"/>
                <w:kern w:val="0"/>
                <w:sz w:val="21"/>
                <w:szCs w:val="21"/>
                <w:highlight w:val="none"/>
                <w:shd w:val="clear" w:color="auto" w:fill="FFFFFF"/>
                <w:lang w:val="en-US" w:eastAsia="zh-CN"/>
              </w:rPr>
              <w:t>≥</w:t>
            </w:r>
            <w:r>
              <w:rPr>
                <w:rFonts w:hint="eastAsia" w:ascii="仿宋_GB2312" w:hAnsi="仿宋_GB2312" w:eastAsia="仿宋_GB2312" w:cs="仿宋_GB2312"/>
                <w:color w:val="000000"/>
                <w:kern w:val="0"/>
                <w:sz w:val="21"/>
                <w:szCs w:val="21"/>
                <w:highlight w:val="none"/>
                <w:shd w:val="clear" w:color="auto" w:fill="FFFFFF"/>
              </w:rPr>
              <w:t>1.5mm)；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000" w:type="dxa"/>
            <w:vMerge w:val="restart"/>
            <w:noWrap w:val="0"/>
            <w:vAlign w:val="center"/>
          </w:tcPr>
          <w:p>
            <w:pPr>
              <w:widowControl/>
              <w:adjustRightInd w:val="0"/>
              <w:snapToGrid w:val="0"/>
              <w:spacing w:line="240" w:lineRule="auto"/>
              <w:ind w:firstLine="0"/>
              <w:jc w:val="center"/>
              <w:rPr>
                <w:rFonts w:hint="eastAsia" w:ascii="仿宋_GB2312" w:hAnsi="仿宋_GB2312" w:eastAsia="仿宋_GB2312" w:cs="仿宋_GB2312"/>
                <w:b/>
                <w:color w:val="000000"/>
                <w:kern w:val="0"/>
                <w:sz w:val="21"/>
                <w:szCs w:val="21"/>
                <w:highlight w:val="none"/>
                <w:shd w:val="clear" w:color="auto" w:fill="FFFFFF"/>
              </w:rPr>
            </w:pPr>
            <w:r>
              <w:rPr>
                <w:rFonts w:hint="eastAsia" w:ascii="仿宋_GB2312" w:hAnsi="仿宋_GB2312" w:eastAsia="仿宋_GB2312" w:cs="仿宋_GB2312"/>
                <w:b/>
                <w:color w:val="000000"/>
                <w:kern w:val="0"/>
                <w:sz w:val="21"/>
                <w:szCs w:val="21"/>
                <w:highlight w:val="none"/>
                <w:shd w:val="clear" w:color="auto" w:fill="FFFFFF"/>
              </w:rPr>
              <w:t>电力提供</w:t>
            </w: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动力电源：电压：380V 频率：50Hz 相数：3相5线制，零线和地线始终分开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2000" w:type="dxa"/>
            <w:vMerge w:val="continue"/>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照明电源：电压：220V 频率：50Hz 相数：单相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2000" w:type="dxa"/>
            <w:noWrap w:val="0"/>
            <w:vAlign w:val="center"/>
          </w:tcPr>
          <w:p>
            <w:pPr>
              <w:widowControl/>
              <w:adjustRightInd w:val="0"/>
              <w:snapToGrid w:val="0"/>
              <w:spacing w:line="240" w:lineRule="auto"/>
              <w:ind w:firstLine="0"/>
              <w:jc w:val="center"/>
              <w:rPr>
                <w:rFonts w:ascii="Times New Roman" w:hAnsi="Times New Roman" w:eastAsia="宋体" w:cs="Times New Roman"/>
                <w:color w:val="000000"/>
                <w:kern w:val="0"/>
                <w:sz w:val="20"/>
                <w:szCs w:val="20"/>
                <w:highlight w:val="none"/>
                <w:lang w:val="en-US" w:eastAsia="zh-CN" w:bidi="ar-SA"/>
              </w:rPr>
            </w:pPr>
            <w:r>
              <w:rPr>
                <w:rFonts w:hint="eastAsia" w:ascii="仿宋_GB2312" w:hAnsi="仿宋_GB2312" w:eastAsia="仿宋_GB2312" w:cs="仿宋_GB2312"/>
                <w:b/>
                <w:color w:val="000000"/>
                <w:kern w:val="0"/>
                <w:sz w:val="21"/>
                <w:szCs w:val="21"/>
                <w:highlight w:val="none"/>
                <w:shd w:val="clear" w:color="auto" w:fill="FFFFFF"/>
              </w:rPr>
              <w:t>电梯主要部件</w:t>
            </w:r>
            <w:r>
              <w:rPr>
                <w:rFonts w:hint="eastAsia" w:ascii="仿宋_GB2312" w:hAnsi="仿宋_GB2312" w:eastAsia="仿宋_GB2312" w:cs="仿宋_GB2312"/>
                <w:b/>
                <w:color w:val="000000"/>
                <w:kern w:val="0"/>
                <w:sz w:val="21"/>
                <w:szCs w:val="21"/>
                <w:highlight w:val="none"/>
                <w:shd w:val="clear" w:color="auto" w:fill="FFFFFF"/>
                <w:lang w:val="en-US" w:eastAsia="zh-CN"/>
              </w:rPr>
              <w:t xml:space="preserve">   </w:t>
            </w:r>
            <w:r>
              <w:rPr>
                <w:rFonts w:hint="eastAsia" w:ascii="仿宋_GB2312" w:hAnsi="仿宋_GB2312" w:eastAsia="仿宋_GB2312" w:cs="仿宋_GB2312"/>
                <w:b/>
                <w:color w:val="000000"/>
                <w:kern w:val="0"/>
                <w:sz w:val="21"/>
                <w:szCs w:val="21"/>
                <w:highlight w:val="none"/>
                <w:shd w:val="clear" w:color="auto" w:fill="FFFFFF"/>
              </w:rPr>
              <w:t>配置要求</w:t>
            </w: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lang w:val="en-US" w:eastAsia="zh-CN"/>
              </w:rPr>
              <w:t>曳引系统、</w:t>
            </w:r>
            <w:r>
              <w:rPr>
                <w:rFonts w:hint="eastAsia" w:ascii="仿宋_GB2312" w:hAnsi="仿宋_GB2312" w:eastAsia="仿宋_GB2312" w:cs="仿宋_GB2312"/>
                <w:color w:val="000000"/>
                <w:kern w:val="0"/>
                <w:sz w:val="21"/>
                <w:szCs w:val="21"/>
                <w:highlight w:val="none"/>
                <w:shd w:val="clear" w:color="auto" w:fill="FFFFFF"/>
              </w:rPr>
              <w:t>控制</w:t>
            </w:r>
            <w:r>
              <w:rPr>
                <w:rFonts w:hint="eastAsia" w:ascii="仿宋_GB2312" w:hAnsi="仿宋_GB2312" w:eastAsia="仿宋_GB2312" w:cs="仿宋_GB2312"/>
                <w:color w:val="000000"/>
                <w:kern w:val="0"/>
                <w:sz w:val="21"/>
                <w:szCs w:val="21"/>
                <w:highlight w:val="none"/>
                <w:shd w:val="clear" w:color="auto" w:fill="FFFFFF"/>
                <w:lang w:val="en-US" w:eastAsia="zh-CN"/>
              </w:rPr>
              <w:t>系统</w:t>
            </w:r>
            <w:r>
              <w:rPr>
                <w:rFonts w:hint="eastAsia" w:ascii="仿宋_GB2312" w:hAnsi="仿宋_GB2312" w:eastAsia="仿宋_GB2312" w:cs="仿宋_GB2312"/>
                <w:color w:val="000000"/>
                <w:kern w:val="0"/>
                <w:sz w:val="21"/>
                <w:szCs w:val="21"/>
                <w:highlight w:val="none"/>
                <w:shd w:val="clear" w:color="auto" w:fill="FFFFFF"/>
              </w:rPr>
              <w:t>、门</w:t>
            </w:r>
            <w:r>
              <w:rPr>
                <w:rFonts w:hint="eastAsia" w:ascii="仿宋_GB2312" w:hAnsi="仿宋_GB2312" w:eastAsia="仿宋_GB2312" w:cs="仿宋_GB2312"/>
                <w:color w:val="000000"/>
                <w:kern w:val="0"/>
                <w:sz w:val="21"/>
                <w:szCs w:val="21"/>
                <w:highlight w:val="none"/>
                <w:shd w:val="clear" w:color="auto" w:fill="FFFFFF"/>
                <w:lang w:val="en-US" w:eastAsia="zh-CN"/>
              </w:rPr>
              <w:t>系统</w:t>
            </w:r>
            <w:r>
              <w:rPr>
                <w:rFonts w:hint="eastAsia" w:ascii="仿宋_GB2312" w:hAnsi="仿宋_GB2312" w:eastAsia="仿宋_GB2312" w:cs="仿宋_GB2312"/>
                <w:color w:val="000000"/>
                <w:kern w:val="0"/>
                <w:sz w:val="21"/>
                <w:szCs w:val="21"/>
                <w:highlight w:val="none"/>
                <w:shd w:val="clear" w:color="auto" w:fill="FFFFFF"/>
              </w:rPr>
              <w:t>、限速器、安全钳、缓冲器原厂原品牌，</w:t>
            </w:r>
            <w:r>
              <w:rPr>
                <w:rFonts w:hint="eastAsia" w:ascii="仿宋_GB2312" w:hAnsi="仿宋_GB2312" w:eastAsia="仿宋_GB2312" w:cs="仿宋_GB2312"/>
                <w:color w:val="000000"/>
                <w:kern w:val="0"/>
                <w:sz w:val="21"/>
                <w:szCs w:val="21"/>
                <w:highlight w:val="none"/>
                <w:shd w:val="clear" w:color="auto" w:fill="FFFFFF"/>
                <w:lang w:val="en-US" w:eastAsia="zh-CN"/>
              </w:rPr>
              <w:t>不接受贴牌产品，</w:t>
            </w:r>
            <w:r>
              <w:rPr>
                <w:rFonts w:hint="eastAsia" w:ascii="仿宋_GB2312" w:hAnsi="仿宋_GB2312" w:eastAsia="仿宋_GB2312" w:cs="仿宋_GB2312"/>
                <w:color w:val="000000"/>
                <w:kern w:val="0"/>
                <w:sz w:val="21"/>
                <w:szCs w:val="21"/>
                <w:highlight w:val="none"/>
                <w:shd w:val="clear" w:color="auto" w:fill="FFFFFF"/>
              </w:rPr>
              <w:t>提供原厂原品牌型式试验证书作为证明材料</w:t>
            </w:r>
            <w:r>
              <w:rPr>
                <w:rFonts w:hint="eastAsia" w:ascii="仿宋_GB2312" w:hAnsi="仿宋_GB2312" w:eastAsia="仿宋_GB2312" w:cs="仿宋_GB2312"/>
                <w:color w:val="000000"/>
                <w:kern w:val="0"/>
                <w:sz w:val="21"/>
                <w:szCs w:val="21"/>
                <w:highlight w:val="none"/>
                <w:shd w:val="clear" w:color="auto" w:fill="FFFFFF"/>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20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执行的主要标准</w:t>
            </w:r>
          </w:p>
        </w:tc>
        <w:tc>
          <w:tcPr>
            <w:tcW w:w="7300" w:type="dxa"/>
            <w:noWrap w:val="0"/>
            <w:vAlign w:val="center"/>
          </w:tcPr>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 xml:space="preserve">   《电梯安装验收规范》                             GB10060</w:t>
            </w:r>
          </w:p>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 xml:space="preserve">   《电梯技术条件》                                 GB/T10058</w:t>
            </w:r>
          </w:p>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 xml:space="preserve">   《电梯试验方法》                                 GB/T10059</w:t>
            </w:r>
          </w:p>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 xml:space="preserve">   《电梯、自动扶梯、自动人行道术语》               GB/T7024</w:t>
            </w:r>
          </w:p>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 xml:space="preserve">   《电梯主要参数及轿厢、井道、机房的型式与尺寸》   GB/T7025</w:t>
            </w:r>
          </w:p>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 xml:space="preserve">   《低压成套开关设备和控制设备》                   GB/T7251</w:t>
            </w:r>
          </w:p>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 xml:space="preserve">   《建筑物的电气装置电击防护》                     GB/T14821.1</w:t>
            </w:r>
          </w:p>
          <w:p>
            <w:pPr>
              <w:widowControl/>
              <w:adjustRightInd w:val="0"/>
              <w:snapToGrid w:val="0"/>
              <w:spacing w:line="240" w:lineRule="auto"/>
              <w:ind w:firstLine="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 xml:space="preserve">   《电气装置安装工程电梯电气装置施工及验收规范》   GB50182</w:t>
            </w:r>
          </w:p>
          <w:p>
            <w:pPr>
              <w:widowControl/>
              <w:adjustRightInd w:val="0"/>
              <w:snapToGrid w:val="0"/>
              <w:spacing w:line="240" w:lineRule="auto"/>
              <w:ind w:firstLine="420" w:firstLineChars="20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超长期特别国债资金支持的更新电梯专项要求</w:t>
            </w:r>
          </w:p>
          <w:p>
            <w:pPr>
              <w:widowControl/>
              <w:adjustRightInd w:val="0"/>
              <w:snapToGrid w:val="0"/>
              <w:spacing w:line="240" w:lineRule="auto"/>
              <w:ind w:firstLine="420" w:firstLineChars="20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超长期特别国债资金支持的更新电梯检验附加要求</w:t>
            </w:r>
          </w:p>
          <w:p>
            <w:pPr>
              <w:widowControl/>
              <w:adjustRightInd w:val="0"/>
              <w:snapToGrid w:val="0"/>
              <w:spacing w:line="240" w:lineRule="auto"/>
              <w:ind w:firstLine="420" w:firstLineChars="200"/>
              <w:jc w:val="left"/>
              <w:rPr>
                <w:rFonts w:hint="eastAsia" w:ascii="仿宋_GB2312" w:hAnsi="仿宋_GB2312" w:eastAsia="仿宋_GB2312" w:cs="仿宋_GB2312"/>
                <w:color w:val="000000"/>
                <w:kern w:val="0"/>
                <w:sz w:val="21"/>
                <w:szCs w:val="21"/>
                <w:highlight w:val="none"/>
                <w:shd w:val="clear" w:color="auto" w:fill="FFFFFF"/>
              </w:rPr>
            </w:pPr>
            <w:r>
              <w:rPr>
                <w:rFonts w:hint="eastAsia" w:ascii="仿宋_GB2312" w:hAnsi="仿宋_GB2312" w:eastAsia="仿宋_GB2312" w:cs="仿宋_GB2312"/>
                <w:color w:val="000000"/>
                <w:kern w:val="0"/>
                <w:sz w:val="21"/>
                <w:szCs w:val="21"/>
                <w:highlight w:val="none"/>
                <w:shd w:val="clear" w:color="auto" w:fill="FFFFFF"/>
              </w:rPr>
              <w:t>其他相关标准</w:t>
            </w:r>
          </w:p>
        </w:tc>
      </w:tr>
    </w:tbl>
    <w:p>
      <w:pPr>
        <w:widowControl/>
        <w:spacing w:line="360" w:lineRule="auto"/>
        <w:ind w:firstLine="0"/>
        <w:jc w:val="left"/>
        <w:rPr>
          <w:rFonts w:hint="eastAsia" w:ascii="仿宋_GB2312" w:hAnsi="仿宋_GB2312" w:eastAsia="仿宋_GB2312" w:cs="仿宋_GB2312"/>
          <w:b/>
          <w:bCs/>
          <w:color w:val="000000"/>
          <w:kern w:val="0"/>
          <w:sz w:val="21"/>
          <w:szCs w:val="21"/>
          <w:highlight w:val="none"/>
        </w:rPr>
      </w:pPr>
      <w:r>
        <w:rPr>
          <w:rFonts w:hint="eastAsia" w:ascii="仿宋_GB2312" w:hAnsi="仿宋_GB2312" w:eastAsia="仿宋_GB2312" w:cs="仿宋_GB2312"/>
          <w:b/>
          <w:bCs/>
          <w:color w:val="000000"/>
          <w:kern w:val="0"/>
          <w:sz w:val="21"/>
          <w:szCs w:val="21"/>
          <w:highlight w:val="none"/>
        </w:rPr>
        <w:t>说明：</w:t>
      </w:r>
      <w:r>
        <w:rPr>
          <w:rFonts w:hint="eastAsia" w:ascii="仿宋_GB2312" w:hAnsi="仿宋_GB2312" w:eastAsia="仿宋_GB2312" w:cs="仿宋_GB2312"/>
          <w:b/>
          <w:bCs/>
          <w:color w:val="000000"/>
          <w:kern w:val="0"/>
          <w:sz w:val="21"/>
          <w:szCs w:val="21"/>
          <w:highlight w:val="none"/>
          <w:lang w:val="en-US" w:eastAsia="zh-CN"/>
        </w:rPr>
        <w:t>*</w:t>
      </w:r>
      <w:r>
        <w:rPr>
          <w:rFonts w:hint="eastAsia" w:ascii="仿宋_GB2312" w:hAnsi="仿宋_GB2312" w:eastAsia="仿宋_GB2312" w:cs="仿宋_GB2312"/>
          <w:b/>
          <w:bCs/>
          <w:color w:val="000000"/>
          <w:kern w:val="0"/>
          <w:sz w:val="21"/>
          <w:szCs w:val="21"/>
          <w:highlight w:val="none"/>
        </w:rPr>
        <w:t>条款需提供技术支持资料，技术支持资料以制造商公开发布的印刷资料或第三方检测试验报告证明材料为准。</w:t>
      </w:r>
    </w:p>
    <w:p>
      <w:pPr>
        <w:widowControl/>
        <w:spacing w:line="240" w:lineRule="auto"/>
        <w:ind w:firstLine="0"/>
        <w:jc w:val="left"/>
        <w:rPr>
          <w:rFonts w:hint="eastAsia" w:ascii="仿宋_GB2312" w:hAnsi="仿宋_GB2312" w:eastAsia="仿宋_GB2312" w:cs="仿宋_GB2312"/>
          <w:b/>
          <w:bCs/>
          <w:color w:val="000000"/>
          <w:kern w:val="0"/>
          <w:sz w:val="21"/>
          <w:szCs w:val="21"/>
          <w:highlight w:val="none"/>
        </w:rPr>
      </w:pPr>
      <w:r>
        <w:rPr>
          <w:rFonts w:hint="eastAsia" w:ascii="仿宋_GB2312" w:hAnsi="仿宋_GB2312" w:eastAsia="仿宋_GB2312" w:cs="仿宋_GB2312"/>
          <w:b/>
          <w:bCs/>
          <w:color w:val="000000"/>
          <w:kern w:val="0"/>
          <w:sz w:val="21"/>
          <w:szCs w:val="21"/>
          <w:highlight w:val="none"/>
        </w:rPr>
        <w:br w:type="page"/>
      </w:r>
    </w:p>
    <w:p>
      <w:pPr>
        <w:keepNext/>
        <w:keepLines/>
        <w:widowControl/>
        <w:spacing w:before="260" w:after="260" w:line="413" w:lineRule="auto"/>
        <w:ind w:firstLine="200"/>
        <w:jc w:val="left"/>
        <w:outlineLvl w:val="1"/>
        <w:rPr>
          <w:rFonts w:hint="eastAsia" w:ascii="仿宋_GB2312" w:hAnsi="仿宋_GB2312" w:eastAsia="仿宋_GB2312" w:cs="仿宋_GB2312"/>
          <w:b/>
          <w:bCs/>
          <w:color w:val="000000"/>
          <w:kern w:val="0"/>
          <w:sz w:val="21"/>
          <w:szCs w:val="21"/>
          <w:highlight w:val="none"/>
          <w:lang w:val="en-US" w:eastAsia="zh-CN" w:bidi="ar-SA"/>
        </w:rPr>
      </w:pPr>
      <w:bookmarkStart w:id="174" w:name="_Toc2008"/>
      <w:r>
        <w:rPr>
          <w:rFonts w:hint="eastAsia" w:ascii="仿宋_GB2312" w:hAnsi="仿宋_GB2312" w:eastAsia="仿宋_GB2312" w:cs="仿宋_GB2312"/>
          <w:b/>
          <w:bCs/>
          <w:color w:val="000000"/>
          <w:kern w:val="0"/>
          <w:sz w:val="21"/>
          <w:szCs w:val="21"/>
          <w:highlight w:val="none"/>
          <w:lang w:val="en-US" w:eastAsia="zh-CN" w:bidi="ar-SA"/>
        </w:rPr>
        <w:t>（三）基本功能</w:t>
      </w:r>
      <w:bookmarkEnd w:id="174"/>
    </w:p>
    <w:tbl>
      <w:tblPr>
        <w:tblStyle w:val="45"/>
        <w:tblW w:w="0" w:type="auto"/>
        <w:tblInd w:w="-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9"/>
        <w:gridCol w:w="6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blHeader/>
        </w:trPr>
        <w:tc>
          <w:tcPr>
            <w:tcW w:w="2529" w:type="dxa"/>
            <w:noWrap w:val="0"/>
            <w:vAlign w:val="center"/>
          </w:tcPr>
          <w:p>
            <w:pPr>
              <w:widowControl/>
              <w:spacing w:line="276" w:lineRule="auto"/>
              <w:ind w:firstLine="0"/>
              <w:jc w:val="center"/>
              <w:rPr>
                <w:rFonts w:hint="eastAsia" w:ascii="仿宋_GB2312" w:hAnsi="仿宋_GB2312" w:eastAsia="仿宋_GB2312" w:cs="仿宋_GB2312"/>
                <w:b/>
                <w:color w:val="000000"/>
                <w:kern w:val="0"/>
                <w:sz w:val="21"/>
                <w:szCs w:val="21"/>
                <w:highlight w:val="none"/>
              </w:rPr>
            </w:pPr>
            <w:r>
              <w:rPr>
                <w:rFonts w:hint="eastAsia" w:ascii="仿宋_GB2312" w:hAnsi="仿宋_GB2312" w:eastAsia="仿宋_GB2312" w:cs="仿宋_GB2312"/>
                <w:b/>
                <w:color w:val="000000"/>
                <w:kern w:val="0"/>
                <w:sz w:val="21"/>
                <w:szCs w:val="21"/>
                <w:highlight w:val="none"/>
              </w:rPr>
              <w:t>功能名称</w:t>
            </w:r>
          </w:p>
        </w:tc>
        <w:tc>
          <w:tcPr>
            <w:tcW w:w="6790" w:type="dxa"/>
            <w:noWrap w:val="0"/>
            <w:vAlign w:val="center"/>
          </w:tcPr>
          <w:p>
            <w:pPr>
              <w:widowControl/>
              <w:spacing w:line="276" w:lineRule="auto"/>
              <w:ind w:firstLine="0"/>
              <w:jc w:val="center"/>
              <w:rPr>
                <w:rFonts w:hint="eastAsia" w:ascii="仿宋_GB2312" w:hAnsi="仿宋_GB2312" w:eastAsia="仿宋_GB2312" w:cs="仿宋_GB2312"/>
                <w:b/>
                <w:color w:val="000000"/>
                <w:kern w:val="0"/>
                <w:sz w:val="21"/>
                <w:szCs w:val="21"/>
                <w:highlight w:val="none"/>
              </w:rPr>
            </w:pPr>
            <w:r>
              <w:rPr>
                <w:rFonts w:hint="eastAsia" w:ascii="仿宋_GB2312" w:hAnsi="仿宋_GB2312" w:eastAsia="仿宋_GB2312" w:cs="仿宋_GB2312"/>
                <w:b/>
                <w:color w:val="000000"/>
                <w:kern w:val="0"/>
                <w:sz w:val="21"/>
                <w:szCs w:val="21"/>
                <w:highlight w:val="none"/>
              </w:rPr>
              <w:t>功能说明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电梯受阻失速保护</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当曳引钢丝绳打滑，电梯停止运行。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制动器冗余保护</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当一组制动器发生故障时，其余制动器也可实现电梯有效制动。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操纵箱微机异常处理</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当操纵箱微机发生异常时，就近层停靠后，电梯不能再启动。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轿内反向指令消除</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电梯自动运行时，当电梯沿途投标完最后一个轿内指令或层站召唤后，系统自动检查并消除余下的轿内指令。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轿内通风装置</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配备轿内通风装置</w:t>
            </w:r>
            <w:r>
              <w:rPr>
                <w:rFonts w:hint="eastAsia" w:ascii="仿宋_GB2312" w:hAnsi="仿宋_GB2312" w:eastAsia="仿宋_GB2312" w:cs="仿宋_GB2312"/>
                <w:b/>
                <w:bCs/>
                <w:color w:val="000000"/>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轿内照明</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轿内配备LED照明。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关门保护</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当轿厢门不能完全关闭时，门反向开启。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轿内运行方向指示</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在轿厢内用箭头表示电梯的运行方向。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层站运行方向指示</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在层站用箭头表示电梯的运行方向。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关门按钮投标指示</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按下关门按钮时关门按钮灯同时点亮。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换向重开门</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电梯门开状态，前行方向上没有轿内指令和层站召唤，且该层站的相反方向的层站召唤已被登记，电梯关门后立即重开。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门负载检测</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如果门由于过载导致不能完全打开或关闭，电梯门将会反方向动作。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开门按钮投标指示</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按下开门按钮时开门按钮灯同时点亮。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开门受阻控制</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如果电梯开门受阻，立即关门。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开门保持时间自动调整</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根据层站召唤或轿内指令自动调整开门保持时间。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关门力矩控制</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电梯关门遇到额外阻力时，门系统自动增大力矩。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轿厢应急照明</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当正常照明电源断电时，立即提供轿厢</w:t>
            </w:r>
            <w:r>
              <w:rPr>
                <w:rFonts w:hint="eastAsia" w:ascii="仿宋_GB2312" w:hAnsi="仿宋_GB2312" w:eastAsia="仿宋_GB2312" w:cs="仿宋_GB2312"/>
                <w:color w:val="000000"/>
                <w:kern w:val="0"/>
                <w:sz w:val="21"/>
                <w:szCs w:val="21"/>
                <w:highlight w:val="none"/>
                <w:lang w:val="en-US" w:eastAsia="zh-CN"/>
              </w:rPr>
              <w:t>应急</w:t>
            </w:r>
            <w:r>
              <w:rPr>
                <w:rFonts w:hint="eastAsia" w:ascii="仿宋_GB2312" w:hAnsi="仿宋_GB2312" w:eastAsia="仿宋_GB2312" w:cs="仿宋_GB2312"/>
                <w:color w:val="000000"/>
                <w:kern w:val="0"/>
                <w:sz w:val="21"/>
                <w:szCs w:val="21"/>
                <w:highlight w:val="none"/>
              </w:rPr>
              <w:t>照明。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电梯计时计次仪</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记录电梯运行次数及运行时间。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即时关门</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电梯停站开门后，按下关门按钮，门立即关闭。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关门受阻</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防夹人功能（需安装光幕装置）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故障自诊断</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对电梯运行过程中的异常及故障进行诊断。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警铃</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紧急时按下该警铃,警铃和通话装置鸣响。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电气安全回路保护</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串联在一起的电气安全装置一旦动作，则阻止电梯运行。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层站按钮灯闪烁指示</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电梯到站停靠，开始开门时，同方向的层站召唤按钮灯闪烁，提醒乘客有电梯到达，当电梯关门到位后，按钮灯熄灭。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层高自测定</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自动测量并记录层高数据。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层站召唤自动登记</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当一台电梯不能将所有乘客接走，该层站按钮保持登记状态，系统将自动分配另外一台电梯来服务。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检修操作</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供维修人员使用的检修运行模式。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层站微机异常处理</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当层站微机发生异常时，就近层停靠后，电梯不能再启动。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层站运行控制开关</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通过操作指定层站上安装的“运行/停止”钥匙开关，开启或关闭电梯。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独立运行</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使用操纵箱内的“独立”开关，可以在不中断运行的情况下，只投标轿内指令而不投标层站召唤。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多方通话装置</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紧急时，轿内或轿顶或底坑的人可以通过该装置与机房或监控室的人通话。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强制关门</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如果电梯开门保持时间超过预定值，电梯暂时忽略非接触式门传感器的作用，强制关门。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称重启动</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电梯根据轿厢内的负载，调整启动力矩,以使电梯启动平稳。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电梯不启动报警</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当层站召唤、轿内指令已登记，但电梯在预定时间内不能启动，则清除已分配的层站召唤，保留轿内指令，异常灯点亮，异常警铃鸣响。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次层停靠</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电梯到达目的层后，若轿厢门不能完全开启，则关门后继续向下一层运行，直到门能完全开启后，恢复正常运行。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过电流保护</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检测到整流装置或逆变装置电流过大，则停止电梯运行。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超载报警</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轿厢超载时，电梯保持开门并且轿内蜂鸣器鸣响。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超速保护</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检测到运行速度超出允许值时，则停止电梯运行。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电机过热保护</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检测到电机过热，则停止电梯运行。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过电压保护</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检测到整流装置或逆变装置电压过高，则停止电梯运行。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电源故障保护</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电源发生缺断相、欠压等故障时，则停止电梯运行。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上电再平层</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由于断电引起轿厢停在门区范围内，当电源恢复后轿厢将再平层到平层位置。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重复关门</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如果关门受阻，电梯就会重复关门动作，直到杂物被清除。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本层再开门</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关门过程中，按同方向层站召唤按钮，电梯重新开门。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逆行保护</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检测到电梯逆行，则停止电梯运行。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选层器修正</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电梯在运行过程中，对选层器进行修正。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火灾应急返回</w:t>
            </w:r>
          </w:p>
        </w:tc>
        <w:tc>
          <w:tcPr>
            <w:tcW w:w="6790" w:type="dxa"/>
            <w:noWrap w:val="0"/>
            <w:vAlign w:val="center"/>
          </w:tcPr>
          <w:p>
            <w:pPr>
              <w:widowControl/>
              <w:spacing w:line="276" w:lineRule="auto"/>
              <w:ind w:firstLine="0"/>
              <w:jc w:val="left"/>
              <w:rPr>
                <w:rFonts w:hint="eastAsia" w:ascii="仿宋" w:hAnsi="仿宋" w:eastAsia="仿宋" w:cs="仿宋"/>
                <w:color w:val="000000"/>
                <w:kern w:val="0"/>
                <w:sz w:val="21"/>
                <w:szCs w:val="21"/>
                <w:highlight w:val="none"/>
              </w:rPr>
            </w:pPr>
            <w:r>
              <w:rPr>
                <w:rFonts w:hint="eastAsia" w:ascii="仿宋" w:hAnsi="仿宋" w:eastAsia="仿宋" w:cs="仿宋"/>
                <w:color w:val="000000"/>
                <w:kern w:val="0"/>
                <w:sz w:val="21"/>
                <w:szCs w:val="21"/>
                <w:highlight w:val="none"/>
              </w:rPr>
              <w:t>当电梯得到火警信号，电梯不响应所有内呼和外呼，立即自动返回指定楼层，开门停梯。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安全停靠</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电梯因故停在门区外时，控制器进行安全检测，若符合启动要求，则电梯就近停层开门。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停层开门</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电梯停层后自动开门。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逆变装置高温检测</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检测到逆变装置过热，则停止电梯运行。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防夹功能</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安装光幕装置（防夹人）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智能阻车系统</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lang w:val="en-US" w:eastAsia="zh-CN"/>
              </w:rPr>
              <w:t>配置稳定可靠的电动自行车智能阻止系统，助力防范住宅安全隐患；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lang w:val="en-US" w:eastAsia="zh-CN"/>
              </w:rPr>
              <w:t>智能IC卡</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lang w:val="en-US" w:eastAsia="zh-CN"/>
              </w:rPr>
              <w:t>配置智能IC卡系统，对电梯乘坐权限进行管控，实现召唤电梯、楼层选择、访客邀请等功能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2529" w:type="dxa"/>
            <w:noWrap w:val="0"/>
            <w:vAlign w:val="center"/>
          </w:tcPr>
          <w:p>
            <w:pPr>
              <w:widowControl/>
              <w:spacing w:line="276" w:lineRule="auto"/>
              <w:ind w:firstLine="0"/>
              <w:jc w:val="left"/>
              <w:rPr>
                <w:rFonts w:hint="default"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权限设置</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电梯不得设置任何权限，以方便维修人员及时维修。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2529" w:type="dxa"/>
            <w:noWrap w:val="0"/>
            <w:vAlign w:val="center"/>
          </w:tcPr>
          <w:p>
            <w:pPr>
              <w:widowControl/>
              <w:spacing w:line="276" w:lineRule="auto"/>
              <w:ind w:firstLine="0"/>
              <w:jc w:val="left"/>
              <w:rPr>
                <w:rFonts w:hint="default"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监控功能</w:t>
            </w:r>
          </w:p>
        </w:tc>
        <w:tc>
          <w:tcPr>
            <w:tcW w:w="6790" w:type="dxa"/>
            <w:noWrap w:val="0"/>
            <w:vAlign w:val="center"/>
          </w:tcPr>
          <w:p>
            <w:pPr>
              <w:widowControl/>
              <w:spacing w:line="276" w:lineRule="auto"/>
              <w:ind w:firstLine="0"/>
              <w:jc w:val="left"/>
              <w:rPr>
                <w:rFonts w:hint="default"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随行电缆带监控线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2529" w:type="dxa"/>
            <w:noWrap w:val="0"/>
            <w:vAlign w:val="center"/>
          </w:tcPr>
          <w:p>
            <w:pPr>
              <w:widowControl/>
              <w:spacing w:line="276" w:lineRule="auto"/>
              <w:ind w:firstLine="0"/>
              <w:jc w:val="left"/>
              <w:rPr>
                <w:rFonts w:hint="default"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节能功能</w:t>
            </w:r>
          </w:p>
        </w:tc>
        <w:tc>
          <w:tcPr>
            <w:tcW w:w="6790" w:type="dxa"/>
            <w:noWrap w:val="0"/>
            <w:vAlign w:val="center"/>
          </w:tcPr>
          <w:p>
            <w:pPr>
              <w:widowControl/>
              <w:spacing w:line="276" w:lineRule="auto"/>
              <w:ind w:firstLine="0"/>
              <w:jc w:val="left"/>
              <w:rPr>
                <w:rFonts w:hint="default"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在没有接到任何操作指令的情况下，电梯在关门一段时间后，进入节能模式，自动关闭轿厢照明和风扇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2529" w:type="dxa"/>
            <w:noWrap w:val="0"/>
            <w:vAlign w:val="center"/>
          </w:tcPr>
          <w:p>
            <w:pPr>
              <w:widowControl/>
              <w:spacing w:line="276" w:lineRule="auto"/>
              <w:ind w:firstLine="0"/>
              <w:jc w:val="left"/>
              <w:rPr>
                <w:rFonts w:hint="default"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满载直驶</w:t>
            </w:r>
          </w:p>
        </w:tc>
        <w:tc>
          <w:tcPr>
            <w:tcW w:w="6790" w:type="dxa"/>
            <w:noWrap w:val="0"/>
            <w:vAlign w:val="center"/>
          </w:tcPr>
          <w:p>
            <w:pPr>
              <w:widowControl/>
              <w:spacing w:line="276" w:lineRule="auto"/>
              <w:ind w:firstLine="0"/>
              <w:jc w:val="left"/>
              <w:rPr>
                <w:rFonts w:hint="default"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当轿厢内载荷达到满载预设值时，即进入满载直驶状态，电梯将不再应答厅外招唤而直接响应轿内指令直达指定楼层。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防捣乱功能(端站停层取消内呼)</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当电梯运行到上下终端站时，会取消所有的轿内呼叫指令。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基站开门等待时间可调</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为基站所在楼层分配较长的开门等待时间，电梯控制系统默认开门等待时间是8秒，基站开门时间可调整范围是0-63秒，通过特殊设备调整。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井道自学习</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在电梯正式运行前，系统学习井道内各种数据，各楼层位置，层高，井道各开关位置，并永久保存。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轿内应急照明</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如果电梯突然停电，轿内应急灯会自动打开。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门锁故障重复关门</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电梯控制系统一直会检查电梯门锁状态，系统如果检测 到电梯门未完全关闭或门锁有故障时，电梯门会自动打开后再自动关闭。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锁梯(钥匙开关)</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当要使电梯停止运行时，在基站召唤箱上用钥匙转向闭梯处，当电梯已在基站，此时电梯关闭；当电梯不在基站，待应答完指令后回基站关闭电梯。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缺相及错相保护</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三相电源当任何一相断开或三相电源相序与出厂规定的相序不符时，相序继电器动作，断开安全电路，电梯停止运行。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紧急电动运行</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电梯在紧急状态下，可以通过电梯机房控制柜上的操纵 面板进行紧急操作，呼叫电梯上下运行，以达到紧急救援的目的。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火灾应急返回信号预留</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当电梯火灾应急返回完成后，在控制柜输出一个电梯返回到位信号。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轿厢意外移动保护</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防止在开锁区域内且开门状态下，轿厢无指令离开层站的移动。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限制轿内人员开启轿门装置</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为了限制轿厢内人员开启轿门的装置。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制动力矩检测功能</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控制柜提供制动力检测装置，确保电梯制动器制动能力。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门锁安全装置的失效检测</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当轿厢在开锁区域内，轿门开启且层门门锁释放时，应当监测检查轿门关闭位置的电气安全装置、检查层门锁 紧装置的锁紧位置的电气安全装置和监控信号的正确动作。如果监测到故障，应当防止电梯的正常运行。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门锁旁路功能</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为了维护层门和轿门的触点，控制柜提供门锁旁路装置，确保维修保养效率。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井道急停开关</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井道底坑内急停开关可使电梯抱闸停止，急停按钮在底 坑地面和底坑开门都能触及到的位置，如果底坑深度大 于1.6m,底坑应有2个急停开关。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轿顶急停开关</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轿顶位置装的急停开关。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轿厢限速器张紧块安全触点</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安全开关，用于检测限速器钢丝绳松弛、松开或断裂。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安全钳触点</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安全钳内的安全开关反馈安全钳工作状况。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集选错误信号</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通过从主机板中输出一个继电器信号提示有故障发生(如马达的温度过高故障等)。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关门按钮</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电梯停站开门后，按下关门按钮，电梯立即关门。电梯关门按钮仅在门完全打开时起作用，以下情况关门按钮 不起作用：1.超载；2.开门中；3.优先运行。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开门按钮</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当电梯在开门区域内，按下开门按钮，电梯门重新打开。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误指令消除(双击取消)</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连续两次按下已登记的内呼按钮时，该内呼将被取消。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trPr>
        <w:tc>
          <w:tcPr>
            <w:tcW w:w="2529"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语音安抚功能</w:t>
            </w:r>
          </w:p>
        </w:tc>
        <w:tc>
          <w:tcPr>
            <w:tcW w:w="6790" w:type="dxa"/>
            <w:noWrap w:val="0"/>
            <w:vAlign w:val="center"/>
          </w:tcPr>
          <w:p>
            <w:pPr>
              <w:widowControl/>
              <w:spacing w:line="276" w:lineRule="auto"/>
              <w:ind w:firstLine="0"/>
              <w:jc w:val="left"/>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电梯在故障情况下，轿厢能发出语音进行安抚乘客。</w:t>
            </w:r>
          </w:p>
        </w:tc>
      </w:tr>
    </w:tbl>
    <w:p>
      <w:pPr>
        <w:widowControl/>
        <w:spacing w:line="240" w:lineRule="auto"/>
        <w:ind w:firstLine="0"/>
        <w:jc w:val="left"/>
        <w:rPr>
          <w:rFonts w:hint="eastAsia" w:ascii="Times New Roman" w:hAnsi="Times New Roman" w:eastAsia="宋体" w:cs="Times New Roman"/>
          <w:b/>
          <w:bCs/>
          <w:color w:val="000000"/>
          <w:kern w:val="0"/>
          <w:sz w:val="24"/>
          <w:szCs w:val="20"/>
          <w:highlight w:val="none"/>
          <w:lang w:bidi="en-US"/>
        </w:rPr>
      </w:pPr>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color w:val="000000"/>
          <w:kern w:val="0"/>
          <w:sz w:val="21"/>
          <w:szCs w:val="21"/>
          <w:highlight w:val="none"/>
          <w:lang w:val="en-US" w:eastAsia="zh-CN"/>
        </w:rPr>
      </w:pPr>
      <w:bookmarkStart w:id="175" w:name="OLE_LINK2"/>
      <w:r>
        <w:rPr>
          <w:rFonts w:hint="eastAsia" w:ascii="仿宋_GB2312" w:hAnsi="仿宋_GB2312" w:eastAsia="仿宋_GB2312" w:cs="仿宋_GB2312"/>
          <w:b/>
          <w:bCs/>
          <w:color w:val="000000"/>
          <w:kern w:val="0"/>
          <w:sz w:val="21"/>
          <w:szCs w:val="21"/>
          <w:highlight w:val="none"/>
          <w:lang w:val="en-US" w:eastAsia="zh-CN"/>
        </w:rPr>
        <w:t>（四）产品耐久性要求</w:t>
      </w:r>
      <w:r>
        <w:rPr>
          <w:rFonts w:hint="eastAsia" w:ascii="仿宋_GB2312" w:hAnsi="仿宋_GB2312" w:eastAsia="仿宋_GB2312" w:cs="仿宋_GB2312"/>
          <w:color w:val="000000"/>
          <w:kern w:val="0"/>
          <w:sz w:val="21"/>
          <w:szCs w:val="21"/>
          <w:highlight w:val="none"/>
          <w:lang w:val="en-US" w:eastAsia="zh-CN"/>
        </w:rPr>
        <w:t>：</w:t>
      </w:r>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b/>
          <w:bCs/>
          <w:color w:val="000000"/>
          <w:kern w:val="0"/>
          <w:sz w:val="21"/>
          <w:szCs w:val="21"/>
          <w:highlight w:val="none"/>
          <w:lang w:val="en-US" w:eastAsia="zh-CN"/>
        </w:rPr>
      </w:pPr>
      <w:r>
        <w:rPr>
          <w:rFonts w:hint="eastAsia" w:ascii="仿宋_GB2312" w:hAnsi="仿宋_GB2312" w:eastAsia="仿宋_GB2312" w:cs="仿宋_GB2312"/>
          <w:b/>
          <w:bCs/>
          <w:color w:val="000000"/>
          <w:kern w:val="0"/>
          <w:sz w:val="21"/>
          <w:szCs w:val="21"/>
          <w:highlight w:val="none"/>
          <w:lang w:val="en-US" w:eastAsia="zh-CN"/>
        </w:rPr>
        <w:t>投标单位提供产品耐久性能参数</w:t>
      </w:r>
    </w:p>
    <w:p>
      <w:pPr>
        <w:pageBreakBefore w:val="0"/>
        <w:widowControl/>
        <w:kinsoku/>
        <w:wordWrap/>
        <w:overflowPunct/>
        <w:topLinePunct w:val="0"/>
        <w:autoSpaceDE/>
        <w:autoSpaceDN/>
        <w:bidi w:val="0"/>
        <w:adjustRightInd/>
        <w:snapToGrid/>
        <w:spacing w:line="360" w:lineRule="auto"/>
        <w:ind w:firstLine="0"/>
        <w:jc w:val="left"/>
        <w:textAlignment w:val="auto"/>
        <w:rPr>
          <w:rFonts w:hint="default"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1.曳引机安全系数设计，按主轴安全倍数参数；</w:t>
      </w:r>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2.曳引机制动器动作寿命测试次数；</w:t>
      </w:r>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3.曳引机按最大额定载荷制动力矩设计参数；</w:t>
      </w:r>
    </w:p>
    <w:p>
      <w:pPr>
        <w:pageBreakBefore w:val="0"/>
        <w:widowControl/>
        <w:kinsoku/>
        <w:wordWrap/>
        <w:overflowPunct/>
        <w:topLinePunct w:val="0"/>
        <w:autoSpaceDE/>
        <w:autoSpaceDN/>
        <w:bidi w:val="0"/>
        <w:adjustRightInd/>
        <w:snapToGrid/>
        <w:spacing w:line="360" w:lineRule="auto"/>
        <w:ind w:firstLine="0"/>
        <w:jc w:val="left"/>
        <w:textAlignment w:val="auto"/>
        <w:rPr>
          <w:rFonts w:hint="default"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4.曳引机实测温升参数；</w:t>
      </w:r>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 xml:space="preserve">5.永磁同步电动机功率因数参数； </w:t>
      </w:r>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6.门电机防护等级参数，满足防水、防尘设计要求；</w:t>
      </w:r>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 xml:space="preserve">7.电梯轿门锁使用寿命次数，厅门锁使用寿命次数； </w:t>
      </w:r>
    </w:p>
    <w:p>
      <w:pPr>
        <w:pageBreakBefore w:val="0"/>
        <w:widowControl/>
        <w:kinsoku/>
        <w:wordWrap/>
        <w:overflowPunct/>
        <w:topLinePunct w:val="0"/>
        <w:autoSpaceDE/>
        <w:autoSpaceDN/>
        <w:bidi w:val="0"/>
        <w:adjustRightInd/>
        <w:snapToGrid/>
        <w:spacing w:line="360" w:lineRule="auto"/>
        <w:ind w:firstLine="0"/>
        <w:jc w:val="left"/>
        <w:textAlignment w:val="auto"/>
        <w:rPr>
          <w:rFonts w:hint="default"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8.厅门门板按照GB/T 7588标准，通过撞击测试，抵抗外力对厅门的破坏，保证门系统运行质量和使用寿命；提供证明材料。</w:t>
      </w:r>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9.控制柜电源电压允许波动范围参数，控制柜浪涌（冲击）抗扰度参数；</w:t>
      </w:r>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10.所投电梯产品曳引机必须选用符合GB 30253-2024能效3级的永磁同步曳引机。</w:t>
      </w:r>
      <w:bookmarkEnd w:id="175"/>
    </w:p>
    <w:p>
      <w:pPr>
        <w:pageBreakBefore w:val="0"/>
        <w:widowControl/>
        <w:kinsoku/>
        <w:wordWrap/>
        <w:overflowPunct/>
        <w:topLinePunct w:val="0"/>
        <w:autoSpaceDE/>
        <w:autoSpaceDN/>
        <w:bidi w:val="0"/>
        <w:adjustRightInd/>
        <w:snapToGrid/>
        <w:spacing w:line="360" w:lineRule="auto"/>
        <w:ind w:firstLine="0"/>
        <w:jc w:val="left"/>
        <w:textAlignment w:val="auto"/>
        <w:rPr>
          <w:rFonts w:hint="default" w:ascii="仿宋_GB2312" w:hAnsi="仿宋_GB2312" w:eastAsia="仿宋_GB2312" w:cs="仿宋_GB2312"/>
          <w:color w:val="000000"/>
          <w:kern w:val="0"/>
          <w:sz w:val="21"/>
          <w:szCs w:val="21"/>
          <w:highlight w:val="none"/>
          <w:lang w:val="en-US"/>
        </w:rPr>
      </w:pPr>
      <w:r>
        <w:rPr>
          <w:rFonts w:hint="eastAsia" w:ascii="仿宋_GB2312" w:hAnsi="仿宋_GB2312" w:eastAsia="仿宋_GB2312" w:cs="仿宋_GB2312"/>
          <w:color w:val="000000"/>
          <w:kern w:val="0"/>
          <w:sz w:val="21"/>
          <w:szCs w:val="21"/>
          <w:highlight w:val="none"/>
          <w:lang w:val="en-US" w:eastAsia="zh-CN"/>
        </w:rPr>
        <w:t>注：上述要求，所配置产品参数须满足国家行业标准、国家市场监督管理总局下发关于纳入超长期国债资金支持更新电梯专项要求及电梯检验附加要求等标准配置执行。</w:t>
      </w:r>
      <w:bookmarkStart w:id="176" w:name="_Toc44"/>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b/>
          <w:bCs/>
          <w:color w:val="000000"/>
          <w:kern w:val="0"/>
          <w:sz w:val="21"/>
          <w:szCs w:val="21"/>
          <w:highlight w:val="none"/>
          <w:lang w:val="en-US" w:eastAsia="zh-CN"/>
        </w:rPr>
      </w:pPr>
      <w:r>
        <w:rPr>
          <w:rFonts w:hint="eastAsia" w:ascii="仿宋_GB2312" w:hAnsi="仿宋_GB2312" w:eastAsia="仿宋_GB2312" w:cs="仿宋_GB2312"/>
          <w:b/>
          <w:bCs/>
          <w:color w:val="000000"/>
          <w:kern w:val="0"/>
          <w:sz w:val="21"/>
          <w:szCs w:val="21"/>
          <w:highlight w:val="none"/>
          <w:lang w:val="en-US" w:eastAsia="zh-CN"/>
        </w:rPr>
        <w:t>（五）其他要求</w:t>
      </w:r>
      <w:bookmarkEnd w:id="176"/>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 xml:space="preserve"> 中标人须承担的其他工作要求</w:t>
      </w:r>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（1）中标单位在施工过程中要处理业主投诉。</w:t>
      </w:r>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（2）关于申报国债补贴的资料由中标单位收集整理，提交至招标人进行申报。</w:t>
      </w:r>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（3）若因中标方提供给招标人申报国债补贴报审资料有误、虚报、瞒报或验收不合格等，导致补贴申请失败，一切经济后果及法律责任由中标单位承担。</w:t>
      </w:r>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（4）按照上述国家行业地方现行的法律法规、政策性文件规定及要求提供各阶段所需的检测报告。</w:t>
      </w:r>
    </w:p>
    <w:p>
      <w:pPr>
        <w:pageBreakBefore w:val="0"/>
        <w:widowControl/>
        <w:kinsoku/>
        <w:wordWrap/>
        <w:overflowPunct/>
        <w:topLinePunct w:val="0"/>
        <w:autoSpaceDE/>
        <w:autoSpaceDN/>
        <w:bidi w:val="0"/>
        <w:adjustRightInd/>
        <w:snapToGrid/>
        <w:spacing w:line="360" w:lineRule="auto"/>
        <w:ind w:firstLine="0"/>
        <w:jc w:val="left"/>
        <w:textAlignment w:val="auto"/>
        <w:rPr>
          <w:rFonts w:hint="eastAsia" w:ascii="仿宋_GB2312" w:hAnsi="仿宋_GB2312" w:eastAsia="仿宋_GB2312" w:cs="仿宋_GB2312"/>
          <w:color w:val="000000"/>
          <w:kern w:val="0"/>
          <w:sz w:val="21"/>
          <w:szCs w:val="21"/>
          <w:highlight w:val="none"/>
          <w:lang w:val="en-US" w:eastAsia="zh-CN"/>
        </w:rPr>
      </w:pPr>
      <w:r>
        <w:rPr>
          <w:rFonts w:hint="eastAsia" w:ascii="仿宋_GB2312" w:hAnsi="仿宋_GB2312" w:eastAsia="仿宋_GB2312" w:cs="仿宋_GB2312"/>
          <w:color w:val="000000"/>
          <w:kern w:val="0"/>
          <w:sz w:val="21"/>
          <w:szCs w:val="21"/>
          <w:highlight w:val="none"/>
          <w:lang w:val="en-US" w:eastAsia="zh-CN"/>
        </w:rPr>
        <w:t>（5）</w:t>
      </w:r>
      <w:r>
        <w:rPr>
          <w:rFonts w:hint="eastAsia" w:ascii="仿宋_GB2312" w:hAnsi="仿宋_GB2312" w:eastAsia="仿宋_GB2312" w:cs="仿宋_GB2312"/>
          <w:color w:val="000000"/>
          <w:kern w:val="0"/>
          <w:sz w:val="21"/>
          <w:szCs w:val="21"/>
          <w:highlight w:val="none"/>
          <w:lang w:val="zh-CN" w:eastAsia="zh-CN"/>
        </w:rPr>
        <w:t>旧电梯拆除后所有权归</w:t>
      </w:r>
      <w:r>
        <w:rPr>
          <w:rFonts w:hint="eastAsia" w:ascii="仿宋_GB2312" w:hAnsi="仿宋_GB2312" w:eastAsia="仿宋_GB2312" w:cs="仿宋_GB2312"/>
          <w:color w:val="000000"/>
          <w:kern w:val="0"/>
          <w:sz w:val="21"/>
          <w:szCs w:val="21"/>
          <w:highlight w:val="none"/>
          <w:lang w:val="en-US" w:eastAsia="zh-CN"/>
        </w:rPr>
        <w:t>中标人</w:t>
      </w:r>
      <w:r>
        <w:rPr>
          <w:rFonts w:hint="eastAsia" w:ascii="仿宋_GB2312" w:hAnsi="仿宋_GB2312" w:eastAsia="仿宋_GB2312" w:cs="仿宋_GB2312"/>
          <w:color w:val="000000"/>
          <w:kern w:val="0"/>
          <w:sz w:val="21"/>
          <w:szCs w:val="21"/>
          <w:highlight w:val="none"/>
          <w:lang w:val="zh-CN" w:eastAsia="zh-CN"/>
        </w:rPr>
        <w:t>所有，每台电梯</w:t>
      </w:r>
      <w:r>
        <w:rPr>
          <w:rFonts w:hint="eastAsia" w:ascii="仿宋_GB2312" w:hAnsi="仿宋_GB2312" w:eastAsia="仿宋_GB2312" w:cs="仿宋_GB2312"/>
          <w:color w:val="000000"/>
          <w:kern w:val="0"/>
          <w:sz w:val="21"/>
          <w:szCs w:val="21"/>
          <w:highlight w:val="none"/>
          <w:lang w:val="en-US" w:eastAsia="zh-CN"/>
        </w:rPr>
        <w:t>中标人</w:t>
      </w:r>
      <w:r>
        <w:rPr>
          <w:rFonts w:hint="eastAsia" w:ascii="仿宋_GB2312" w:hAnsi="仿宋_GB2312" w:eastAsia="仿宋_GB2312" w:cs="仿宋_GB2312"/>
          <w:color w:val="000000"/>
          <w:kern w:val="0"/>
          <w:sz w:val="21"/>
          <w:szCs w:val="21"/>
          <w:highlight w:val="none"/>
          <w:lang w:val="zh-CN" w:eastAsia="zh-CN"/>
        </w:rPr>
        <w:t>须在拆除后15日内清运完毕，逾期视为放弃所有权，</w:t>
      </w:r>
      <w:r>
        <w:rPr>
          <w:rFonts w:hint="eastAsia" w:ascii="仿宋_GB2312" w:hAnsi="仿宋_GB2312" w:eastAsia="仿宋_GB2312" w:cs="仿宋_GB2312"/>
          <w:color w:val="000000"/>
          <w:kern w:val="0"/>
          <w:sz w:val="21"/>
          <w:szCs w:val="21"/>
          <w:highlight w:val="none"/>
          <w:lang w:val="en-US" w:eastAsia="zh-CN"/>
        </w:rPr>
        <w:t>招标人</w:t>
      </w:r>
      <w:r>
        <w:rPr>
          <w:rFonts w:hint="eastAsia" w:ascii="仿宋_GB2312" w:hAnsi="仿宋_GB2312" w:eastAsia="仿宋_GB2312" w:cs="仿宋_GB2312"/>
          <w:color w:val="000000"/>
          <w:kern w:val="0"/>
          <w:sz w:val="21"/>
          <w:szCs w:val="21"/>
          <w:highlight w:val="none"/>
          <w:lang w:val="zh-CN" w:eastAsia="zh-CN"/>
        </w:rPr>
        <w:t>有权处置。</w:t>
      </w:r>
    </w:p>
    <w:p>
      <w:pPr>
        <w:pageBreakBefore w:val="0"/>
        <w:widowControl/>
        <w:kinsoku/>
        <w:wordWrap/>
        <w:overflowPunct/>
        <w:topLinePunct w:val="0"/>
        <w:autoSpaceDE/>
        <w:autoSpaceDN/>
        <w:bidi w:val="0"/>
        <w:adjustRightInd/>
        <w:snapToGrid/>
        <w:spacing w:line="360" w:lineRule="auto"/>
        <w:ind w:firstLine="0"/>
        <w:jc w:val="center"/>
        <w:textAlignment w:val="auto"/>
        <w:outlineLvl w:val="0"/>
        <w:rPr>
          <w:rFonts w:hint="eastAsia" w:ascii="宋体" w:hAnsi="宋体" w:eastAsia="宋体" w:cs="宋体"/>
          <w:b/>
          <w:bCs/>
          <w:color w:val="auto"/>
          <w:sz w:val="44"/>
          <w:szCs w:val="44"/>
          <w:highlight w:val="none"/>
        </w:rPr>
      </w:pPr>
      <w:r>
        <w:rPr>
          <w:rFonts w:hint="eastAsia" w:ascii="仿宋_GB2312" w:hAnsi="仿宋_GB2312" w:eastAsia="仿宋_GB2312" w:cs="仿宋_GB2312"/>
          <w:b/>
          <w:bCs/>
          <w:color w:val="000000"/>
          <w:kern w:val="0"/>
          <w:sz w:val="21"/>
          <w:szCs w:val="21"/>
          <w:highlight w:val="none"/>
          <w:lang w:val="en-US" w:eastAsia="zh-CN"/>
        </w:rPr>
        <w:br w:type="page"/>
      </w:r>
      <w:bookmarkStart w:id="177" w:name="_Toc15351"/>
      <w:r>
        <w:rPr>
          <w:rFonts w:hint="eastAsia" w:ascii="宋体" w:hAnsi="宋体" w:eastAsia="宋体" w:cs="宋体"/>
          <w:b/>
          <w:bCs/>
          <w:color w:val="auto"/>
          <w:sz w:val="44"/>
          <w:szCs w:val="44"/>
          <w:highlight w:val="none"/>
        </w:rPr>
        <w:t>第六章 投标文件格式</w:t>
      </w:r>
      <w:bookmarkEnd w:id="169"/>
      <w:bookmarkEnd w:id="177"/>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sz w:val="30"/>
          <w:szCs w:val="30"/>
          <w:highlight w:val="none"/>
        </w:rPr>
      </w:pPr>
    </w:p>
    <w:p>
      <w:pPr>
        <w:spacing w:line="430" w:lineRule="exact"/>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（项目名称）</w:t>
      </w:r>
    </w:p>
    <w:p>
      <w:pPr>
        <w:spacing w:line="430" w:lineRule="exact"/>
        <w:rPr>
          <w:rFonts w:hint="eastAsia" w:ascii="宋体" w:hAnsi="宋体" w:eastAsia="宋体" w:cs="宋体"/>
          <w:color w:val="auto"/>
          <w:sz w:val="20"/>
          <w:highlight w:val="none"/>
        </w:rPr>
      </w:pPr>
    </w:p>
    <w:p>
      <w:pPr>
        <w:spacing w:line="430" w:lineRule="exact"/>
        <w:rPr>
          <w:rFonts w:hint="eastAsia" w:ascii="宋体" w:hAnsi="宋体" w:eastAsia="宋体" w:cs="宋体"/>
          <w:color w:val="auto"/>
          <w:sz w:val="20"/>
          <w:highlight w:val="none"/>
        </w:rPr>
      </w:pPr>
    </w:p>
    <w:p>
      <w:pPr>
        <w:spacing w:line="430" w:lineRule="exact"/>
        <w:rPr>
          <w:rFonts w:hint="eastAsia" w:ascii="宋体" w:hAnsi="宋体" w:eastAsia="宋体" w:cs="宋体"/>
          <w:color w:val="auto"/>
          <w:sz w:val="20"/>
          <w:highlight w:val="none"/>
        </w:rPr>
      </w:pPr>
    </w:p>
    <w:p>
      <w:pPr>
        <w:spacing w:line="430" w:lineRule="exact"/>
        <w:rPr>
          <w:rFonts w:hint="eastAsia" w:ascii="宋体" w:hAnsi="宋体" w:eastAsia="宋体" w:cs="宋体"/>
          <w:color w:val="auto"/>
          <w:sz w:val="20"/>
          <w:highlight w:val="none"/>
        </w:rPr>
      </w:pPr>
    </w:p>
    <w:p>
      <w:pPr>
        <w:spacing w:line="430" w:lineRule="exact"/>
        <w:jc w:val="center"/>
        <w:rPr>
          <w:rFonts w:hint="eastAsia" w:ascii="宋体" w:hAnsi="宋体" w:eastAsia="宋体" w:cs="宋体"/>
          <w:color w:val="auto"/>
          <w:sz w:val="44"/>
          <w:highlight w:val="none"/>
        </w:rPr>
      </w:pPr>
      <w:r>
        <w:rPr>
          <w:rFonts w:hint="eastAsia" w:ascii="宋体" w:hAnsi="宋体" w:eastAsia="宋体" w:cs="宋体"/>
          <w:color w:val="auto"/>
          <w:sz w:val="44"/>
          <w:highlight w:val="none"/>
        </w:rPr>
        <w:t>投 标 文 件</w:t>
      </w:r>
    </w:p>
    <w:p>
      <w:pPr>
        <w:spacing w:line="430" w:lineRule="exact"/>
        <w:jc w:val="center"/>
        <w:rPr>
          <w:rFonts w:hint="eastAsia" w:ascii="宋体" w:hAnsi="宋体" w:eastAsia="宋体" w:cs="宋体"/>
          <w:color w:val="auto"/>
          <w:sz w:val="44"/>
          <w:highlight w:val="none"/>
        </w:rPr>
      </w:pPr>
    </w:p>
    <w:p>
      <w:pPr>
        <w:spacing w:line="430" w:lineRule="exact"/>
        <w:rPr>
          <w:rFonts w:hint="eastAsia" w:ascii="宋体" w:hAnsi="宋体" w:eastAsia="宋体" w:cs="宋体"/>
          <w:color w:val="auto"/>
          <w:sz w:val="28"/>
          <w:highlight w:val="none"/>
        </w:rPr>
      </w:pPr>
    </w:p>
    <w:p>
      <w:pPr>
        <w:spacing w:line="430" w:lineRule="exact"/>
        <w:rPr>
          <w:rFonts w:hint="eastAsia" w:ascii="宋体" w:hAnsi="宋体" w:eastAsia="宋体" w:cs="宋体"/>
          <w:color w:val="auto"/>
          <w:sz w:val="28"/>
          <w:highlight w:val="none"/>
        </w:rPr>
      </w:pPr>
    </w:p>
    <w:p>
      <w:pPr>
        <w:spacing w:line="430" w:lineRule="exact"/>
        <w:rPr>
          <w:rFonts w:hint="eastAsia" w:ascii="宋体" w:hAnsi="宋体" w:eastAsia="宋体" w:cs="宋体"/>
          <w:color w:val="auto"/>
          <w:sz w:val="28"/>
          <w:highlight w:val="none"/>
        </w:rPr>
      </w:pPr>
    </w:p>
    <w:p>
      <w:pPr>
        <w:spacing w:line="430" w:lineRule="exact"/>
        <w:rPr>
          <w:rFonts w:hint="eastAsia" w:ascii="宋体" w:hAnsi="宋体" w:eastAsia="宋体" w:cs="宋体"/>
          <w:color w:val="auto"/>
          <w:sz w:val="28"/>
          <w:highlight w:val="none"/>
        </w:rPr>
      </w:pPr>
    </w:p>
    <w:p>
      <w:pPr>
        <w:spacing w:line="430" w:lineRule="exact"/>
        <w:ind w:firstLine="112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投标人：</w:t>
      </w:r>
      <w:r>
        <w:rPr>
          <w:rFonts w:hint="eastAsia" w:ascii="宋体" w:hAnsi="宋体" w:eastAsia="宋体" w:cs="宋体"/>
          <w:color w:val="auto"/>
          <w:highlight w:val="none"/>
          <w:u w:val="single"/>
        </w:rPr>
        <w:t xml:space="preserve">                                            </w:t>
      </w:r>
      <w:r>
        <w:rPr>
          <w:rFonts w:hint="eastAsia" w:ascii="宋体" w:hAnsi="宋体" w:eastAsia="宋体" w:cs="宋体"/>
          <w:color w:val="auto"/>
          <w:sz w:val="28"/>
          <w:highlight w:val="none"/>
        </w:rPr>
        <w:t>（电子签章）</w:t>
      </w:r>
    </w:p>
    <w:p>
      <w:pPr>
        <w:spacing w:line="430" w:lineRule="exact"/>
        <w:ind w:firstLine="1120"/>
        <w:jc w:val="left"/>
        <w:rPr>
          <w:rFonts w:hint="eastAsia" w:ascii="宋体" w:hAnsi="宋体" w:eastAsia="宋体" w:cs="宋体"/>
          <w:color w:val="auto"/>
          <w:sz w:val="28"/>
          <w:highlight w:val="none"/>
        </w:rPr>
      </w:pPr>
      <w:r>
        <w:rPr>
          <w:rFonts w:hint="eastAsia" w:ascii="宋体" w:hAnsi="宋体" w:eastAsia="宋体" w:cs="宋体"/>
          <w:color w:val="auto"/>
          <w:sz w:val="28"/>
          <w:highlight w:val="none"/>
        </w:rPr>
        <w:t>法定代表人或其委托代理人：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sz w:val="28"/>
          <w:highlight w:val="none"/>
        </w:rPr>
        <w:t>（电子签章或电子签名）</w:t>
      </w:r>
    </w:p>
    <w:p>
      <w:pPr>
        <w:spacing w:line="430" w:lineRule="exact"/>
        <w:jc w:val="center"/>
        <w:rPr>
          <w:rFonts w:hint="eastAsia" w:ascii="宋体" w:hAnsi="宋体" w:eastAsia="宋体" w:cs="宋体"/>
          <w:color w:val="auto"/>
          <w:sz w:val="28"/>
          <w:highlight w:val="none"/>
        </w:rPr>
      </w:pPr>
    </w:p>
    <w:p>
      <w:pPr>
        <w:spacing w:line="430" w:lineRule="exact"/>
        <w:jc w:val="center"/>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sz w:val="28"/>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sz w:val="28"/>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sz w:val="28"/>
          <w:highlight w:val="none"/>
        </w:rPr>
        <w:t>日</w:t>
      </w:r>
      <w:r>
        <w:rPr>
          <w:rFonts w:hint="eastAsia" w:ascii="宋体" w:hAnsi="宋体" w:eastAsia="宋体" w:cs="宋体"/>
          <w:color w:val="auto"/>
          <w:highlight w:val="none"/>
        </w:rPr>
        <w:t xml:space="preserve"> </w:t>
      </w: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27"/>
        <w:rPr>
          <w:rFonts w:hint="eastAsia" w:ascii="宋体" w:hAnsi="宋体" w:eastAsia="宋体" w:cs="宋体"/>
          <w:color w:val="auto"/>
          <w:highlight w:val="none"/>
        </w:rPr>
      </w:pPr>
    </w:p>
    <w:p>
      <w:pPr>
        <w:widowControl/>
        <w:spacing w:line="430" w:lineRule="exact"/>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目录</w:t>
      </w:r>
    </w:p>
    <w:p>
      <w:pPr>
        <w:spacing w:line="430" w:lineRule="exact"/>
        <w:rPr>
          <w:rFonts w:hint="eastAsia" w:ascii="宋体" w:hAnsi="宋体" w:eastAsia="宋体" w:cs="宋体"/>
          <w:color w:val="auto"/>
          <w:highlight w:val="none"/>
        </w:rPr>
      </w:pPr>
    </w:p>
    <w:p>
      <w:pPr>
        <w:widowControl w:val="0"/>
        <w:spacing w:line="430" w:lineRule="exact"/>
        <w:ind w:firstLine="0" w:firstLineChars="0"/>
        <w:jc w:val="both"/>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kern w:val="2"/>
          <w:sz w:val="21"/>
          <w:szCs w:val="22"/>
          <w:highlight w:val="none"/>
          <w:lang w:val="en-US" w:eastAsia="zh-CN" w:bidi="ar-SA"/>
        </w:rPr>
        <w:t>一、投标价（唱标）一览表</w:t>
      </w:r>
    </w:p>
    <w:p>
      <w:pPr>
        <w:widowControl w:val="0"/>
        <w:spacing w:line="430" w:lineRule="exact"/>
        <w:ind w:firstLine="0" w:firstLineChars="0"/>
        <w:jc w:val="both"/>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kern w:val="2"/>
          <w:sz w:val="21"/>
          <w:szCs w:val="22"/>
          <w:highlight w:val="none"/>
          <w:lang w:val="en-US" w:eastAsia="zh-CN" w:bidi="ar-SA"/>
        </w:rPr>
        <w:t>二、投标函</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三、法定代表人身份证明</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四、授权委托书</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五、投标保证金</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六、商务和技术偏差表</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七、分项报价表</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八、资格审查资料</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九、</w:t>
      </w:r>
      <w:r>
        <w:rPr>
          <w:rFonts w:hint="eastAsia" w:ascii="宋体" w:hAnsi="宋体" w:eastAsia="宋体" w:cs="宋体"/>
          <w:color w:val="auto"/>
          <w:highlight w:val="none"/>
          <w:lang w:val="en-US" w:eastAsia="zh-CN"/>
        </w:rPr>
        <w:t>设备选型及配置方案</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szCs w:val="21"/>
          <w:highlight w:val="none"/>
          <w:lang w:val="en-US" w:eastAsia="zh-CN"/>
        </w:rPr>
        <w:t>电梯拆除、安装施工技术方案</w:t>
      </w:r>
    </w:p>
    <w:p>
      <w:pPr>
        <w:spacing w:line="43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十一、</w:t>
      </w:r>
      <w:r>
        <w:rPr>
          <w:rFonts w:hint="eastAsia" w:ascii="宋体" w:hAnsi="宋体" w:eastAsia="宋体" w:cs="宋体"/>
          <w:color w:val="auto"/>
          <w:szCs w:val="21"/>
          <w:highlight w:val="none"/>
        </w:rPr>
        <w:t>供货、安装进度计划及保证措施</w:t>
      </w:r>
    </w:p>
    <w:p>
      <w:pPr>
        <w:spacing w:line="430" w:lineRule="exact"/>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十二、</w:t>
      </w:r>
      <w:r>
        <w:rPr>
          <w:rFonts w:hint="eastAsia" w:ascii="宋体" w:hAnsi="宋体" w:eastAsia="宋体" w:cs="宋体"/>
          <w:color w:val="auto"/>
          <w:szCs w:val="21"/>
          <w:highlight w:val="none"/>
        </w:rPr>
        <w:t>供货及安装人员安排</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cs="宋体"/>
          <w:color w:val="auto"/>
          <w:highlight w:val="none"/>
          <w:lang w:val="en-US" w:eastAsia="zh-CN"/>
        </w:rPr>
        <w:t>三</w:t>
      </w:r>
      <w:r>
        <w:rPr>
          <w:rFonts w:hint="eastAsia" w:ascii="宋体" w:hAnsi="宋体" w:eastAsia="宋体" w:cs="宋体"/>
          <w:color w:val="auto"/>
          <w:highlight w:val="none"/>
        </w:rPr>
        <w:t>、</w:t>
      </w:r>
      <w:r>
        <w:rPr>
          <w:rFonts w:hint="eastAsia" w:ascii="宋体" w:hAnsi="宋体" w:eastAsia="宋体" w:cs="宋体"/>
          <w:color w:val="auto"/>
          <w:szCs w:val="21"/>
          <w:highlight w:val="none"/>
        </w:rPr>
        <w:t>质保期售后服务承诺及售后服务人员安排</w:t>
      </w:r>
    </w:p>
    <w:p>
      <w:pPr>
        <w:spacing w:line="43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十</w:t>
      </w:r>
      <w:r>
        <w:rPr>
          <w:rFonts w:hint="eastAsia" w:ascii="宋体" w:hAnsi="宋体" w:cs="宋体"/>
          <w:color w:val="auto"/>
          <w:highlight w:val="none"/>
          <w:lang w:val="en-US" w:eastAsia="zh-CN"/>
        </w:rPr>
        <w:t>四</w:t>
      </w:r>
      <w:r>
        <w:rPr>
          <w:rFonts w:hint="eastAsia" w:ascii="宋体" w:hAnsi="宋体" w:eastAsia="宋体" w:cs="宋体"/>
          <w:color w:val="auto"/>
          <w:highlight w:val="none"/>
          <w:lang w:val="en-US" w:eastAsia="zh-CN"/>
        </w:rPr>
        <w:t>、技术支持资料</w:t>
      </w:r>
    </w:p>
    <w:p>
      <w:pPr>
        <w:spacing w:line="43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highlight w:val="none"/>
          <w:lang w:val="en-US" w:eastAsia="zh-CN"/>
        </w:rPr>
        <w:t>十</w:t>
      </w:r>
      <w:r>
        <w:rPr>
          <w:rFonts w:hint="eastAsia" w:ascii="宋体" w:hAnsi="宋体" w:cs="宋体"/>
          <w:color w:val="auto"/>
          <w:highlight w:val="none"/>
          <w:lang w:val="en-US" w:eastAsia="zh-CN"/>
        </w:rPr>
        <w:t>五</w:t>
      </w:r>
      <w:r>
        <w:rPr>
          <w:rFonts w:hint="eastAsia" w:ascii="宋体" w:hAnsi="宋体" w:eastAsia="宋体" w:cs="宋体"/>
          <w:color w:val="auto"/>
          <w:highlight w:val="none"/>
          <w:lang w:val="en-US" w:eastAsia="zh-CN"/>
        </w:rPr>
        <w:t>、原装全新产品承诺书</w:t>
      </w:r>
    </w:p>
    <w:p>
      <w:pPr>
        <w:spacing w:line="43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十</w:t>
      </w:r>
      <w:r>
        <w:rPr>
          <w:rFonts w:hint="eastAsia" w:ascii="宋体" w:hAnsi="宋体" w:cs="宋体"/>
          <w:color w:val="auto"/>
          <w:szCs w:val="21"/>
          <w:highlight w:val="none"/>
          <w:lang w:val="en-US" w:eastAsia="zh-CN"/>
        </w:rPr>
        <w:t>六、</w:t>
      </w:r>
      <w:r>
        <w:rPr>
          <w:rFonts w:hint="eastAsia" w:ascii="宋体" w:hAnsi="宋体" w:eastAsia="宋体" w:cs="宋体"/>
          <w:color w:val="auto"/>
          <w:highlight w:val="none"/>
        </w:rPr>
        <w:t>其他资料</w:t>
      </w:r>
    </w:p>
    <w:p>
      <w:pPr>
        <w:pStyle w:val="27"/>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widowControl/>
        <w:spacing w:line="430" w:lineRule="exact"/>
        <w:jc w:val="left"/>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r>
    </w:p>
    <w:p>
      <w:pPr>
        <w:spacing w:line="430" w:lineRule="exac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一、投标（唱标）一览表</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项目名称：</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招标编号：</w:t>
      </w:r>
    </w:p>
    <w:tbl>
      <w:tblPr>
        <w:tblStyle w:val="45"/>
        <w:tblW w:w="9371" w:type="dxa"/>
        <w:tblInd w:w="108" w:type="dxa"/>
        <w:tblLayout w:type="fixed"/>
        <w:tblCellMar>
          <w:top w:w="0" w:type="dxa"/>
          <w:left w:w="10" w:type="dxa"/>
          <w:bottom w:w="0" w:type="dxa"/>
          <w:right w:w="10" w:type="dxa"/>
        </w:tblCellMar>
      </w:tblPr>
      <w:tblGrid>
        <w:gridCol w:w="3703"/>
        <w:gridCol w:w="5668"/>
      </w:tblGrid>
      <w:tr>
        <w:tblPrEx>
          <w:tblCellMar>
            <w:top w:w="0" w:type="dxa"/>
            <w:left w:w="10" w:type="dxa"/>
            <w:bottom w:w="0" w:type="dxa"/>
            <w:right w:w="10" w:type="dxa"/>
          </w:tblCellMar>
        </w:tblPrEx>
        <w:trPr>
          <w:trHeight w:val="1020" w:hRule="atLeast"/>
        </w:trPr>
        <w:tc>
          <w:tcPr>
            <w:tcW w:w="370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投标总报价（含税，元）</w:t>
            </w:r>
          </w:p>
        </w:tc>
        <w:tc>
          <w:tcPr>
            <w:tcW w:w="56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元</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大写：</w:t>
            </w:r>
            <w:r>
              <w:rPr>
                <w:rFonts w:hint="eastAsia" w:ascii="宋体" w:hAnsi="宋体" w:eastAsia="宋体" w:cs="宋体"/>
                <w:color w:val="auto"/>
                <w:highlight w:val="none"/>
                <w:u w:val="single"/>
              </w:rPr>
              <w:t>人民币</w:t>
            </w:r>
            <w:r>
              <w:rPr>
                <w:rFonts w:hint="eastAsia" w:ascii="宋体" w:hAnsi="宋体" w:eastAsia="宋体" w:cs="宋体"/>
                <w:color w:val="auto"/>
                <w:highlight w:val="none"/>
              </w:rPr>
              <w:t xml:space="preserve">          </w:t>
            </w:r>
          </w:p>
        </w:tc>
      </w:tr>
      <w:tr>
        <w:tblPrEx>
          <w:tblCellMar>
            <w:top w:w="0" w:type="dxa"/>
            <w:left w:w="10" w:type="dxa"/>
            <w:bottom w:w="0" w:type="dxa"/>
            <w:right w:w="10" w:type="dxa"/>
          </w:tblCellMar>
        </w:tblPrEx>
        <w:trPr>
          <w:trHeight w:val="500" w:hRule="atLeast"/>
        </w:trPr>
        <w:tc>
          <w:tcPr>
            <w:tcW w:w="370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项目地点</w:t>
            </w:r>
          </w:p>
        </w:tc>
        <w:tc>
          <w:tcPr>
            <w:tcW w:w="56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rPr>
                <w:rFonts w:hint="eastAsia" w:ascii="宋体" w:hAnsi="宋体" w:eastAsia="宋体" w:cs="宋体"/>
                <w:color w:val="auto"/>
                <w:sz w:val="22"/>
                <w:highlight w:val="none"/>
              </w:rPr>
            </w:pPr>
          </w:p>
        </w:tc>
      </w:tr>
      <w:tr>
        <w:tblPrEx>
          <w:tblCellMar>
            <w:top w:w="0" w:type="dxa"/>
            <w:left w:w="10" w:type="dxa"/>
            <w:bottom w:w="0" w:type="dxa"/>
            <w:right w:w="10" w:type="dxa"/>
          </w:tblCellMar>
        </w:tblPrEx>
        <w:trPr>
          <w:trHeight w:val="510" w:hRule="atLeast"/>
        </w:trPr>
        <w:tc>
          <w:tcPr>
            <w:tcW w:w="370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项目完成时间</w:t>
            </w:r>
          </w:p>
        </w:tc>
        <w:tc>
          <w:tcPr>
            <w:tcW w:w="56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rPr>
                <w:rFonts w:hint="eastAsia" w:ascii="宋体" w:hAnsi="宋体" w:eastAsia="宋体" w:cs="宋体"/>
                <w:color w:val="auto"/>
                <w:sz w:val="22"/>
                <w:highlight w:val="none"/>
              </w:rPr>
            </w:pPr>
          </w:p>
        </w:tc>
      </w:tr>
      <w:tr>
        <w:tblPrEx>
          <w:tblCellMar>
            <w:top w:w="0" w:type="dxa"/>
            <w:left w:w="10" w:type="dxa"/>
            <w:bottom w:w="0" w:type="dxa"/>
            <w:right w:w="10" w:type="dxa"/>
          </w:tblCellMar>
        </w:tblPrEx>
        <w:trPr>
          <w:trHeight w:val="510" w:hRule="atLeast"/>
        </w:trPr>
        <w:tc>
          <w:tcPr>
            <w:tcW w:w="370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质量承诺</w:t>
            </w:r>
          </w:p>
        </w:tc>
        <w:tc>
          <w:tcPr>
            <w:tcW w:w="56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rPr>
                <w:rFonts w:hint="eastAsia" w:ascii="宋体" w:hAnsi="宋体" w:eastAsia="宋体" w:cs="宋体"/>
                <w:color w:val="auto"/>
                <w:sz w:val="22"/>
                <w:highlight w:val="none"/>
              </w:rPr>
            </w:pPr>
          </w:p>
        </w:tc>
      </w:tr>
      <w:tr>
        <w:tblPrEx>
          <w:tblCellMar>
            <w:top w:w="0" w:type="dxa"/>
            <w:left w:w="10" w:type="dxa"/>
            <w:bottom w:w="0" w:type="dxa"/>
            <w:right w:w="10" w:type="dxa"/>
          </w:tblCellMar>
        </w:tblPrEx>
        <w:trPr>
          <w:trHeight w:val="510" w:hRule="atLeast"/>
        </w:trPr>
        <w:tc>
          <w:tcPr>
            <w:tcW w:w="370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质量保证期</w:t>
            </w:r>
          </w:p>
        </w:tc>
        <w:tc>
          <w:tcPr>
            <w:tcW w:w="56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rPr>
                <w:rFonts w:hint="eastAsia" w:ascii="宋体" w:hAnsi="宋体" w:eastAsia="宋体" w:cs="宋体"/>
                <w:color w:val="auto"/>
                <w:sz w:val="22"/>
                <w:highlight w:val="none"/>
              </w:rPr>
            </w:pPr>
          </w:p>
        </w:tc>
      </w:tr>
      <w:tr>
        <w:tblPrEx>
          <w:tblCellMar>
            <w:top w:w="0" w:type="dxa"/>
            <w:left w:w="10" w:type="dxa"/>
            <w:bottom w:w="0" w:type="dxa"/>
            <w:right w:w="10" w:type="dxa"/>
          </w:tblCellMar>
        </w:tblPrEx>
        <w:trPr>
          <w:trHeight w:val="510" w:hRule="atLeast"/>
        </w:trPr>
        <w:tc>
          <w:tcPr>
            <w:tcW w:w="370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投标保证金</w:t>
            </w:r>
          </w:p>
        </w:tc>
        <w:tc>
          <w:tcPr>
            <w:tcW w:w="56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rPr>
                <w:rFonts w:hint="eastAsia" w:ascii="宋体" w:hAnsi="宋体" w:eastAsia="宋体" w:cs="宋体"/>
                <w:color w:val="auto"/>
                <w:sz w:val="22"/>
                <w:highlight w:val="none"/>
              </w:rPr>
            </w:pPr>
          </w:p>
        </w:tc>
      </w:tr>
      <w:tr>
        <w:tblPrEx>
          <w:tblCellMar>
            <w:top w:w="0" w:type="dxa"/>
            <w:left w:w="10" w:type="dxa"/>
            <w:bottom w:w="0" w:type="dxa"/>
            <w:right w:w="10" w:type="dxa"/>
          </w:tblCellMar>
        </w:tblPrEx>
        <w:trPr>
          <w:trHeight w:val="2029" w:hRule="atLeast"/>
        </w:trPr>
        <w:tc>
          <w:tcPr>
            <w:tcW w:w="9371"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投 标 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（电子签章）</w:t>
            </w: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法定代 表人：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（电子签章或电子签名）：</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日期：   年   月  日</w:t>
            </w:r>
          </w:p>
        </w:tc>
      </w:tr>
      <w:tr>
        <w:tblPrEx>
          <w:tblCellMar>
            <w:top w:w="0" w:type="dxa"/>
            <w:left w:w="10" w:type="dxa"/>
            <w:bottom w:w="0" w:type="dxa"/>
            <w:right w:w="10" w:type="dxa"/>
          </w:tblCellMar>
        </w:tblPrEx>
        <w:trPr>
          <w:trHeight w:val="1519" w:hRule="atLeast"/>
        </w:trPr>
        <w:tc>
          <w:tcPr>
            <w:tcW w:w="9371"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备注：</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1、此投标（唱标）一览表，投标人应放在投标文件封面后第一页。</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2、投标人不得改变唱标表内容及格式。</w:t>
            </w:r>
          </w:p>
        </w:tc>
      </w:tr>
    </w:tbl>
    <w:p>
      <w:pPr>
        <w:spacing w:line="430" w:lineRule="exact"/>
        <w:rPr>
          <w:rFonts w:hint="eastAsia" w:ascii="宋体" w:hAnsi="宋体" w:eastAsia="宋体" w:cs="宋体"/>
          <w:color w:val="auto"/>
          <w:highlight w:val="none"/>
        </w:rPr>
      </w:pPr>
    </w:p>
    <w:p>
      <w:pPr>
        <w:widowControl/>
        <w:spacing w:line="360" w:lineRule="auto"/>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r>
        <w:rPr>
          <w:rFonts w:hint="eastAsia" w:ascii="宋体" w:hAnsi="宋体" w:eastAsia="宋体" w:cs="宋体"/>
          <w:b/>
          <w:color w:val="auto"/>
          <w:sz w:val="32"/>
          <w:highlight w:val="none"/>
        </w:rPr>
        <w:t>二、投标函</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（招标人名称）：</w:t>
      </w:r>
    </w:p>
    <w:p>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1．我方已仔细研究了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（项目名称）采购招标项目招标文件的全部内容，愿意以人民币（大写）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元</w:t>
      </w:r>
      <w:r>
        <w:rPr>
          <w:rFonts w:hint="eastAsia" w:ascii="宋体" w:hAnsi="宋体" w:eastAsia="宋体" w:cs="宋体"/>
          <w:color w:val="auto"/>
          <w:highlight w:val="none"/>
        </w:rPr>
        <w:t>）的投标总报价（含税，税率13%），</w:t>
      </w:r>
      <w:r>
        <w:rPr>
          <w:rFonts w:hint="eastAsia" w:ascii="宋体" w:hAnsi="宋体" w:eastAsia="宋体" w:cs="宋体"/>
          <w:color w:val="auto"/>
          <w:highlight w:val="none"/>
          <w:lang w:val="en-US" w:eastAsia="zh-CN"/>
        </w:rPr>
        <w:t>按照招标文件要求完成本项目，</w:t>
      </w:r>
      <w:r>
        <w:rPr>
          <w:rFonts w:hint="eastAsia" w:ascii="宋体" w:hAnsi="宋体" w:eastAsia="宋体" w:cs="宋体"/>
          <w:color w:val="auto"/>
          <w:highlight w:val="none"/>
        </w:rPr>
        <w:t>并按合同约定履行义务。</w:t>
      </w:r>
    </w:p>
    <w:p>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2.我方的投标文件包括下列内容：</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（1）投标（唱标）一览表；</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（2）投标函；</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（3）法定代表人身份证明；</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（4）授权委托书；</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（5）投标保证金；</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（6）商务和技术偏差表；</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（7）分项报价表；</w:t>
      </w:r>
    </w:p>
    <w:p>
      <w:pPr>
        <w:spacing w:line="360" w:lineRule="auto"/>
        <w:ind w:firstLine="405"/>
        <w:rPr>
          <w:rFonts w:hint="eastAsia" w:ascii="宋体" w:hAnsi="宋体" w:eastAsia="宋体" w:cs="宋体"/>
          <w:color w:val="auto"/>
          <w:highlight w:val="none"/>
        </w:rPr>
      </w:pPr>
      <w:r>
        <w:rPr>
          <w:rFonts w:hint="eastAsia" w:ascii="宋体" w:hAnsi="宋体" w:eastAsia="宋体" w:cs="宋体"/>
          <w:color w:val="auto"/>
          <w:highlight w:val="none"/>
        </w:rPr>
        <w:t>（8）资格审查资料；</w:t>
      </w:r>
    </w:p>
    <w:p>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（9）</w:t>
      </w:r>
      <w:r>
        <w:rPr>
          <w:rFonts w:hint="eastAsia" w:ascii="宋体" w:hAnsi="宋体" w:eastAsia="宋体" w:cs="宋体"/>
          <w:color w:val="auto"/>
          <w:highlight w:val="none"/>
          <w:lang w:val="en-US" w:eastAsia="zh-CN"/>
        </w:rPr>
        <w:t>设备选型及配置方案</w:t>
      </w:r>
      <w:r>
        <w:rPr>
          <w:rFonts w:hint="eastAsia" w:ascii="宋体" w:hAnsi="宋体" w:eastAsia="宋体" w:cs="宋体"/>
          <w:color w:val="auto"/>
          <w:highlight w:val="none"/>
        </w:rPr>
        <w:t>；</w:t>
      </w:r>
    </w:p>
    <w:p>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（10）</w:t>
      </w:r>
      <w:r>
        <w:rPr>
          <w:rFonts w:hint="eastAsia" w:ascii="宋体" w:hAnsi="宋体" w:eastAsia="宋体" w:cs="宋体"/>
          <w:color w:val="auto"/>
          <w:szCs w:val="21"/>
          <w:highlight w:val="none"/>
          <w:lang w:val="en-US" w:eastAsia="zh-CN"/>
        </w:rPr>
        <w:t>电梯拆除、安装施工技术方案</w:t>
      </w:r>
      <w:r>
        <w:rPr>
          <w:rFonts w:hint="eastAsia" w:ascii="宋体" w:hAnsi="宋体" w:eastAsia="宋体" w:cs="宋体"/>
          <w:color w:val="auto"/>
          <w:highlight w:val="none"/>
        </w:rPr>
        <w:t>；</w:t>
      </w:r>
    </w:p>
    <w:p>
      <w:pPr>
        <w:spacing w:line="360" w:lineRule="auto"/>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（11）</w:t>
      </w:r>
      <w:r>
        <w:rPr>
          <w:rFonts w:hint="eastAsia" w:ascii="宋体" w:hAnsi="宋体" w:eastAsia="宋体" w:cs="宋体"/>
          <w:color w:val="auto"/>
          <w:szCs w:val="21"/>
          <w:highlight w:val="none"/>
        </w:rPr>
        <w:t>供货、安装进度计划及保证措施</w:t>
      </w:r>
      <w:r>
        <w:rPr>
          <w:rFonts w:hint="eastAsia" w:ascii="宋体" w:hAnsi="宋体" w:eastAsia="宋体" w:cs="宋体"/>
          <w:color w:val="auto"/>
          <w:highlight w:val="none"/>
          <w:lang w:val="en-US" w:eastAsia="zh-CN"/>
        </w:rPr>
        <w:t>；</w:t>
      </w:r>
    </w:p>
    <w:p>
      <w:pPr>
        <w:spacing w:line="360" w:lineRule="auto"/>
        <w:ind w:firstLine="420"/>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（12）</w:t>
      </w:r>
      <w:r>
        <w:rPr>
          <w:rFonts w:hint="eastAsia" w:ascii="宋体" w:hAnsi="宋体" w:eastAsia="宋体" w:cs="宋体"/>
          <w:color w:val="auto"/>
          <w:szCs w:val="21"/>
          <w:highlight w:val="none"/>
        </w:rPr>
        <w:t>供货及安装人员安排</w:t>
      </w:r>
      <w:r>
        <w:rPr>
          <w:rFonts w:hint="eastAsia" w:ascii="宋体" w:hAnsi="宋体" w:eastAsia="宋体" w:cs="宋体"/>
          <w:color w:val="auto"/>
          <w:highlight w:val="none"/>
          <w:lang w:val="en-US" w:eastAsia="zh-CN"/>
        </w:rPr>
        <w:t>；</w:t>
      </w:r>
    </w:p>
    <w:p>
      <w:pPr>
        <w:spacing w:line="360" w:lineRule="auto"/>
        <w:ind w:firstLine="42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13</w:t>
      </w:r>
      <w:r>
        <w:rPr>
          <w:rFonts w:hint="eastAsia" w:ascii="宋体" w:hAnsi="宋体" w:eastAsia="宋体" w:cs="宋体"/>
          <w:color w:val="auto"/>
          <w:highlight w:val="none"/>
          <w:lang w:eastAsia="zh-CN"/>
        </w:rPr>
        <w:t>）</w:t>
      </w:r>
      <w:r>
        <w:rPr>
          <w:rFonts w:hint="eastAsia" w:ascii="宋体" w:hAnsi="宋体" w:eastAsia="宋体" w:cs="宋体"/>
          <w:color w:val="auto"/>
          <w:szCs w:val="21"/>
          <w:highlight w:val="none"/>
        </w:rPr>
        <w:t>质保期售后服务承诺及售后服务人员安排</w:t>
      </w:r>
      <w:r>
        <w:rPr>
          <w:rFonts w:hint="eastAsia" w:ascii="宋体" w:hAnsi="宋体" w:cs="宋体"/>
          <w:color w:val="auto"/>
          <w:szCs w:val="21"/>
          <w:highlight w:val="none"/>
          <w:lang w:eastAsia="zh-CN"/>
        </w:rPr>
        <w:t>；</w:t>
      </w:r>
    </w:p>
    <w:p>
      <w:pPr>
        <w:spacing w:line="360" w:lineRule="auto"/>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（14）技术支持资料；</w:t>
      </w:r>
    </w:p>
    <w:p>
      <w:pPr>
        <w:spacing w:line="360" w:lineRule="auto"/>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（15）原装全新产品承诺书；</w:t>
      </w:r>
    </w:p>
    <w:p>
      <w:pPr>
        <w:spacing w:line="360" w:lineRule="auto"/>
        <w:ind w:firstLine="420"/>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（16）</w:t>
      </w:r>
      <w:r>
        <w:rPr>
          <w:rFonts w:hint="eastAsia" w:ascii="宋体" w:hAnsi="宋体" w:eastAsia="宋体" w:cs="宋体"/>
          <w:color w:val="auto"/>
          <w:highlight w:val="none"/>
        </w:rPr>
        <w:t>其他资料</w:t>
      </w:r>
      <w:r>
        <w:rPr>
          <w:rFonts w:hint="eastAsia" w:ascii="宋体" w:hAnsi="宋体" w:eastAsia="宋体" w:cs="宋体"/>
          <w:color w:val="auto"/>
          <w:highlight w:val="none"/>
          <w:lang w:eastAsia="zh-CN"/>
        </w:rPr>
        <w:t>。</w:t>
      </w:r>
    </w:p>
    <w:p>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投标文件的上述组成部分如存在内容不一致的，以投标函为准。</w:t>
      </w:r>
    </w:p>
    <w:p>
      <w:pPr>
        <w:pStyle w:val="27"/>
        <w:spacing w:line="360" w:lineRule="auto"/>
        <w:ind w:left="424" w:leftChars="202"/>
        <w:rPr>
          <w:rFonts w:hint="eastAsia" w:ascii="宋体" w:hAnsi="宋体" w:eastAsia="宋体" w:cs="宋体"/>
          <w:color w:val="auto"/>
          <w:kern w:val="2"/>
          <w:sz w:val="21"/>
          <w:szCs w:val="22"/>
          <w:highlight w:val="none"/>
        </w:rPr>
      </w:pPr>
      <w:r>
        <w:rPr>
          <w:rFonts w:hint="eastAsia" w:ascii="宋体" w:hAnsi="宋体" w:eastAsia="宋体" w:cs="宋体"/>
          <w:color w:val="auto"/>
          <w:kern w:val="2"/>
          <w:sz w:val="21"/>
          <w:szCs w:val="22"/>
          <w:highlight w:val="none"/>
        </w:rPr>
        <w:t>3.本投标有效期为自开标日起:  120（日历日）。</w:t>
      </w:r>
    </w:p>
    <w:p>
      <w:pPr>
        <w:pStyle w:val="27"/>
        <w:numPr>
          <w:ilvl w:val="0"/>
          <w:numId w:val="0"/>
        </w:numPr>
        <w:spacing w:line="360" w:lineRule="auto"/>
        <w:ind w:left="420" w:leftChars="0"/>
        <w:rPr>
          <w:rFonts w:hint="eastAsia" w:ascii="宋体" w:hAnsi="宋体" w:eastAsia="宋体" w:cs="宋体"/>
          <w:color w:val="auto"/>
          <w:kern w:val="2"/>
          <w:sz w:val="21"/>
          <w:szCs w:val="22"/>
          <w:highlight w:val="none"/>
        </w:rPr>
      </w:pPr>
      <w:r>
        <w:rPr>
          <w:rFonts w:hint="eastAsia" w:ascii="宋体" w:hAnsi="宋体" w:eastAsia="宋体" w:cs="宋体"/>
          <w:color w:val="auto"/>
          <w:kern w:val="2"/>
          <w:sz w:val="21"/>
          <w:szCs w:val="22"/>
          <w:highlight w:val="none"/>
          <w:lang w:val="en-US" w:eastAsia="zh-CN"/>
        </w:rPr>
        <w:t>4.</w:t>
      </w:r>
      <w:r>
        <w:rPr>
          <w:rFonts w:hint="eastAsia" w:ascii="宋体" w:hAnsi="宋体" w:eastAsia="宋体" w:cs="宋体"/>
          <w:color w:val="auto"/>
          <w:kern w:val="2"/>
          <w:sz w:val="21"/>
          <w:szCs w:val="22"/>
          <w:highlight w:val="none"/>
        </w:rPr>
        <w:t>我方承诺除商务和技术偏差表列出的偏差外，我方响应招标文件的全部要求。</w:t>
      </w:r>
    </w:p>
    <w:p>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5.我方承诺在招标文件规定的投标有效期内不撤销投标文件。</w:t>
      </w:r>
    </w:p>
    <w:p>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6.如我方中标，我方承诺：</w:t>
      </w:r>
    </w:p>
    <w:p>
      <w:pPr>
        <w:spacing w:line="360" w:lineRule="auto"/>
        <w:ind w:left="945" w:hanging="105"/>
        <w:rPr>
          <w:rFonts w:hint="eastAsia" w:ascii="宋体" w:hAnsi="宋体" w:eastAsia="宋体" w:cs="宋体"/>
          <w:color w:val="auto"/>
          <w:highlight w:val="none"/>
        </w:rPr>
      </w:pPr>
      <w:r>
        <w:rPr>
          <w:rFonts w:hint="eastAsia" w:ascii="宋体" w:hAnsi="宋体" w:eastAsia="宋体" w:cs="宋体"/>
          <w:color w:val="auto"/>
          <w:highlight w:val="none"/>
        </w:rPr>
        <w:t>（1）在收到中标通知书后，在中标通知书规定的期限内与你方签订合同；</w:t>
      </w:r>
    </w:p>
    <w:p>
      <w:pPr>
        <w:spacing w:line="360" w:lineRule="auto"/>
        <w:ind w:left="945" w:hanging="105"/>
        <w:rPr>
          <w:rFonts w:hint="eastAsia" w:ascii="宋体" w:hAnsi="宋体" w:eastAsia="宋体" w:cs="宋体"/>
          <w:color w:val="auto"/>
          <w:highlight w:val="none"/>
        </w:rPr>
      </w:pPr>
      <w:r>
        <w:rPr>
          <w:rFonts w:hint="eastAsia" w:ascii="宋体" w:hAnsi="宋体" w:eastAsia="宋体" w:cs="宋体"/>
          <w:color w:val="auto"/>
          <w:highlight w:val="none"/>
        </w:rPr>
        <w:t>（2）在签订合同时不向你方提出附加条件；</w:t>
      </w:r>
    </w:p>
    <w:p>
      <w:pPr>
        <w:spacing w:line="360" w:lineRule="auto"/>
        <w:ind w:left="945" w:hanging="105"/>
        <w:rPr>
          <w:rFonts w:hint="eastAsia" w:ascii="宋体" w:hAnsi="宋体" w:eastAsia="宋体" w:cs="宋体"/>
          <w:color w:val="auto"/>
          <w:highlight w:val="none"/>
        </w:rPr>
      </w:pPr>
      <w:r>
        <w:rPr>
          <w:rFonts w:hint="eastAsia" w:ascii="宋体" w:hAnsi="宋体" w:eastAsia="宋体" w:cs="宋体"/>
          <w:color w:val="auto"/>
          <w:highlight w:val="none"/>
        </w:rPr>
        <w:t>（3）在合同约定的期限内完成合同规定的全部义务。</w:t>
      </w:r>
    </w:p>
    <w:p>
      <w:pPr>
        <w:tabs>
          <w:tab w:val="left" w:pos="5387"/>
        </w:tabs>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7.我方在此声明，所递交的投标文件及有关资料内容完整、真实和准确，且不存在第二章“投标人须知”第1.4.3项规定的任何一种情形。</w:t>
      </w:r>
    </w:p>
    <w:p>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8.其他补充说明：</w:t>
      </w:r>
    </w:p>
    <w:p>
      <w:pPr>
        <w:spacing w:line="430" w:lineRule="exact"/>
        <w:ind w:firstLine="2520"/>
        <w:jc w:val="left"/>
        <w:rPr>
          <w:rFonts w:hint="eastAsia" w:ascii="宋体" w:hAnsi="宋体" w:eastAsia="宋体" w:cs="宋体"/>
          <w:color w:val="auto"/>
          <w:highlight w:val="none"/>
        </w:rPr>
      </w:pPr>
      <w:r>
        <w:rPr>
          <w:rFonts w:hint="eastAsia" w:ascii="宋体" w:hAnsi="宋体" w:eastAsia="宋体" w:cs="宋体"/>
          <w:color w:val="auto"/>
          <w:highlight w:val="none"/>
        </w:rPr>
        <w:t>投 标 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（电子签章）</w:t>
      </w:r>
    </w:p>
    <w:p>
      <w:pPr>
        <w:spacing w:line="43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（电子签章或电子签名）</w:t>
      </w:r>
    </w:p>
    <w:p>
      <w:pPr>
        <w:spacing w:line="430" w:lineRule="exact"/>
        <w:ind w:firstLine="2520"/>
        <w:jc w:val="left"/>
        <w:rPr>
          <w:rFonts w:hint="eastAsia" w:ascii="宋体" w:hAnsi="宋体" w:eastAsia="宋体" w:cs="宋体"/>
          <w:color w:val="auto"/>
          <w:highlight w:val="none"/>
        </w:rPr>
      </w:pPr>
      <w:r>
        <w:rPr>
          <w:rFonts w:hint="eastAsia" w:ascii="宋体" w:hAnsi="宋体" w:eastAsia="宋体" w:cs="宋体"/>
          <w:color w:val="auto"/>
          <w:highlight w:val="none"/>
        </w:rPr>
        <w:t>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p>
    <w:p>
      <w:pPr>
        <w:spacing w:line="430" w:lineRule="exact"/>
        <w:ind w:firstLine="2520"/>
        <w:jc w:val="left"/>
        <w:rPr>
          <w:rFonts w:hint="eastAsia" w:ascii="宋体" w:hAnsi="宋体" w:eastAsia="宋体" w:cs="宋体"/>
          <w:color w:val="auto"/>
          <w:highlight w:val="none"/>
        </w:rPr>
      </w:pPr>
      <w:r>
        <w:rPr>
          <w:rFonts w:hint="eastAsia" w:ascii="宋体" w:hAnsi="宋体" w:eastAsia="宋体" w:cs="宋体"/>
          <w:color w:val="auto"/>
          <w:highlight w:val="none"/>
        </w:rPr>
        <w:t>网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pPr>
        <w:spacing w:line="430" w:lineRule="exact"/>
        <w:ind w:firstLine="2520"/>
        <w:jc w:val="left"/>
        <w:rPr>
          <w:rFonts w:hint="eastAsia" w:ascii="宋体" w:hAnsi="宋体" w:eastAsia="宋体" w:cs="宋体"/>
          <w:color w:val="auto"/>
          <w:highlight w:val="none"/>
        </w:rPr>
      </w:pPr>
      <w:r>
        <w:rPr>
          <w:rFonts w:hint="eastAsia" w:ascii="宋体" w:hAnsi="宋体" w:eastAsia="宋体" w:cs="宋体"/>
          <w:color w:val="auto"/>
          <w:highlight w:val="none"/>
        </w:rPr>
        <w:t>电    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pPr>
        <w:spacing w:line="430" w:lineRule="exact"/>
        <w:ind w:firstLine="2520"/>
        <w:jc w:val="left"/>
        <w:rPr>
          <w:rFonts w:hint="eastAsia" w:ascii="宋体" w:hAnsi="宋体" w:eastAsia="宋体" w:cs="宋体"/>
          <w:color w:val="auto"/>
          <w:highlight w:val="none"/>
        </w:rPr>
      </w:pPr>
      <w:r>
        <w:rPr>
          <w:rFonts w:hint="eastAsia" w:ascii="宋体" w:hAnsi="宋体" w:eastAsia="宋体" w:cs="宋体"/>
          <w:color w:val="auto"/>
          <w:highlight w:val="none"/>
        </w:rPr>
        <w:t>传    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pPr>
        <w:spacing w:line="430" w:lineRule="exact"/>
        <w:ind w:firstLine="2520"/>
        <w:jc w:val="left"/>
        <w:rPr>
          <w:rFonts w:hint="eastAsia" w:ascii="宋体" w:hAnsi="宋体" w:eastAsia="宋体" w:cs="宋体"/>
          <w:color w:val="auto"/>
          <w:highlight w:val="none"/>
        </w:rPr>
      </w:pPr>
      <w:r>
        <w:rPr>
          <w:rFonts w:hint="eastAsia" w:ascii="宋体" w:hAnsi="宋体" w:eastAsia="宋体" w:cs="宋体"/>
          <w:color w:val="auto"/>
          <w:highlight w:val="none"/>
        </w:rPr>
        <w:t>邮政编码：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pPr>
        <w:spacing w:line="430" w:lineRule="exact"/>
        <w:ind w:firstLine="4725"/>
        <w:jc w:val="righ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sz w:val="20"/>
          <w:highlight w:val="none"/>
        </w:rPr>
      </w:pP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pPr>
        <w:spacing w:line="430" w:lineRule="exact"/>
        <w:rPr>
          <w:rFonts w:hint="eastAsia" w:ascii="宋体" w:hAnsi="宋体" w:eastAsia="宋体" w:cs="宋体"/>
          <w:color w:val="auto"/>
          <w:sz w:val="20"/>
          <w:highlight w:val="none"/>
        </w:rPr>
      </w:pPr>
    </w:p>
    <w:p>
      <w:pPr>
        <w:widowControl/>
        <w:spacing w:line="430" w:lineRule="exact"/>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r>
        <w:rPr>
          <w:rFonts w:hint="eastAsia" w:ascii="宋体" w:hAnsi="宋体" w:eastAsia="宋体" w:cs="宋体"/>
          <w:b/>
          <w:color w:val="auto"/>
          <w:sz w:val="32"/>
          <w:highlight w:val="none"/>
        </w:rPr>
        <w:t>三、法定代表人身份证明</w:t>
      </w:r>
    </w:p>
    <w:p>
      <w:pPr>
        <w:spacing w:line="430" w:lineRule="exact"/>
        <w:rPr>
          <w:rFonts w:hint="eastAsia" w:ascii="宋体" w:hAnsi="宋体" w:eastAsia="宋体" w:cs="宋体"/>
          <w:color w:val="auto"/>
          <w:sz w:val="20"/>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投标人名称：</w:t>
      </w:r>
      <w:r>
        <w:rPr>
          <w:rFonts w:hint="eastAsia" w:ascii="宋体" w:hAnsi="宋体" w:eastAsia="宋体" w:cs="宋体"/>
          <w:color w:val="auto"/>
          <w:highlight w:val="none"/>
          <w:u w:val="single"/>
        </w:rPr>
        <w:t xml:space="preserve">                </w:t>
      </w:r>
    </w:p>
    <w:p>
      <w:pPr>
        <w:spacing w:line="43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姓名：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性别：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职务：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系</w:t>
      </w:r>
      <w:r>
        <w:rPr>
          <w:rFonts w:hint="eastAsia" w:ascii="宋体" w:hAnsi="宋体" w:eastAsia="宋体" w:cs="宋体"/>
          <w:color w:val="auto"/>
          <w:highlight w:val="none"/>
          <w:u w:val="single"/>
        </w:rPr>
        <w:t xml:space="preserve">                        （投标人名称）</w:t>
      </w:r>
      <w:r>
        <w:rPr>
          <w:rFonts w:hint="eastAsia" w:ascii="宋体" w:hAnsi="宋体" w:eastAsia="宋体" w:cs="宋体"/>
          <w:color w:val="auto"/>
          <w:highlight w:val="none"/>
        </w:rPr>
        <w:t>的法定代表人。</w:t>
      </w:r>
    </w:p>
    <w:p>
      <w:pPr>
        <w:spacing w:line="43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特此证明。</w:t>
      </w: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附：法定代表人身份证正反面扫描印件。</w:t>
      </w: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（电子签章）</w:t>
      </w:r>
    </w:p>
    <w:p>
      <w:pPr>
        <w:spacing w:line="430" w:lineRule="exact"/>
        <w:rPr>
          <w:rFonts w:hint="eastAsia" w:ascii="宋体" w:hAnsi="宋体" w:eastAsia="宋体" w:cs="宋体"/>
          <w:color w:val="auto"/>
          <w:highlight w:val="none"/>
        </w:rPr>
      </w:pPr>
    </w:p>
    <w:p>
      <w:pPr>
        <w:spacing w:line="430" w:lineRule="exact"/>
        <w:ind w:firstLine="462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pPr>
        <w:spacing w:line="430" w:lineRule="exact"/>
        <w:rPr>
          <w:rFonts w:hint="eastAsia" w:ascii="宋体" w:hAnsi="宋体" w:eastAsia="宋体" w:cs="宋体"/>
          <w:color w:val="auto"/>
          <w:sz w:val="20"/>
          <w:highlight w:val="none"/>
        </w:rPr>
      </w:pPr>
    </w:p>
    <w:p>
      <w:pPr>
        <w:spacing w:line="430" w:lineRule="exact"/>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p>
    <w:p>
      <w:pPr>
        <w:spacing w:line="430" w:lineRule="exact"/>
        <w:jc w:val="center"/>
        <w:rPr>
          <w:rFonts w:hint="eastAsia" w:ascii="宋体" w:hAnsi="宋体" w:eastAsia="宋体" w:cs="宋体"/>
          <w:color w:val="auto"/>
          <w:sz w:val="20"/>
          <w:highlight w:val="none"/>
        </w:rPr>
      </w:pPr>
    </w:p>
    <w:p>
      <w:pPr>
        <w:widowControl/>
        <w:spacing w:line="430" w:lineRule="exact"/>
        <w:jc w:val="center"/>
        <w:rPr>
          <w:rFonts w:hint="eastAsia" w:ascii="宋体" w:hAnsi="宋体" w:eastAsia="宋体" w:cs="宋体"/>
          <w:color w:val="auto"/>
          <w:highlight w:val="none"/>
        </w:rPr>
      </w:pPr>
      <w:r>
        <w:rPr>
          <w:rFonts w:hint="eastAsia" w:ascii="宋体" w:hAnsi="宋体" w:eastAsia="宋体" w:cs="宋体"/>
          <w:b/>
          <w:color w:val="auto"/>
          <w:sz w:val="32"/>
          <w:highlight w:val="none"/>
        </w:rPr>
        <w:br w:type="page"/>
      </w:r>
      <w:r>
        <w:rPr>
          <w:rFonts w:hint="eastAsia" w:ascii="宋体" w:hAnsi="宋体" w:eastAsia="宋体" w:cs="宋体"/>
          <w:b/>
          <w:color w:val="auto"/>
          <w:sz w:val="32"/>
          <w:highlight w:val="none"/>
        </w:rPr>
        <w:t>四、授权委托书</w:t>
      </w:r>
    </w:p>
    <w:p>
      <w:pPr>
        <w:spacing w:line="43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（姓名）系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（投标人名称）的法定代表人，现委托</w:t>
      </w:r>
      <w:r>
        <w:rPr>
          <w:rFonts w:hint="eastAsia" w:ascii="宋体" w:hAnsi="宋体" w:eastAsia="宋体" w:cs="宋体"/>
          <w:color w:val="auto"/>
          <w:highlight w:val="none"/>
          <w:u w:val="single"/>
        </w:rPr>
        <w:t xml:space="preserve">（姓名）   </w:t>
      </w:r>
      <w:r>
        <w:rPr>
          <w:rFonts w:hint="eastAsia" w:ascii="宋体" w:hAnsi="宋体" w:eastAsia="宋体" w:cs="宋体"/>
          <w:color w:val="auto"/>
          <w:highlight w:val="none"/>
        </w:rPr>
        <w:t>为我方代理人。代理人根据授权，以我方名义签署、澄清确认、递交、撤回、修改本招标项目投标文件、签订合同和处理有关事宜，其法律后果由我方承担。</w:t>
      </w:r>
    </w:p>
    <w:p>
      <w:pPr>
        <w:spacing w:line="43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委托期限：</w:t>
      </w:r>
      <w:r>
        <w:rPr>
          <w:rFonts w:hint="eastAsia" w:ascii="宋体" w:hAnsi="宋体" w:eastAsia="宋体" w:cs="宋体"/>
          <w:color w:val="auto"/>
          <w:highlight w:val="none"/>
          <w:lang w:val="en-US" w:eastAsia="zh-CN"/>
        </w:rPr>
        <w:t>自本委托书签署之日起至投标有效期满</w:t>
      </w:r>
      <w:r>
        <w:rPr>
          <w:rFonts w:hint="eastAsia" w:ascii="宋体" w:hAnsi="宋体" w:eastAsia="宋体" w:cs="宋体"/>
          <w:color w:val="auto"/>
          <w:highlight w:val="none"/>
        </w:rPr>
        <w:t>。</w:t>
      </w:r>
    </w:p>
    <w:p>
      <w:pPr>
        <w:spacing w:line="43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代理人无转委托权。</w:t>
      </w:r>
    </w:p>
    <w:p>
      <w:pPr>
        <w:spacing w:line="430" w:lineRule="exact"/>
        <w:ind w:firstLine="420"/>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附：委托代理人身份证正反面扫描件</w:t>
      </w: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ind w:firstLine="2692"/>
        <w:rPr>
          <w:rFonts w:hint="eastAsia" w:ascii="宋体" w:hAnsi="宋体" w:eastAsia="宋体" w:cs="宋体"/>
          <w:color w:val="auto"/>
          <w:highlight w:val="none"/>
        </w:rPr>
      </w:pPr>
      <w:r>
        <w:rPr>
          <w:rFonts w:hint="eastAsia" w:ascii="宋体" w:hAnsi="宋体" w:eastAsia="宋体" w:cs="宋体"/>
          <w:color w:val="auto"/>
          <w:highlight w:val="none"/>
        </w:rPr>
        <w:t>投  标  人：</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（电子签章）</w:t>
      </w:r>
    </w:p>
    <w:p>
      <w:pPr>
        <w:spacing w:line="430" w:lineRule="exact"/>
        <w:ind w:firstLine="2692"/>
        <w:rPr>
          <w:rFonts w:hint="eastAsia" w:ascii="宋体" w:hAnsi="宋体" w:eastAsia="宋体" w:cs="宋体"/>
          <w:color w:val="auto"/>
          <w:highlight w:val="none"/>
        </w:rPr>
      </w:pPr>
    </w:p>
    <w:p>
      <w:pPr>
        <w:spacing w:line="430" w:lineRule="exact"/>
        <w:ind w:firstLine="2690"/>
        <w:jc w:val="left"/>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（电子签章或电子签名）</w:t>
      </w:r>
    </w:p>
    <w:p>
      <w:pPr>
        <w:spacing w:line="430" w:lineRule="exact"/>
        <w:ind w:firstLine="2692"/>
        <w:rPr>
          <w:rFonts w:hint="eastAsia" w:ascii="宋体" w:hAnsi="宋体" w:eastAsia="宋体" w:cs="宋体"/>
          <w:color w:val="auto"/>
          <w:highlight w:val="none"/>
        </w:rPr>
      </w:pPr>
    </w:p>
    <w:p>
      <w:pPr>
        <w:spacing w:line="430" w:lineRule="exact"/>
        <w:ind w:firstLine="2692"/>
        <w:rPr>
          <w:rFonts w:hint="eastAsia" w:ascii="宋体" w:hAnsi="宋体" w:eastAsia="宋体" w:cs="宋体"/>
          <w:color w:val="auto"/>
          <w:highlight w:val="none"/>
        </w:rPr>
      </w:pPr>
      <w:r>
        <w:rPr>
          <w:rFonts w:hint="eastAsia" w:ascii="宋体" w:hAnsi="宋体" w:eastAsia="宋体" w:cs="宋体"/>
          <w:color w:val="auto"/>
          <w:highlight w:val="none"/>
        </w:rPr>
        <w:t>身份证号码：</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p>
    <w:p>
      <w:pPr>
        <w:spacing w:line="430" w:lineRule="exact"/>
        <w:ind w:firstLine="2692"/>
        <w:rPr>
          <w:rFonts w:hint="eastAsia" w:ascii="宋体" w:hAnsi="宋体" w:eastAsia="宋体" w:cs="宋体"/>
          <w:color w:val="auto"/>
          <w:highlight w:val="none"/>
        </w:rPr>
      </w:pPr>
    </w:p>
    <w:p>
      <w:pPr>
        <w:spacing w:line="430" w:lineRule="exact"/>
        <w:ind w:firstLine="2692"/>
        <w:rPr>
          <w:rFonts w:hint="eastAsia" w:ascii="宋体" w:hAnsi="宋体" w:eastAsia="宋体" w:cs="宋体"/>
          <w:color w:val="auto"/>
          <w:highlight w:val="none"/>
        </w:rPr>
      </w:pPr>
      <w:r>
        <w:rPr>
          <w:rFonts w:hint="eastAsia" w:ascii="宋体" w:hAnsi="宋体" w:eastAsia="宋体" w:cs="宋体"/>
          <w:color w:val="auto"/>
          <w:highlight w:val="none"/>
        </w:rPr>
        <w:t>委托代理人：</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（签字）</w:t>
      </w:r>
    </w:p>
    <w:p>
      <w:pPr>
        <w:spacing w:line="430" w:lineRule="exact"/>
        <w:ind w:firstLine="2692"/>
        <w:rPr>
          <w:rFonts w:hint="eastAsia" w:ascii="宋体" w:hAnsi="宋体" w:eastAsia="宋体" w:cs="宋体"/>
          <w:color w:val="auto"/>
          <w:highlight w:val="none"/>
        </w:rPr>
      </w:pPr>
    </w:p>
    <w:p>
      <w:pPr>
        <w:spacing w:line="430" w:lineRule="exact"/>
        <w:ind w:firstLine="2692"/>
        <w:rPr>
          <w:rFonts w:hint="eastAsia" w:ascii="宋体" w:hAnsi="宋体" w:eastAsia="宋体" w:cs="宋体"/>
          <w:color w:val="auto"/>
          <w:highlight w:val="none"/>
        </w:rPr>
      </w:pPr>
      <w:r>
        <w:rPr>
          <w:rFonts w:hint="eastAsia" w:ascii="宋体" w:hAnsi="宋体" w:eastAsia="宋体" w:cs="宋体"/>
          <w:color w:val="auto"/>
          <w:highlight w:val="none"/>
        </w:rPr>
        <w:t>身份证号码：</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p>
    <w:p>
      <w:pPr>
        <w:spacing w:line="430" w:lineRule="exact"/>
        <w:ind w:firstLine="2692"/>
        <w:rPr>
          <w:rFonts w:hint="eastAsia" w:ascii="宋体" w:hAnsi="宋体" w:eastAsia="宋体" w:cs="宋体"/>
          <w:color w:val="auto"/>
          <w:highlight w:val="none"/>
        </w:rPr>
      </w:pPr>
    </w:p>
    <w:p>
      <w:pPr>
        <w:spacing w:line="430" w:lineRule="exact"/>
        <w:ind w:firstLine="4057"/>
        <w:jc w:val="righ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pPr>
        <w:pStyle w:val="43"/>
        <w:rPr>
          <w:rFonts w:hint="eastAsia" w:ascii="宋体" w:hAnsi="宋体" w:eastAsia="宋体" w:cs="宋体"/>
          <w:color w:val="auto"/>
          <w:highlight w:val="none"/>
        </w:rPr>
      </w:pPr>
    </w:p>
    <w:p>
      <w:pPr>
        <w:spacing w:line="430" w:lineRule="exact"/>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注：本授权委托书需由投标人加盖单位电子签章、法定代表人电子签章（或电子签名）和委托代理人签字。（提示：可由委托代理人在打印件上签字后扫描上传至编制系统，再加盖单位电子签章、法定代表人电子签章（或电子签名）</w:t>
      </w:r>
    </w:p>
    <w:p>
      <w:pPr>
        <w:spacing w:line="430" w:lineRule="exact"/>
        <w:ind w:right="420"/>
        <w:jc w:val="center"/>
        <w:rPr>
          <w:rFonts w:hint="eastAsia" w:ascii="宋体" w:hAnsi="宋体" w:eastAsia="宋体" w:cs="宋体"/>
          <w:b/>
          <w:color w:val="auto"/>
          <w:sz w:val="32"/>
          <w:highlight w:val="none"/>
        </w:rPr>
      </w:pPr>
    </w:p>
    <w:p>
      <w:pPr>
        <w:spacing w:line="430" w:lineRule="exact"/>
        <w:ind w:right="420"/>
        <w:jc w:val="center"/>
        <w:rPr>
          <w:rFonts w:hint="eastAsia" w:ascii="宋体" w:hAnsi="宋体" w:eastAsia="宋体" w:cs="宋体"/>
          <w:b/>
          <w:color w:val="auto"/>
          <w:sz w:val="32"/>
          <w:highlight w:val="none"/>
        </w:rPr>
      </w:pPr>
    </w:p>
    <w:p>
      <w:pPr>
        <w:pStyle w:val="43"/>
        <w:rPr>
          <w:rFonts w:hint="eastAsia" w:ascii="宋体" w:hAnsi="宋体" w:eastAsia="宋体" w:cs="宋体"/>
          <w:b/>
          <w:color w:val="auto"/>
          <w:sz w:val="32"/>
          <w:highlight w:val="none"/>
        </w:rPr>
      </w:pPr>
    </w:p>
    <w:p>
      <w:pPr>
        <w:rPr>
          <w:rFonts w:hint="eastAsia" w:ascii="宋体" w:hAnsi="宋体" w:eastAsia="宋体" w:cs="宋体"/>
          <w:b/>
          <w:color w:val="auto"/>
          <w:sz w:val="32"/>
          <w:highlight w:val="none"/>
        </w:rPr>
      </w:pPr>
    </w:p>
    <w:p>
      <w:pPr>
        <w:pStyle w:val="43"/>
        <w:rPr>
          <w:rFonts w:hint="eastAsia" w:ascii="宋体" w:hAnsi="宋体" w:eastAsia="宋体" w:cs="宋体"/>
          <w:b/>
          <w:color w:val="auto"/>
          <w:sz w:val="32"/>
          <w:highlight w:val="none"/>
        </w:rPr>
      </w:pPr>
    </w:p>
    <w:p>
      <w:pPr>
        <w:rPr>
          <w:rFonts w:hint="eastAsia" w:ascii="宋体" w:hAnsi="宋体" w:eastAsia="宋体" w:cs="宋体"/>
          <w:b/>
          <w:color w:val="auto"/>
          <w:sz w:val="32"/>
          <w:highlight w:val="none"/>
        </w:rPr>
      </w:pPr>
    </w:p>
    <w:p>
      <w:pPr>
        <w:pStyle w:val="43"/>
        <w:rPr>
          <w:rFonts w:hint="eastAsia" w:ascii="宋体" w:hAnsi="宋体" w:eastAsia="宋体" w:cs="宋体"/>
          <w:color w:val="auto"/>
          <w:highlight w:val="none"/>
        </w:rPr>
      </w:pPr>
    </w:p>
    <w:p>
      <w:pPr>
        <w:spacing w:line="430" w:lineRule="exact"/>
        <w:ind w:right="42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五、投标保证金</w:t>
      </w:r>
    </w:p>
    <w:p>
      <w:pPr>
        <w:spacing w:line="430" w:lineRule="exact"/>
        <w:rPr>
          <w:rFonts w:hint="eastAsia" w:ascii="宋体" w:hAnsi="宋体" w:eastAsia="宋体" w:cs="宋体"/>
          <w:color w:val="auto"/>
          <w:highlight w:val="none"/>
        </w:rPr>
      </w:pP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rPr>
        <w:t>（招标人名称）：</w:t>
      </w:r>
    </w:p>
    <w:p>
      <w:pPr>
        <w:spacing w:line="430" w:lineRule="exact"/>
        <w:rPr>
          <w:rFonts w:hint="eastAsia" w:ascii="宋体" w:hAnsi="宋体" w:eastAsia="宋体" w:cs="宋体"/>
          <w:color w:val="auto"/>
          <w:highlight w:val="none"/>
        </w:rPr>
      </w:pPr>
    </w:p>
    <w:p>
      <w:pPr>
        <w:spacing w:line="43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我方于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项目名称）招标的投标，现保证：我方在规定的投标有效期内撤销或修改投标文件的，或者在收到中标通知书后无正当理由拒签合同或拒交规定履约担保的，投标保证金不予退还。</w:t>
      </w: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ind w:firstLine="2730" w:firstLineChars="1300"/>
        <w:jc w:val="left"/>
        <w:rPr>
          <w:rFonts w:hint="eastAsia" w:ascii="宋体" w:hAnsi="宋体" w:eastAsia="宋体" w:cs="宋体"/>
          <w:color w:val="auto"/>
          <w:highlight w:val="none"/>
        </w:rPr>
      </w:pPr>
      <w:r>
        <w:rPr>
          <w:rFonts w:hint="eastAsia" w:ascii="宋体" w:hAnsi="宋体" w:eastAsia="宋体" w:cs="宋体"/>
          <w:color w:val="auto"/>
          <w:highlight w:val="none"/>
        </w:rPr>
        <w:t>投 标 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（电子签章）</w:t>
      </w:r>
    </w:p>
    <w:p>
      <w:pPr>
        <w:spacing w:line="430" w:lineRule="exact"/>
        <w:ind w:firstLine="2730" w:firstLineChars="1300"/>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（电子签章或电子签名）</w:t>
      </w:r>
    </w:p>
    <w:p>
      <w:pPr>
        <w:spacing w:line="430" w:lineRule="exact"/>
        <w:ind w:firstLine="2786" w:firstLineChars="1327"/>
        <w:rPr>
          <w:rFonts w:hint="eastAsia" w:ascii="宋体" w:hAnsi="宋体" w:eastAsia="宋体" w:cs="宋体"/>
          <w:color w:val="auto"/>
          <w:highlight w:val="none"/>
        </w:rPr>
      </w:pPr>
      <w:r>
        <w:rPr>
          <w:rFonts w:hint="eastAsia" w:ascii="宋体" w:hAnsi="宋体" w:eastAsia="宋体" w:cs="宋体"/>
          <w:color w:val="auto"/>
          <w:highlight w:val="none"/>
        </w:rPr>
        <w:t>地    址：</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p>
    <w:p>
      <w:pPr>
        <w:spacing w:line="430" w:lineRule="exact"/>
        <w:ind w:firstLine="2786" w:firstLineChars="1327"/>
        <w:rPr>
          <w:rFonts w:hint="eastAsia" w:ascii="宋体" w:hAnsi="宋体" w:eastAsia="宋体" w:cs="宋体"/>
          <w:color w:val="auto"/>
          <w:highlight w:val="none"/>
          <w:u w:val="single"/>
        </w:rPr>
      </w:pPr>
      <w:r>
        <w:rPr>
          <w:rFonts w:hint="eastAsia" w:ascii="宋体" w:hAnsi="宋体" w:eastAsia="宋体" w:cs="宋体"/>
          <w:color w:val="auto"/>
          <w:highlight w:val="none"/>
        </w:rPr>
        <w:t>邮政编码：</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p>
    <w:p>
      <w:pPr>
        <w:spacing w:line="430" w:lineRule="exact"/>
        <w:ind w:firstLine="2730" w:firstLineChars="1300"/>
        <w:rPr>
          <w:rFonts w:hint="eastAsia" w:ascii="宋体" w:hAnsi="宋体" w:eastAsia="宋体" w:cs="宋体"/>
          <w:color w:val="auto"/>
          <w:highlight w:val="none"/>
        </w:rPr>
      </w:pPr>
      <w:r>
        <w:rPr>
          <w:rFonts w:hint="eastAsia" w:ascii="宋体" w:hAnsi="宋体" w:eastAsia="宋体" w:cs="宋体"/>
          <w:color w:val="auto"/>
          <w:highlight w:val="none"/>
        </w:rPr>
        <w:t>电    话：</w:t>
      </w:r>
    </w:p>
    <w:p>
      <w:pPr>
        <w:spacing w:line="430" w:lineRule="exact"/>
        <w:ind w:firstLine="2730" w:firstLineChars="130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pPr>
        <w:spacing w:line="430" w:lineRule="exact"/>
        <w:ind w:firstLine="3045" w:firstLineChars="1450"/>
        <w:rPr>
          <w:rFonts w:hint="eastAsia" w:ascii="宋体" w:hAnsi="宋体" w:eastAsia="宋体" w:cs="宋体"/>
          <w:color w:val="auto"/>
          <w:highlight w:val="none"/>
        </w:rPr>
      </w:pPr>
    </w:p>
    <w:p>
      <w:pPr>
        <w:spacing w:line="430" w:lineRule="exact"/>
        <w:ind w:firstLine="2159"/>
        <w:jc w:val="right"/>
        <w:rPr>
          <w:rFonts w:hint="eastAsia" w:ascii="宋体" w:hAnsi="宋体" w:eastAsia="宋体" w:cs="宋体"/>
          <w:color w:val="auto"/>
          <w:highlight w:val="none"/>
          <w:u w:val="single"/>
        </w:rPr>
      </w:pPr>
    </w:p>
    <w:p>
      <w:pPr>
        <w:spacing w:line="430" w:lineRule="exact"/>
        <w:ind w:firstLine="2159"/>
        <w:rPr>
          <w:rFonts w:hint="eastAsia" w:ascii="宋体" w:hAnsi="宋体" w:eastAsia="宋体" w:cs="宋体"/>
          <w:color w:val="auto"/>
          <w:highlight w:val="none"/>
        </w:rPr>
      </w:pPr>
    </w:p>
    <w:p>
      <w:pPr>
        <w:spacing w:line="430" w:lineRule="exact"/>
        <w:ind w:firstLine="420"/>
        <w:rPr>
          <w:rFonts w:hint="eastAsia" w:ascii="宋体" w:hAnsi="宋体" w:eastAsia="宋体" w:cs="宋体"/>
          <w:color w:val="auto"/>
          <w:highlight w:val="none"/>
        </w:rPr>
      </w:pPr>
    </w:p>
    <w:p>
      <w:pPr>
        <w:spacing w:line="430" w:lineRule="exact"/>
        <w:ind w:firstLine="2159"/>
        <w:jc w:val="right"/>
        <w:rPr>
          <w:rFonts w:hint="eastAsia" w:ascii="宋体" w:hAnsi="宋体" w:eastAsia="宋体" w:cs="宋体"/>
          <w:color w:val="auto"/>
          <w:highlight w:val="none"/>
          <w:u w:val="single"/>
        </w:rPr>
      </w:pPr>
    </w:p>
    <w:p>
      <w:pPr>
        <w:spacing w:line="430" w:lineRule="exact"/>
        <w:ind w:firstLine="2159"/>
        <w:rPr>
          <w:rFonts w:hint="eastAsia" w:ascii="宋体" w:hAnsi="宋体" w:eastAsia="宋体" w:cs="宋体"/>
          <w:color w:val="auto"/>
          <w:highlight w:val="none"/>
        </w:rPr>
      </w:pPr>
    </w:p>
    <w:p>
      <w:pPr>
        <w:keepNext/>
        <w:keepLines/>
        <w:spacing w:line="430" w:lineRule="exact"/>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r>
        <w:rPr>
          <w:rFonts w:hint="eastAsia" w:ascii="宋体" w:hAnsi="宋体" w:eastAsia="宋体" w:cs="宋体"/>
          <w:b/>
          <w:color w:val="auto"/>
          <w:sz w:val="32"/>
          <w:highlight w:val="none"/>
        </w:rPr>
        <w:t>六、商务和技术偏差表</w:t>
      </w:r>
    </w:p>
    <w:tbl>
      <w:tblPr>
        <w:tblStyle w:val="45"/>
        <w:tblW w:w="9587" w:type="dxa"/>
        <w:jc w:val="center"/>
        <w:tblLayout w:type="fixed"/>
        <w:tblCellMar>
          <w:top w:w="0" w:type="dxa"/>
          <w:left w:w="10" w:type="dxa"/>
          <w:bottom w:w="0" w:type="dxa"/>
          <w:right w:w="10" w:type="dxa"/>
        </w:tblCellMar>
      </w:tblPr>
      <w:tblGrid>
        <w:gridCol w:w="651"/>
        <w:gridCol w:w="3440"/>
        <w:gridCol w:w="1908"/>
        <w:gridCol w:w="1956"/>
        <w:gridCol w:w="1632"/>
      </w:tblGrid>
      <w:tr>
        <w:tblPrEx>
          <w:tblCellMar>
            <w:top w:w="0" w:type="dxa"/>
            <w:left w:w="10" w:type="dxa"/>
            <w:bottom w:w="0" w:type="dxa"/>
            <w:right w:w="10" w:type="dxa"/>
          </w:tblCellMar>
        </w:tblPrEx>
        <w:trPr>
          <w:trHeight w:val="226" w:hRule="atLeast"/>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序号</w:t>
            </w:r>
          </w:p>
        </w:tc>
        <w:tc>
          <w:tcPr>
            <w:tcW w:w="34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招标文件章节及条款号</w:t>
            </w:r>
          </w:p>
        </w:tc>
        <w:tc>
          <w:tcPr>
            <w:tcW w:w="190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投标文件章节及条款号</w:t>
            </w:r>
          </w:p>
        </w:tc>
        <w:tc>
          <w:tcPr>
            <w:tcW w:w="195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偏差说明</w:t>
            </w:r>
          </w:p>
        </w:tc>
        <w:tc>
          <w:tcPr>
            <w:tcW w:w="16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备注</w:t>
            </w:r>
          </w:p>
        </w:tc>
      </w:tr>
      <w:tr>
        <w:tblPrEx>
          <w:tblCellMar>
            <w:top w:w="0" w:type="dxa"/>
            <w:left w:w="10" w:type="dxa"/>
            <w:bottom w:w="0" w:type="dxa"/>
            <w:right w:w="10" w:type="dxa"/>
          </w:tblCellMar>
        </w:tblPrEx>
        <w:trPr>
          <w:trHeight w:val="660" w:hRule="atLeast"/>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34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76" w:lineRule="auto"/>
              <w:ind w:right="-71" w:rightChars="-34"/>
              <w:jc w:val="left"/>
              <w:rPr>
                <w:rFonts w:hint="eastAsia" w:ascii="宋体" w:hAnsi="宋体" w:eastAsia="宋体" w:cs="宋体"/>
                <w:color w:val="auto"/>
                <w:sz w:val="18"/>
                <w:szCs w:val="18"/>
                <w:highlight w:val="none"/>
                <w:lang w:val="en-US" w:eastAsia="zh-CN"/>
              </w:rPr>
            </w:pPr>
          </w:p>
        </w:tc>
        <w:tc>
          <w:tcPr>
            <w:tcW w:w="190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p>
        </w:tc>
        <w:tc>
          <w:tcPr>
            <w:tcW w:w="195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p>
        </w:tc>
        <w:tc>
          <w:tcPr>
            <w:tcW w:w="16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left"/>
              <w:rPr>
                <w:rFonts w:hint="eastAsia" w:ascii="宋体" w:hAnsi="宋体" w:eastAsia="宋体" w:cs="宋体"/>
                <w:color w:val="auto"/>
                <w:sz w:val="18"/>
                <w:szCs w:val="18"/>
                <w:highlight w:val="none"/>
              </w:rPr>
            </w:pPr>
          </w:p>
        </w:tc>
      </w:tr>
      <w:tr>
        <w:tblPrEx>
          <w:tblCellMar>
            <w:top w:w="0" w:type="dxa"/>
            <w:left w:w="10" w:type="dxa"/>
            <w:bottom w:w="0" w:type="dxa"/>
            <w:right w:w="10" w:type="dxa"/>
          </w:tblCellMar>
        </w:tblPrEx>
        <w:trPr>
          <w:trHeight w:val="383" w:hRule="atLeast"/>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34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left"/>
              <w:rPr>
                <w:rFonts w:hint="eastAsia" w:ascii="宋体" w:hAnsi="宋体" w:eastAsia="宋体" w:cs="宋体"/>
                <w:color w:val="auto"/>
                <w:sz w:val="18"/>
                <w:szCs w:val="18"/>
                <w:highlight w:val="none"/>
                <w:lang w:eastAsia="zh-CN"/>
              </w:rPr>
            </w:pPr>
          </w:p>
        </w:tc>
        <w:tc>
          <w:tcPr>
            <w:tcW w:w="190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p>
        </w:tc>
        <w:tc>
          <w:tcPr>
            <w:tcW w:w="195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p>
        </w:tc>
        <w:tc>
          <w:tcPr>
            <w:tcW w:w="16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left"/>
              <w:rPr>
                <w:rFonts w:hint="eastAsia" w:ascii="宋体" w:hAnsi="宋体" w:eastAsia="宋体" w:cs="宋体"/>
                <w:color w:val="auto"/>
                <w:sz w:val="18"/>
                <w:szCs w:val="18"/>
                <w:highlight w:val="none"/>
              </w:rPr>
            </w:pPr>
          </w:p>
        </w:tc>
      </w:tr>
      <w:tr>
        <w:tblPrEx>
          <w:tblCellMar>
            <w:top w:w="0" w:type="dxa"/>
            <w:left w:w="10" w:type="dxa"/>
            <w:bottom w:w="0" w:type="dxa"/>
            <w:right w:w="10" w:type="dxa"/>
          </w:tblCellMar>
        </w:tblPrEx>
        <w:trPr>
          <w:trHeight w:val="189" w:hRule="atLeast"/>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34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left"/>
              <w:rPr>
                <w:rFonts w:hint="eastAsia" w:ascii="宋体" w:hAnsi="宋体" w:eastAsia="宋体" w:cs="宋体"/>
                <w:color w:val="auto"/>
                <w:sz w:val="18"/>
                <w:szCs w:val="18"/>
                <w:highlight w:val="none"/>
                <w:lang w:eastAsia="zh-CN"/>
              </w:rPr>
            </w:pPr>
          </w:p>
        </w:tc>
        <w:tc>
          <w:tcPr>
            <w:tcW w:w="190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p>
        </w:tc>
        <w:tc>
          <w:tcPr>
            <w:tcW w:w="195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p>
        </w:tc>
        <w:tc>
          <w:tcPr>
            <w:tcW w:w="16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left"/>
              <w:rPr>
                <w:rFonts w:hint="eastAsia" w:ascii="宋体" w:hAnsi="宋体" w:eastAsia="宋体" w:cs="宋体"/>
                <w:color w:val="auto"/>
                <w:sz w:val="18"/>
                <w:szCs w:val="18"/>
                <w:highlight w:val="none"/>
              </w:rPr>
            </w:pPr>
          </w:p>
        </w:tc>
      </w:tr>
      <w:tr>
        <w:tblPrEx>
          <w:tblCellMar>
            <w:top w:w="0" w:type="dxa"/>
            <w:left w:w="10" w:type="dxa"/>
            <w:bottom w:w="0" w:type="dxa"/>
            <w:right w:w="10" w:type="dxa"/>
          </w:tblCellMar>
        </w:tblPrEx>
        <w:trPr>
          <w:trHeight w:val="236" w:hRule="atLeast"/>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w:t>
            </w:r>
          </w:p>
        </w:tc>
        <w:tc>
          <w:tcPr>
            <w:tcW w:w="34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p>
        </w:tc>
        <w:tc>
          <w:tcPr>
            <w:tcW w:w="190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p>
        </w:tc>
        <w:tc>
          <w:tcPr>
            <w:tcW w:w="195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p>
        </w:tc>
        <w:tc>
          <w:tcPr>
            <w:tcW w:w="16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240" w:lineRule="atLeast"/>
              <w:jc w:val="center"/>
              <w:rPr>
                <w:rFonts w:hint="eastAsia" w:ascii="宋体" w:hAnsi="宋体" w:eastAsia="宋体" w:cs="宋体"/>
                <w:color w:val="auto"/>
                <w:sz w:val="18"/>
                <w:szCs w:val="18"/>
                <w:highlight w:val="none"/>
              </w:rPr>
            </w:pPr>
          </w:p>
        </w:tc>
      </w:tr>
    </w:tbl>
    <w:p>
      <w:pPr>
        <w:rPr>
          <w:rFonts w:hint="eastAsia" w:ascii="宋体" w:hAnsi="宋体" w:eastAsia="宋体" w:cs="宋体"/>
          <w:b/>
          <w:color w:val="auto"/>
          <w:sz w:val="32"/>
          <w:highlight w:val="none"/>
          <w:lang w:val="en-US" w:eastAsia="zh-CN"/>
        </w:rPr>
        <w:sectPr>
          <w:pgSz w:w="11906" w:h="16838"/>
          <w:pgMar w:top="1134" w:right="1083" w:bottom="1134" w:left="1083" w:header="851" w:footer="992" w:gutter="0"/>
          <w:pgBorders>
            <w:top w:val="none" w:sz="0" w:space="0"/>
            <w:left w:val="none" w:sz="0" w:space="0"/>
            <w:bottom w:val="none" w:sz="0" w:space="0"/>
            <w:right w:val="none" w:sz="0" w:space="0"/>
          </w:pgBorders>
          <w:cols w:space="0" w:num="1"/>
          <w:titlePg/>
          <w:rtlGutter w:val="0"/>
          <w:docGrid w:type="lines" w:linePitch="314" w:charSpace="0"/>
        </w:sectPr>
      </w:pPr>
      <w:r>
        <w:rPr>
          <w:rFonts w:hint="eastAsia" w:ascii="宋体" w:hAnsi="宋体" w:eastAsia="宋体" w:cs="宋体"/>
          <w:b/>
          <w:color w:val="auto"/>
          <w:sz w:val="32"/>
          <w:highlight w:val="none"/>
          <w:lang w:val="en-US" w:eastAsia="zh-CN"/>
        </w:rPr>
        <w:br w:type="page"/>
      </w:r>
    </w:p>
    <w:p>
      <w:pPr>
        <w:pStyle w:val="44"/>
        <w:rPr>
          <w:rFonts w:hint="eastAsia"/>
          <w:lang w:val="en-US" w:eastAsia="zh-CN"/>
        </w:rPr>
      </w:pPr>
    </w:p>
    <w:p>
      <w:pPr>
        <w:widowControl/>
        <w:numPr>
          <w:ilvl w:val="0"/>
          <w:numId w:val="0"/>
        </w:numPr>
        <w:spacing w:line="430" w:lineRule="exact"/>
        <w:jc w:val="center"/>
        <w:rPr>
          <w:rFonts w:hint="eastAsia" w:ascii="宋体" w:hAnsi="宋体" w:eastAsia="宋体" w:cs="宋体"/>
          <w:color w:val="auto"/>
          <w:highlight w:val="none"/>
        </w:rPr>
      </w:pPr>
      <w:r>
        <w:rPr>
          <w:rFonts w:hint="eastAsia" w:ascii="宋体" w:hAnsi="宋体" w:eastAsia="宋体" w:cs="宋体"/>
          <w:b/>
          <w:color w:val="auto"/>
          <w:sz w:val="32"/>
          <w:highlight w:val="none"/>
          <w:lang w:val="en-US" w:eastAsia="zh-CN"/>
        </w:rPr>
        <w:t>七、</w:t>
      </w:r>
      <w:r>
        <w:rPr>
          <w:rFonts w:hint="eastAsia" w:ascii="宋体" w:hAnsi="宋体" w:eastAsia="宋体" w:cs="宋体"/>
          <w:b/>
          <w:color w:val="auto"/>
          <w:sz w:val="32"/>
          <w:highlight w:val="none"/>
        </w:rPr>
        <w:t>分项报价表</w:t>
      </w:r>
    </w:p>
    <w:p>
      <w:pPr>
        <w:spacing w:line="430" w:lineRule="exact"/>
        <w:ind w:firstLine="210" w:firstLineChars="100"/>
        <w:rPr>
          <w:rFonts w:hint="eastAsia" w:ascii="宋体" w:hAnsi="宋体" w:eastAsia="宋体" w:cs="宋体"/>
          <w:color w:val="auto"/>
          <w:highlight w:val="none"/>
        </w:rPr>
      </w:pPr>
      <w:r>
        <w:rPr>
          <w:rFonts w:hint="eastAsia" w:ascii="宋体" w:hAnsi="宋体" w:eastAsia="宋体" w:cs="宋体"/>
          <w:color w:val="auto"/>
          <w:highlight w:val="none"/>
        </w:rPr>
        <w:t>投标人对应第五章技术要求，按下表格形式和要求进行填写</w:t>
      </w:r>
    </w:p>
    <w:p>
      <w:pPr>
        <w:bidi w:val="0"/>
        <w:rPr>
          <w:rFonts w:hint="default"/>
          <w:lang w:val="en-US" w:eastAsia="zh-CN"/>
        </w:rPr>
      </w:pPr>
      <w:r>
        <w:rPr>
          <w:rFonts w:hint="eastAsia"/>
          <w:lang w:val="en-US" w:eastAsia="zh-CN"/>
        </w:rPr>
        <w:t>西山区怡芳苑小区电梯报价明细表</w:t>
      </w:r>
    </w:p>
    <w:tbl>
      <w:tblPr>
        <w:tblStyle w:val="45"/>
        <w:tblW w:w="14435" w:type="dxa"/>
        <w:tblInd w:w="-1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15"/>
        <w:gridCol w:w="1683"/>
        <w:gridCol w:w="3312"/>
        <w:gridCol w:w="1750"/>
        <w:gridCol w:w="926"/>
        <w:gridCol w:w="1801"/>
        <w:gridCol w:w="2030"/>
        <w:gridCol w:w="1472"/>
        <w:gridCol w:w="7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97"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序号</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栋号</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所投产品</w:t>
            </w:r>
          </w:p>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型号/规格</w:t>
            </w: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品牌</w:t>
            </w: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数量</w:t>
            </w:r>
            <w:r>
              <w:rPr>
                <w:rFonts w:hint="eastAsia" w:ascii="宋体" w:hAnsi="宋体" w:cs="宋体"/>
                <w:i w:val="0"/>
                <w:color w:val="auto"/>
                <w:kern w:val="0"/>
                <w:sz w:val="22"/>
                <w:szCs w:val="22"/>
                <w:highlight w:val="none"/>
                <w:u w:val="none"/>
                <w:lang w:val="en-US" w:eastAsia="zh-CN" w:bidi="ar"/>
              </w:rPr>
              <w:t>（台）</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eastAsia="宋体" w:cs="宋体"/>
                <w:i w:val="0"/>
                <w:color w:val="auto"/>
                <w:kern w:val="0"/>
                <w:sz w:val="22"/>
                <w:szCs w:val="22"/>
                <w:highlight w:val="none"/>
                <w:u w:val="none"/>
                <w:lang w:val="en-US" w:eastAsia="zh-CN" w:bidi="ar"/>
              </w:rPr>
              <w:t>单价</w:t>
            </w:r>
          </w:p>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（元</w:t>
            </w:r>
            <w:r>
              <w:rPr>
                <w:rFonts w:hint="eastAsia" w:ascii="宋体" w:hAnsi="宋体" w:cs="宋体"/>
                <w:i w:val="0"/>
                <w:color w:val="auto"/>
                <w:kern w:val="0"/>
                <w:sz w:val="22"/>
                <w:szCs w:val="22"/>
                <w:highlight w:val="none"/>
                <w:u w:val="none"/>
                <w:lang w:val="en-US" w:eastAsia="zh-CN" w:bidi="ar"/>
              </w:rPr>
              <w:t>/台</w:t>
            </w:r>
            <w:r>
              <w:rPr>
                <w:rFonts w:hint="eastAsia" w:ascii="宋体" w:hAnsi="宋体" w:eastAsia="宋体" w:cs="宋体"/>
                <w:i w:val="0"/>
                <w:color w:val="auto"/>
                <w:kern w:val="0"/>
                <w:sz w:val="22"/>
                <w:szCs w:val="22"/>
                <w:highlight w:val="none"/>
                <w:u w:val="none"/>
                <w:lang w:val="en-US" w:eastAsia="zh-CN" w:bidi="ar"/>
              </w:rPr>
              <w:t>，含税）</w:t>
            </w: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老旧电梯残值</w:t>
            </w:r>
          </w:p>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（元</w:t>
            </w:r>
            <w:r>
              <w:rPr>
                <w:rFonts w:hint="eastAsia" w:ascii="宋体" w:hAnsi="宋体" w:cs="宋体"/>
                <w:i w:val="0"/>
                <w:color w:val="auto"/>
                <w:kern w:val="0"/>
                <w:sz w:val="22"/>
                <w:szCs w:val="22"/>
                <w:highlight w:val="none"/>
                <w:u w:val="none"/>
                <w:lang w:val="en-US" w:eastAsia="zh-CN" w:bidi="ar"/>
              </w:rPr>
              <w:t>/台，含税</w:t>
            </w:r>
            <w:r>
              <w:rPr>
                <w:rFonts w:hint="eastAsia" w:ascii="宋体" w:hAnsi="宋体" w:eastAsia="宋体" w:cs="宋体"/>
                <w:i w:val="0"/>
                <w:color w:val="auto"/>
                <w:kern w:val="0"/>
                <w:sz w:val="22"/>
                <w:szCs w:val="22"/>
                <w:highlight w:val="none"/>
                <w:u w:val="none"/>
                <w:lang w:val="en-US" w:eastAsia="zh-CN" w:bidi="ar"/>
              </w:rPr>
              <w:t>）</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eastAsia="宋体" w:cs="宋体"/>
                <w:i w:val="0"/>
                <w:color w:val="auto"/>
                <w:kern w:val="0"/>
                <w:sz w:val="22"/>
                <w:szCs w:val="22"/>
                <w:highlight w:val="none"/>
                <w:u w:val="none"/>
                <w:lang w:val="en-US" w:eastAsia="zh-CN" w:bidi="ar"/>
              </w:rPr>
              <w:t>小计</w:t>
            </w:r>
          </w:p>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eastAsia="宋体" w:cs="宋体"/>
                <w:i w:val="0"/>
                <w:color w:val="auto"/>
                <w:kern w:val="0"/>
                <w:sz w:val="22"/>
                <w:szCs w:val="22"/>
                <w:highlight w:val="none"/>
                <w:u w:val="none"/>
                <w:lang w:val="en-US" w:eastAsia="zh-CN" w:bidi="ar"/>
              </w:rPr>
              <w:t>（元</w:t>
            </w:r>
            <w:r>
              <w:rPr>
                <w:rFonts w:hint="eastAsia" w:ascii="宋体" w:hAnsi="宋体" w:cs="宋体"/>
                <w:i w:val="0"/>
                <w:color w:val="auto"/>
                <w:kern w:val="0"/>
                <w:sz w:val="22"/>
                <w:szCs w:val="22"/>
                <w:highlight w:val="none"/>
                <w:u w:val="none"/>
                <w:lang w:val="en-US" w:eastAsia="zh-CN" w:bidi="ar"/>
              </w:rPr>
              <w:t>，含税</w:t>
            </w:r>
            <w:r>
              <w:rPr>
                <w:rFonts w:hint="eastAsia" w:ascii="宋体" w:hAnsi="宋体" w:eastAsia="宋体" w:cs="宋体"/>
                <w:i w:val="0"/>
                <w:color w:val="auto"/>
                <w:kern w:val="0"/>
                <w:sz w:val="22"/>
                <w:szCs w:val="22"/>
                <w:highlight w:val="none"/>
                <w:u w:val="none"/>
                <w:lang w:val="en-US" w:eastAsia="zh-CN" w:bidi="ar"/>
              </w:rPr>
              <w:t>）</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1栋1单元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2</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1栋2单元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3</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2栋1单元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4</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2栋2单元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3栋1单元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6</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3栋2单元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7</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3栋3单元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8</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4栋1单元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9</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4栋2单元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10</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4栋3单元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11</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5栋1单元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12</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5栋2单元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13</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6栋1单元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14</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6栋2单元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15</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6栋3单元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16</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7栋1单元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17</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7栋2单元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18</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7栋3单元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19</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8栋1单元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20</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8栋2单元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21</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9栋1单元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92"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22</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u w:val="none"/>
                <w:lang w:val="en-US" w:eastAsia="zh-CN" w:bidi="ar"/>
              </w:rPr>
              <w:t>9栋</w:t>
            </w:r>
            <w:r>
              <w:rPr>
                <w:rFonts w:hint="eastAsia" w:ascii="仿宋_GB2312" w:hAnsi="仿宋_GB2312" w:eastAsia="仿宋_GB2312" w:cs="仿宋_GB2312"/>
                <w:i w:val="0"/>
                <w:iCs w:val="0"/>
                <w:color w:val="000000"/>
                <w:kern w:val="0"/>
                <w:sz w:val="21"/>
                <w:szCs w:val="21"/>
                <w:u w:val="none"/>
                <w:lang w:val="en-US" w:eastAsia="zh-CN" w:bidi="ar"/>
              </w:rPr>
              <w:t>2</w:t>
            </w:r>
            <w:r>
              <w:rPr>
                <w:rFonts w:ascii="仿宋_GB2312" w:hAnsi="仿宋_GB2312" w:eastAsia="仿宋_GB2312" w:cs="仿宋_GB2312"/>
                <w:i w:val="0"/>
                <w:iCs w:val="0"/>
                <w:color w:val="000000"/>
                <w:kern w:val="0"/>
                <w:sz w:val="21"/>
                <w:szCs w:val="21"/>
                <w:u w:val="none"/>
                <w:lang w:val="en-US" w:eastAsia="zh-CN" w:bidi="ar"/>
              </w:rPr>
              <w:t>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9" w:hRule="atLeast"/>
        </w:trPr>
        <w:tc>
          <w:tcPr>
            <w:tcW w:w="71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23</w:t>
            </w:r>
          </w:p>
        </w:tc>
        <w:tc>
          <w:tcPr>
            <w:tcW w:w="168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r>
              <w:rPr>
                <w:rFonts w:ascii="仿宋_GB2312" w:hAnsi="仿宋_GB2312" w:eastAsia="仿宋_GB2312" w:cs="仿宋_GB2312"/>
                <w:i w:val="0"/>
                <w:iCs w:val="0"/>
                <w:color w:val="000000"/>
                <w:kern w:val="0"/>
                <w:sz w:val="21"/>
                <w:szCs w:val="21"/>
                <w:highlight w:val="none"/>
                <w:u w:val="none"/>
                <w:lang w:val="en-US" w:eastAsia="zh-CN" w:bidi="ar"/>
              </w:rPr>
              <w:t>9栋</w:t>
            </w:r>
            <w:r>
              <w:rPr>
                <w:rFonts w:hint="eastAsia" w:ascii="仿宋_GB2312" w:hAnsi="仿宋_GB2312" w:eastAsia="仿宋_GB2312" w:cs="仿宋_GB2312"/>
                <w:i w:val="0"/>
                <w:iCs w:val="0"/>
                <w:color w:val="000000"/>
                <w:kern w:val="0"/>
                <w:sz w:val="21"/>
                <w:szCs w:val="21"/>
                <w:highlight w:val="none"/>
                <w:u w:val="none"/>
                <w:lang w:val="en-US" w:eastAsia="zh-CN" w:bidi="ar"/>
              </w:rPr>
              <w:t>3</w:t>
            </w:r>
            <w:r>
              <w:rPr>
                <w:rFonts w:ascii="仿宋_GB2312" w:hAnsi="仿宋_GB2312" w:eastAsia="仿宋_GB2312" w:cs="仿宋_GB2312"/>
                <w:i w:val="0"/>
                <w:iCs w:val="0"/>
                <w:color w:val="000000"/>
                <w:kern w:val="0"/>
                <w:sz w:val="21"/>
                <w:szCs w:val="21"/>
                <w:highlight w:val="none"/>
                <w:u w:val="none"/>
                <w:lang w:val="en-US" w:eastAsia="zh-CN" w:bidi="ar"/>
              </w:rPr>
              <w:t>单元</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none"/>
                <w:u w:val="none"/>
                <w:lang w:val="en-US" w:eastAsia="zh-CN" w:bidi="ar"/>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1</w:t>
            </w:r>
          </w:p>
        </w:tc>
        <w:tc>
          <w:tcPr>
            <w:tcW w:w="180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yellow"/>
                <w:u w:val="none"/>
                <w:lang w:val="en-US" w:eastAsia="zh-CN" w:bidi="ar"/>
              </w:rPr>
            </w:pPr>
          </w:p>
        </w:tc>
        <w:tc>
          <w:tcPr>
            <w:tcW w:w="20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yellow"/>
                <w:u w:val="none"/>
                <w:lang w:val="en-US" w:eastAsia="zh-CN" w:bidi="ar"/>
              </w:rPr>
            </w:pPr>
            <w:r>
              <w:rPr>
                <w:rFonts w:hint="eastAsia" w:ascii="宋体" w:hAnsi="宋体" w:cs="宋体"/>
                <w:i w:val="0"/>
                <w:color w:val="auto"/>
                <w:kern w:val="0"/>
                <w:sz w:val="22"/>
                <w:szCs w:val="22"/>
                <w:highlight w:val="none"/>
                <w:u w:val="none"/>
                <w:lang w:val="en-US" w:eastAsia="zh-CN" w:bidi="ar"/>
              </w:rPr>
              <w:t>5381.00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yellow"/>
                <w:u w:val="none"/>
                <w:lang w:val="en-US" w:eastAsia="zh-CN" w:bidi="ar"/>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2"/>
                <w:szCs w:val="22"/>
                <w:highlight w:val="yellow"/>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5" w:hRule="atLeast"/>
        </w:trPr>
        <w:tc>
          <w:tcPr>
            <w:tcW w:w="14435" w:type="dxa"/>
            <w:gridSpan w:val="9"/>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both"/>
              <w:textAlignment w:val="center"/>
              <w:rPr>
                <w:rFonts w:hint="eastAsia" w:ascii="宋体" w:hAnsi="宋体" w:eastAsia="宋体" w:cs="宋体"/>
                <w:i w:val="0"/>
                <w:color w:val="auto"/>
                <w:kern w:val="0"/>
                <w:sz w:val="22"/>
                <w:szCs w:val="22"/>
                <w:highlight w:val="yellow"/>
                <w:u w:val="none"/>
                <w:lang w:val="en-US" w:eastAsia="zh-CN" w:bidi="ar"/>
              </w:rPr>
            </w:pPr>
            <w:r>
              <w:rPr>
                <w:rFonts w:hint="eastAsia" w:ascii="宋体" w:hAnsi="宋体" w:eastAsia="宋体" w:cs="宋体"/>
                <w:i w:val="0"/>
                <w:color w:val="auto"/>
                <w:kern w:val="0"/>
                <w:sz w:val="22"/>
                <w:szCs w:val="22"/>
                <w:highlight w:val="none"/>
                <w:u w:val="none"/>
                <w:lang w:val="en-US" w:eastAsia="zh-CN" w:bidi="ar"/>
              </w:rPr>
              <w:t>1-</w:t>
            </w:r>
            <w:r>
              <w:rPr>
                <w:rFonts w:hint="eastAsia" w:ascii="宋体" w:hAnsi="宋体" w:cs="宋体"/>
                <w:i w:val="0"/>
                <w:color w:val="auto"/>
                <w:kern w:val="0"/>
                <w:sz w:val="22"/>
                <w:szCs w:val="22"/>
                <w:highlight w:val="none"/>
                <w:u w:val="none"/>
                <w:lang w:val="en-US" w:eastAsia="zh-CN" w:bidi="ar"/>
              </w:rPr>
              <w:t>23</w:t>
            </w:r>
            <w:r>
              <w:rPr>
                <w:rFonts w:hint="eastAsia" w:ascii="宋体" w:hAnsi="宋体" w:eastAsia="宋体" w:cs="宋体"/>
                <w:i w:val="0"/>
                <w:color w:val="auto"/>
                <w:kern w:val="0"/>
                <w:sz w:val="22"/>
                <w:szCs w:val="22"/>
                <w:highlight w:val="none"/>
                <w:u w:val="none"/>
                <w:lang w:val="en-US" w:eastAsia="zh-CN" w:bidi="ar"/>
              </w:rPr>
              <w:t>项</w:t>
            </w:r>
            <w:r>
              <w:rPr>
                <w:rFonts w:hint="eastAsia" w:ascii="宋体" w:hAnsi="宋体" w:cs="宋体"/>
                <w:i w:val="0"/>
                <w:color w:val="auto"/>
                <w:kern w:val="0"/>
                <w:sz w:val="22"/>
                <w:szCs w:val="22"/>
                <w:highlight w:val="none"/>
                <w:u w:val="none"/>
                <w:lang w:val="en-US" w:eastAsia="zh-CN" w:bidi="ar"/>
              </w:rPr>
              <w:t>小计</w:t>
            </w:r>
            <w:r>
              <w:rPr>
                <w:rFonts w:hint="eastAsia" w:ascii="宋体" w:hAnsi="宋体" w:eastAsia="宋体" w:cs="宋体"/>
                <w:i w:val="0"/>
                <w:color w:val="auto"/>
                <w:kern w:val="0"/>
                <w:sz w:val="22"/>
                <w:szCs w:val="22"/>
                <w:highlight w:val="none"/>
                <w:u w:val="none"/>
                <w:lang w:val="en-US" w:eastAsia="zh-CN" w:bidi="ar"/>
              </w:rPr>
              <w:t>汇总合计（元，含税）：小写：¥                      元，大写                       人民币</w:t>
            </w:r>
          </w:p>
        </w:tc>
      </w:tr>
    </w:tbl>
    <w:p>
      <w:pPr>
        <w:keepNext w:val="0"/>
        <w:keepLines w:val="0"/>
        <w:widowControl/>
        <w:suppressLineNumbers w:val="0"/>
        <w:jc w:val="both"/>
        <w:textAlignment w:val="center"/>
        <w:rPr>
          <w:rFonts w:hint="default" w:ascii="宋体" w:hAnsi="宋体" w:eastAsia="宋体" w:cs="宋体"/>
          <w:b/>
          <w:bCs/>
          <w:color w:val="auto"/>
          <w:kern w:val="2"/>
          <w:sz w:val="22"/>
          <w:szCs w:val="21"/>
          <w:highlight w:val="none"/>
          <w:lang w:val="en-US" w:eastAsia="zh-CN" w:bidi="ar-SA"/>
        </w:rPr>
      </w:pPr>
      <w:r>
        <w:rPr>
          <w:rFonts w:hint="eastAsia" w:ascii="宋体" w:hAnsi="宋体" w:eastAsia="宋体" w:cs="宋体"/>
          <w:b/>
          <w:bCs/>
          <w:color w:val="auto"/>
          <w:sz w:val="22"/>
          <w:szCs w:val="22"/>
          <w:highlight w:val="none"/>
          <w:lang w:val="en-US" w:eastAsia="zh-CN" w:bidi="ar-SA"/>
        </w:rPr>
        <w:t>注：1.</w:t>
      </w:r>
      <w:r>
        <w:rPr>
          <w:rFonts w:hint="eastAsia" w:ascii="宋体" w:hAnsi="宋体" w:eastAsia="宋体" w:cs="宋体"/>
          <w:b/>
          <w:bCs/>
          <w:color w:val="auto"/>
          <w:kern w:val="2"/>
          <w:sz w:val="22"/>
          <w:szCs w:val="21"/>
          <w:highlight w:val="none"/>
          <w:lang w:val="en-US" w:eastAsia="zh-CN" w:bidi="ar-SA"/>
        </w:rPr>
        <w:t>上表中的设备必须逐项报价，并且不能修改及删除已有的行。</w:t>
      </w:r>
      <w:r>
        <w:rPr>
          <w:rFonts w:hint="eastAsia" w:ascii="宋体" w:hAnsi="宋体" w:eastAsia="宋体" w:cs="宋体"/>
          <w:b/>
          <w:bCs/>
          <w:i w:val="0"/>
          <w:color w:val="auto"/>
          <w:kern w:val="0"/>
          <w:sz w:val="22"/>
          <w:szCs w:val="22"/>
          <w:highlight w:val="none"/>
          <w:u w:val="none"/>
          <w:lang w:val="en-US" w:eastAsia="zh-CN" w:bidi="ar"/>
        </w:rPr>
        <w:t>小计（元</w:t>
      </w:r>
      <w:r>
        <w:rPr>
          <w:rFonts w:hint="eastAsia" w:ascii="宋体" w:hAnsi="宋体" w:cs="宋体"/>
          <w:b/>
          <w:bCs/>
          <w:i w:val="0"/>
          <w:color w:val="auto"/>
          <w:kern w:val="0"/>
          <w:sz w:val="22"/>
          <w:szCs w:val="22"/>
          <w:highlight w:val="none"/>
          <w:u w:val="none"/>
          <w:lang w:val="en-US" w:eastAsia="zh-CN" w:bidi="ar"/>
        </w:rPr>
        <w:t>，含税</w:t>
      </w:r>
      <w:r>
        <w:rPr>
          <w:rFonts w:hint="eastAsia" w:ascii="宋体" w:hAnsi="宋体" w:eastAsia="宋体" w:cs="宋体"/>
          <w:b/>
          <w:bCs/>
          <w:i w:val="0"/>
          <w:color w:val="auto"/>
          <w:kern w:val="0"/>
          <w:sz w:val="22"/>
          <w:szCs w:val="22"/>
          <w:highlight w:val="none"/>
          <w:u w:val="none"/>
          <w:lang w:val="en-US" w:eastAsia="zh-CN" w:bidi="ar"/>
        </w:rPr>
        <w:t>）</w:t>
      </w:r>
      <w:r>
        <w:rPr>
          <w:rFonts w:hint="eastAsia" w:ascii="宋体" w:hAnsi="宋体" w:cs="宋体"/>
          <w:b/>
          <w:bCs/>
          <w:i w:val="0"/>
          <w:color w:val="auto"/>
          <w:kern w:val="0"/>
          <w:sz w:val="22"/>
          <w:szCs w:val="22"/>
          <w:highlight w:val="none"/>
          <w:u w:val="none"/>
          <w:lang w:val="en-US" w:eastAsia="zh-CN" w:bidi="ar"/>
        </w:rPr>
        <w:t>=数量×（</w:t>
      </w:r>
      <w:r>
        <w:rPr>
          <w:rFonts w:hint="eastAsia" w:ascii="宋体" w:hAnsi="宋体" w:eastAsia="宋体" w:cs="宋体"/>
          <w:b/>
          <w:bCs/>
          <w:i w:val="0"/>
          <w:color w:val="auto"/>
          <w:kern w:val="0"/>
          <w:sz w:val="22"/>
          <w:szCs w:val="22"/>
          <w:highlight w:val="none"/>
          <w:u w:val="none"/>
          <w:lang w:val="en-US" w:eastAsia="zh-CN" w:bidi="ar"/>
        </w:rPr>
        <w:t>单价</w:t>
      </w:r>
      <w:r>
        <w:rPr>
          <w:rFonts w:hint="eastAsia" w:ascii="宋体" w:hAnsi="宋体" w:cs="宋体"/>
          <w:b/>
          <w:bCs/>
          <w:i w:val="0"/>
          <w:color w:val="auto"/>
          <w:kern w:val="0"/>
          <w:sz w:val="22"/>
          <w:szCs w:val="22"/>
          <w:highlight w:val="none"/>
          <w:u w:val="none"/>
          <w:lang w:val="en-US" w:eastAsia="zh-CN" w:bidi="ar"/>
        </w:rPr>
        <w:t>+老旧电梯残值）</w:t>
      </w:r>
    </w:p>
    <w:p>
      <w:pPr>
        <w:numPr>
          <w:ilvl w:val="0"/>
          <w:numId w:val="0"/>
        </w:numPr>
        <w:ind w:left="0" w:leftChars="0" w:firstLine="420" w:firstLineChars="190"/>
        <w:rPr>
          <w:rFonts w:hint="eastAsia" w:ascii="宋体" w:hAnsi="宋体" w:eastAsia="宋体" w:cs="宋体"/>
          <w:b/>
          <w:bCs/>
          <w:color w:val="auto"/>
          <w:kern w:val="2"/>
          <w:sz w:val="22"/>
          <w:szCs w:val="21"/>
          <w:highlight w:val="none"/>
          <w:lang w:val="en-US" w:eastAsia="zh-CN" w:bidi="ar-SA"/>
        </w:rPr>
      </w:pPr>
      <w:r>
        <w:rPr>
          <w:rFonts w:hint="eastAsia" w:ascii="宋体" w:hAnsi="宋体" w:eastAsia="宋体" w:cs="宋体"/>
          <w:b/>
          <w:bCs/>
          <w:color w:val="auto"/>
          <w:kern w:val="2"/>
          <w:sz w:val="22"/>
          <w:szCs w:val="21"/>
          <w:highlight w:val="none"/>
          <w:lang w:val="en-US" w:eastAsia="zh-CN" w:bidi="ar-SA"/>
        </w:rPr>
        <w:t>2.上表中为保证货物的完整性、稳定性、技术性，表中未见事宜，由投标人根据自己设备性能配置考虑周全，须列出详细清单及单价，否则后续采购中出现投标书未见设备一概由投标人无偿供给。</w:t>
      </w:r>
    </w:p>
    <w:p>
      <w:pPr>
        <w:widowControl w:val="0"/>
        <w:ind w:firstLine="442" w:firstLineChars="200"/>
        <w:jc w:val="left"/>
        <w:rPr>
          <w:rFonts w:hint="eastAsia" w:ascii="宋体" w:hAnsi="宋体" w:eastAsia="宋体" w:cs="宋体"/>
          <w:b/>
          <w:bCs/>
          <w:color w:val="auto"/>
          <w:kern w:val="2"/>
          <w:sz w:val="22"/>
          <w:szCs w:val="21"/>
          <w:highlight w:val="none"/>
          <w:lang w:val="en-US" w:eastAsia="zh-CN" w:bidi="ar-SA"/>
        </w:rPr>
      </w:pPr>
      <w:r>
        <w:rPr>
          <w:rFonts w:hint="eastAsia" w:ascii="宋体" w:hAnsi="宋体" w:eastAsia="宋体" w:cs="宋体"/>
          <w:b/>
          <w:bCs/>
          <w:color w:val="auto"/>
          <w:kern w:val="2"/>
          <w:sz w:val="22"/>
          <w:szCs w:val="21"/>
          <w:highlight w:val="none"/>
          <w:lang w:val="en-US" w:eastAsia="zh-CN" w:bidi="ar-SA"/>
        </w:rPr>
        <w:t>3.技术文件中凡所涉及引用品牌或生产供应商的均为参照或相当于，并无限制性；投标人设备主要配套件如果选用“或相当”品牌或厂商的，必须写明具体品牌或厂商名称且实质上满足招标文件要求，投标时须提供充分的证明材料供评标委员会评审，不提供证明材料的或证明材料经评审不具有说服力，性能或参数未能达到推荐品牌或厂商质量水平的，将导致投标被否决。</w:t>
      </w:r>
    </w:p>
    <w:p>
      <w:pPr>
        <w:rPr>
          <w:rFonts w:ascii="Times New Roman" w:hAnsi="Times New Roman" w:cs="Times New Roman"/>
        </w:rPr>
      </w:pPr>
    </w:p>
    <w:p>
      <w:pPr>
        <w:pStyle w:val="44"/>
        <w:rPr>
          <w:rFonts w:hint="eastAsia"/>
        </w:rPr>
      </w:pPr>
    </w:p>
    <w:p>
      <w:pPr>
        <w:spacing w:line="430" w:lineRule="exact"/>
        <w:jc w:val="center"/>
        <w:rPr>
          <w:rFonts w:hint="eastAsia" w:ascii="宋体" w:hAnsi="宋体" w:eastAsia="宋体" w:cs="宋体"/>
          <w:b/>
          <w:bCs/>
          <w:color w:val="auto"/>
          <w:sz w:val="24"/>
          <w:highlight w:val="none"/>
        </w:rPr>
      </w:pPr>
    </w:p>
    <w:p>
      <w:pPr>
        <w:rPr>
          <w:rFonts w:hint="eastAsia" w:ascii="宋体" w:hAnsi="宋体" w:eastAsia="宋体" w:cs="宋体"/>
          <w:color w:val="auto"/>
          <w:highlight w:val="none"/>
        </w:rPr>
      </w:pPr>
    </w:p>
    <w:p>
      <w:pPr>
        <w:rPr>
          <w:rFonts w:hint="eastAsia" w:ascii="宋体" w:hAnsi="宋体" w:eastAsia="宋体" w:cs="宋体"/>
          <w:b/>
          <w:color w:val="auto"/>
          <w:sz w:val="32"/>
          <w:highlight w:val="none"/>
        </w:rPr>
        <w:sectPr>
          <w:pgSz w:w="16838" w:h="11906" w:orient="landscape"/>
          <w:pgMar w:top="1083" w:right="1134" w:bottom="1083" w:left="1134" w:header="851" w:footer="992" w:gutter="0"/>
          <w:pgBorders>
            <w:top w:val="none" w:sz="0" w:space="0"/>
            <w:left w:val="none" w:sz="0" w:space="0"/>
            <w:bottom w:val="none" w:sz="0" w:space="0"/>
            <w:right w:val="none" w:sz="0" w:space="0"/>
          </w:pgBorders>
          <w:cols w:space="0" w:num="1"/>
          <w:titlePg/>
          <w:rtlGutter w:val="0"/>
          <w:docGrid w:type="lines" w:linePitch="314" w:charSpace="0"/>
        </w:sectPr>
      </w:pPr>
      <w:r>
        <w:rPr>
          <w:rFonts w:hint="eastAsia" w:ascii="宋体" w:hAnsi="宋体" w:eastAsia="宋体" w:cs="宋体"/>
          <w:color w:val="auto"/>
          <w:highlight w:val="none"/>
        </w:rPr>
        <w:br w:type="page"/>
      </w:r>
    </w:p>
    <w:p>
      <w:pPr>
        <w:widowControl/>
        <w:spacing w:line="430" w:lineRule="exact"/>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八、资格审查资料</w:t>
      </w:r>
    </w:p>
    <w:p>
      <w:pPr>
        <w:keepNext/>
        <w:keepLines/>
        <w:spacing w:line="430" w:lineRule="exact"/>
        <w:ind w:firstLine="137"/>
        <w:rPr>
          <w:rFonts w:hint="eastAsia" w:ascii="宋体" w:hAnsi="宋体" w:eastAsia="宋体" w:cs="宋体"/>
          <w:color w:val="auto"/>
          <w:sz w:val="28"/>
          <w:highlight w:val="none"/>
        </w:rPr>
      </w:pPr>
      <w:r>
        <w:rPr>
          <w:rFonts w:hint="eastAsia" w:ascii="宋体" w:hAnsi="宋体" w:eastAsia="宋体" w:cs="宋体"/>
          <w:color w:val="auto"/>
          <w:sz w:val="28"/>
          <w:highlight w:val="none"/>
        </w:rPr>
        <w:t>（一）基本情况表</w:t>
      </w:r>
    </w:p>
    <w:p>
      <w:pPr>
        <w:keepNext/>
        <w:keepLines/>
        <w:spacing w:line="430" w:lineRule="exact"/>
        <w:ind w:firstLine="137"/>
        <w:jc w:val="center"/>
        <w:rPr>
          <w:rFonts w:hint="eastAsia" w:ascii="宋体" w:hAnsi="宋体" w:eastAsia="宋体" w:cs="宋体"/>
          <w:color w:val="auto"/>
          <w:sz w:val="24"/>
          <w:szCs w:val="24"/>
          <w:highlight w:val="none"/>
        </w:rPr>
      </w:pPr>
    </w:p>
    <w:tbl>
      <w:tblPr>
        <w:tblStyle w:val="45"/>
        <w:tblW w:w="9516" w:type="dxa"/>
        <w:tblInd w:w="108" w:type="dxa"/>
        <w:tblLayout w:type="fixed"/>
        <w:tblCellMar>
          <w:top w:w="0" w:type="dxa"/>
          <w:left w:w="10" w:type="dxa"/>
          <w:bottom w:w="0" w:type="dxa"/>
          <w:right w:w="10" w:type="dxa"/>
        </w:tblCellMar>
      </w:tblPr>
      <w:tblGrid>
        <w:gridCol w:w="2886"/>
        <w:gridCol w:w="961"/>
        <w:gridCol w:w="2050"/>
        <w:gridCol w:w="1225"/>
        <w:gridCol w:w="2394"/>
      </w:tblGrid>
      <w:tr>
        <w:tblPrEx>
          <w:tblCellMar>
            <w:top w:w="0" w:type="dxa"/>
            <w:left w:w="10" w:type="dxa"/>
            <w:bottom w:w="0" w:type="dxa"/>
            <w:right w:w="10" w:type="dxa"/>
          </w:tblCellMar>
        </w:tblPrEx>
        <w:trPr>
          <w:trHeight w:val="456" w:hRule="atLeast"/>
        </w:trPr>
        <w:tc>
          <w:tcPr>
            <w:tcW w:w="288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p>
        </w:tc>
        <w:tc>
          <w:tcPr>
            <w:tcW w:w="6630"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444" w:hRule="atLeast"/>
        </w:trPr>
        <w:tc>
          <w:tcPr>
            <w:tcW w:w="288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注册资金</w:t>
            </w:r>
          </w:p>
        </w:tc>
        <w:tc>
          <w:tcPr>
            <w:tcW w:w="3011"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p>
        </w:tc>
        <w:tc>
          <w:tcPr>
            <w:tcW w:w="122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239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444" w:hRule="atLeast"/>
        </w:trPr>
        <w:tc>
          <w:tcPr>
            <w:tcW w:w="288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注册地址</w:t>
            </w:r>
          </w:p>
        </w:tc>
        <w:tc>
          <w:tcPr>
            <w:tcW w:w="6630"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444" w:hRule="atLeast"/>
        </w:trPr>
        <w:tc>
          <w:tcPr>
            <w:tcW w:w="288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3011"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p>
        </w:tc>
        <w:tc>
          <w:tcPr>
            <w:tcW w:w="122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员工总数</w:t>
            </w:r>
          </w:p>
        </w:tc>
        <w:tc>
          <w:tcPr>
            <w:tcW w:w="239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cantSplit/>
          <w:trHeight w:val="456" w:hRule="atLeast"/>
        </w:trPr>
        <w:tc>
          <w:tcPr>
            <w:tcW w:w="2886"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9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05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p>
        </w:tc>
        <w:tc>
          <w:tcPr>
            <w:tcW w:w="122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239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147" w:hRule="atLeast"/>
        </w:trPr>
        <w:tc>
          <w:tcPr>
            <w:tcW w:w="2886"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p>
        </w:tc>
        <w:tc>
          <w:tcPr>
            <w:tcW w:w="9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网址</w:t>
            </w:r>
          </w:p>
        </w:tc>
        <w:tc>
          <w:tcPr>
            <w:tcW w:w="205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p>
        </w:tc>
        <w:tc>
          <w:tcPr>
            <w:tcW w:w="122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239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444" w:hRule="atLeast"/>
        </w:trPr>
        <w:tc>
          <w:tcPr>
            <w:tcW w:w="288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96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205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p>
        </w:tc>
        <w:tc>
          <w:tcPr>
            <w:tcW w:w="122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239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1345" w:hRule="atLeast"/>
        </w:trPr>
        <w:tc>
          <w:tcPr>
            <w:tcW w:w="288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资质证书</w:t>
            </w:r>
          </w:p>
        </w:tc>
        <w:tc>
          <w:tcPr>
            <w:tcW w:w="6630"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ind w:firstLine="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类型：</w:t>
            </w:r>
          </w:p>
          <w:p>
            <w:pPr>
              <w:spacing w:line="430" w:lineRule="exact"/>
              <w:ind w:firstLine="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等级：</w:t>
            </w:r>
          </w:p>
          <w:p>
            <w:pPr>
              <w:spacing w:line="430" w:lineRule="exact"/>
              <w:ind w:firstLine="1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证书号：</w:t>
            </w:r>
          </w:p>
        </w:tc>
      </w:tr>
      <w:tr>
        <w:tblPrEx>
          <w:tblCellMar>
            <w:top w:w="0" w:type="dxa"/>
            <w:left w:w="10" w:type="dxa"/>
            <w:bottom w:w="0" w:type="dxa"/>
            <w:right w:w="10" w:type="dxa"/>
          </w:tblCellMar>
        </w:tblPrEx>
        <w:trPr>
          <w:trHeight w:val="444" w:hRule="atLeast"/>
        </w:trPr>
        <w:tc>
          <w:tcPr>
            <w:tcW w:w="288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基本账户开户银行</w:t>
            </w:r>
          </w:p>
        </w:tc>
        <w:tc>
          <w:tcPr>
            <w:tcW w:w="6630"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ind w:firstLine="105"/>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456" w:hRule="atLeast"/>
        </w:trPr>
        <w:tc>
          <w:tcPr>
            <w:tcW w:w="288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基本账户银行账号</w:t>
            </w:r>
          </w:p>
        </w:tc>
        <w:tc>
          <w:tcPr>
            <w:tcW w:w="6630"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456" w:hRule="atLeast"/>
        </w:trPr>
        <w:tc>
          <w:tcPr>
            <w:tcW w:w="288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6630"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pacing w:line="430" w:lineRule="exact"/>
              <w:jc w:val="center"/>
              <w:rPr>
                <w:rFonts w:hint="eastAsia" w:ascii="宋体" w:hAnsi="宋体" w:eastAsia="宋体" w:cs="宋体"/>
                <w:color w:val="auto"/>
                <w:sz w:val="24"/>
                <w:szCs w:val="24"/>
                <w:highlight w:val="none"/>
              </w:rPr>
            </w:pPr>
          </w:p>
        </w:tc>
      </w:tr>
    </w:tbl>
    <w:p>
      <w:pPr>
        <w:keepNext/>
        <w:keepLines/>
        <w:spacing w:line="430" w:lineRule="exact"/>
        <w:rPr>
          <w:rFonts w:hint="eastAsia" w:ascii="宋体" w:hAnsi="宋体" w:eastAsia="宋体" w:cs="宋体"/>
          <w:color w:val="auto"/>
          <w:highlight w:val="none"/>
        </w:rPr>
      </w:pPr>
      <w:r>
        <w:rPr>
          <w:rFonts w:hint="eastAsia" w:ascii="宋体" w:hAnsi="宋体" w:eastAsia="宋体" w:cs="宋体"/>
          <w:color w:val="auto"/>
          <w:highlight w:val="none"/>
        </w:rPr>
        <w:t>注：1. 投标人应根据投标人须知第3.5.1项的要求在本表后附相关证明材料扫描件。</w:t>
      </w:r>
    </w:p>
    <w:p>
      <w:pPr>
        <w:keepNext/>
        <w:keepLines/>
        <w:spacing w:line="430" w:lineRule="exact"/>
        <w:rPr>
          <w:rFonts w:hint="eastAsia" w:ascii="宋体" w:hAnsi="宋体" w:eastAsia="宋体" w:cs="宋体"/>
          <w:color w:val="auto"/>
          <w:highlight w:val="none"/>
        </w:rPr>
      </w:pPr>
    </w:p>
    <w:p>
      <w:pPr>
        <w:keepNext/>
        <w:keepLines/>
        <w:spacing w:line="430" w:lineRule="exact"/>
        <w:rPr>
          <w:rFonts w:hint="eastAsia" w:ascii="宋体" w:hAnsi="宋体" w:eastAsia="宋体" w:cs="宋体"/>
          <w:color w:val="auto"/>
          <w:highlight w:val="none"/>
        </w:rPr>
      </w:pPr>
    </w:p>
    <w:p>
      <w:pPr>
        <w:keepNext/>
        <w:keepLines/>
        <w:spacing w:line="430" w:lineRule="exact"/>
        <w:rPr>
          <w:rFonts w:hint="eastAsia" w:ascii="宋体" w:hAnsi="宋体" w:eastAsia="宋体" w:cs="宋体"/>
          <w:color w:val="auto"/>
          <w:highlight w:val="none"/>
        </w:rPr>
      </w:pPr>
    </w:p>
    <w:p>
      <w:pPr>
        <w:spacing w:line="430" w:lineRule="exact"/>
        <w:ind w:firstLine="643" w:firstLineChars="20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zh-CN"/>
        </w:rPr>
        <w:t>附：营业执照等证明文件</w:t>
      </w:r>
      <w:r>
        <w:rPr>
          <w:rFonts w:hint="eastAsia" w:ascii="宋体" w:hAnsi="宋体" w:eastAsia="宋体" w:cs="宋体"/>
          <w:b/>
          <w:color w:val="auto"/>
          <w:sz w:val="32"/>
          <w:szCs w:val="32"/>
          <w:highlight w:val="none"/>
        </w:rPr>
        <w:t>扫描件</w:t>
      </w:r>
    </w:p>
    <w:p>
      <w:pPr>
        <w:spacing w:line="430" w:lineRule="exact"/>
        <w:ind w:firstLine="643" w:firstLineChars="200"/>
        <w:jc w:val="center"/>
        <w:rPr>
          <w:rFonts w:hint="eastAsia" w:ascii="宋体" w:hAnsi="宋体" w:eastAsia="宋体" w:cs="宋体"/>
          <w:b/>
          <w:color w:val="auto"/>
          <w:sz w:val="32"/>
          <w:szCs w:val="32"/>
          <w:highlight w:val="none"/>
        </w:rPr>
      </w:pPr>
    </w:p>
    <w:p>
      <w:pPr>
        <w:spacing w:line="440" w:lineRule="exact"/>
        <w:ind w:firstLine="137"/>
        <w:jc w:val="left"/>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br w:type="page"/>
      </w:r>
      <w:r>
        <w:rPr>
          <w:rFonts w:hint="eastAsia" w:ascii="宋体" w:hAnsi="宋体" w:eastAsia="宋体" w:cs="宋体"/>
          <w:color w:val="auto"/>
          <w:sz w:val="28"/>
          <w:highlight w:val="none"/>
        </w:rPr>
        <w:t>（二）</w:t>
      </w:r>
      <w:bookmarkStart w:id="178" w:name="_Toc417894676"/>
      <w:bookmarkStart w:id="179" w:name="_Toc417894637"/>
      <w:bookmarkStart w:id="180" w:name="_Toc474741581"/>
      <w:r>
        <w:rPr>
          <w:rFonts w:hint="eastAsia" w:ascii="宋体" w:hAnsi="宋体" w:eastAsia="宋体" w:cs="宋体"/>
          <w:color w:val="auto"/>
          <w:sz w:val="28"/>
          <w:highlight w:val="none"/>
        </w:rPr>
        <w:t>制造商授权书</w:t>
      </w:r>
      <w:bookmarkEnd w:id="178"/>
      <w:bookmarkEnd w:id="179"/>
      <w:bookmarkEnd w:id="180"/>
      <w:r>
        <w:rPr>
          <w:rFonts w:hint="eastAsia" w:ascii="宋体" w:hAnsi="宋体" w:cs="宋体"/>
          <w:color w:val="auto"/>
          <w:sz w:val="28"/>
          <w:highlight w:val="none"/>
          <w:lang w:eastAsia="zh-CN"/>
        </w:rPr>
        <w:t>（</w:t>
      </w:r>
      <w:r>
        <w:rPr>
          <w:rFonts w:hint="eastAsia" w:ascii="宋体" w:hAnsi="宋体" w:cs="宋体"/>
          <w:color w:val="auto"/>
          <w:sz w:val="28"/>
          <w:highlight w:val="none"/>
          <w:lang w:val="en-US" w:eastAsia="zh-CN"/>
        </w:rPr>
        <w:t>代理商适用</w:t>
      </w:r>
      <w:r>
        <w:rPr>
          <w:rFonts w:hint="eastAsia" w:ascii="宋体" w:hAnsi="宋体" w:cs="宋体"/>
          <w:color w:val="auto"/>
          <w:sz w:val="28"/>
          <w:highlight w:val="none"/>
          <w:lang w:eastAsia="zh-CN"/>
        </w:rPr>
        <w:t>）</w:t>
      </w:r>
    </w:p>
    <w:p>
      <w:pPr>
        <w:spacing w:line="440" w:lineRule="exact"/>
        <w:ind w:left="840" w:hanging="840"/>
        <w:rPr>
          <w:rFonts w:hint="eastAsia" w:ascii="宋体" w:hAnsi="宋体" w:eastAsia="宋体" w:cs="宋体"/>
          <w:color w:val="auto"/>
          <w:highlight w:val="none"/>
        </w:rPr>
      </w:pPr>
    </w:p>
    <w:p>
      <w:pPr>
        <w:spacing w:line="540" w:lineRule="exact"/>
        <w:ind w:left="1120" w:hanging="1120" w:hangingChars="4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制造商授权书</w:t>
      </w:r>
    </w:p>
    <w:p>
      <w:pPr>
        <w:spacing w:line="540" w:lineRule="exact"/>
        <w:ind w:left="1120" w:hanging="1120" w:hangingChars="400"/>
        <w:jc w:val="center"/>
        <w:rPr>
          <w:rFonts w:hint="eastAsia" w:ascii="宋体" w:hAnsi="宋体" w:eastAsia="宋体" w:cs="宋体"/>
          <w:color w:val="auto"/>
          <w:sz w:val="28"/>
          <w:szCs w:val="28"/>
          <w:highlight w:val="none"/>
        </w:rPr>
      </w:pPr>
    </w:p>
    <w:p>
      <w:pPr>
        <w:spacing w:line="440" w:lineRule="exact"/>
        <w:ind w:left="840" w:hanging="840"/>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（招标人）</w:t>
      </w:r>
    </w:p>
    <w:p>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我单位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（制造商名称）是按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（国家／地区名称）法律成立的一家制造商，主要营业地点设在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（制造商地址）。兹授权按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（国家／地区名称）的法律正式成立的，主要营业地点设在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（投标人的单位地址）的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（投标人名称）以我单位制造的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（设备名称）进行</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投标活动。我单位同意按照中标合同供货，并对产品质量承担责任。</w:t>
      </w:r>
    </w:p>
    <w:p>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授权期限：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pPr>
        <w:spacing w:line="440" w:lineRule="exact"/>
        <w:rPr>
          <w:rFonts w:hint="eastAsia" w:ascii="宋体" w:hAnsi="宋体" w:eastAsia="宋体" w:cs="宋体"/>
          <w:color w:val="auto"/>
          <w:highlight w:val="none"/>
        </w:rPr>
      </w:pPr>
    </w:p>
    <w:p>
      <w:pPr>
        <w:spacing w:line="440" w:lineRule="exact"/>
        <w:rPr>
          <w:rFonts w:hint="eastAsia" w:ascii="宋体" w:hAnsi="宋体" w:eastAsia="宋体" w:cs="宋体"/>
          <w:color w:val="auto"/>
          <w:highlight w:val="none"/>
        </w:rPr>
      </w:pPr>
    </w:p>
    <w:p>
      <w:pPr>
        <w:spacing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投标人名称：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（盖单位章）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制造商名称：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（盖单位章）</w:t>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签字人职务：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签字人职务：</w:t>
      </w:r>
      <w:r>
        <w:rPr>
          <w:rFonts w:hint="eastAsia" w:ascii="宋体" w:hAnsi="宋体" w:eastAsia="宋体" w:cs="宋体"/>
          <w:color w:val="auto"/>
          <w:szCs w:val="21"/>
          <w:highlight w:val="none"/>
        </w:rPr>
        <w:t>________</w:t>
      </w:r>
      <w:r>
        <w:rPr>
          <w:rFonts w:hint="eastAsia" w:ascii="宋体" w:hAnsi="宋体" w:eastAsia="宋体" w:cs="宋体"/>
          <w:color w:val="auto"/>
          <w:szCs w:val="21"/>
          <w:highlight w:val="none"/>
          <w:u w:val="single"/>
        </w:rPr>
        <w:t>___   ___</w:t>
      </w:r>
      <w:r>
        <w:rPr>
          <w:rFonts w:hint="eastAsia" w:ascii="宋体" w:hAnsi="宋体" w:eastAsia="宋体" w:cs="宋体"/>
          <w:color w:val="auto"/>
          <w:szCs w:val="21"/>
          <w:highlight w:val="none"/>
        </w:rPr>
        <w:t>_</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p>
    <w:p>
      <w:pPr>
        <w:spacing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签字人姓名：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签字人姓名：</w:t>
      </w:r>
      <w:r>
        <w:rPr>
          <w:rFonts w:hint="eastAsia" w:ascii="宋体" w:hAnsi="宋体" w:eastAsia="宋体" w:cs="宋体"/>
          <w:color w:val="auto"/>
          <w:szCs w:val="21"/>
          <w:highlight w:val="none"/>
        </w:rPr>
        <w:t>_______________</w:t>
      </w:r>
      <w:r>
        <w:rPr>
          <w:rFonts w:hint="eastAsia" w:ascii="宋体" w:hAnsi="宋体" w:eastAsia="宋体" w:cs="宋体"/>
          <w:color w:val="auto"/>
          <w:highlight w:val="none"/>
          <w:u w:val="single"/>
        </w:rPr>
        <w:t xml:space="preserve">                            </w:t>
      </w:r>
    </w:p>
    <w:p>
      <w:pPr>
        <w:spacing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签字人签名：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签字人签名：</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rPr>
        <w:t>_______________</w:t>
      </w:r>
      <w:r>
        <w:rPr>
          <w:rFonts w:hint="eastAsia" w:ascii="宋体" w:hAnsi="宋体" w:eastAsia="宋体" w:cs="宋体"/>
          <w:color w:val="auto"/>
          <w:highlight w:val="none"/>
          <w:u w:val="single"/>
        </w:rPr>
        <w:t xml:space="preserve">                        </w:t>
      </w:r>
    </w:p>
    <w:p>
      <w:pPr>
        <w:pStyle w:val="21"/>
        <w:rPr>
          <w:rFonts w:hint="eastAsia" w:ascii="宋体" w:hAnsi="宋体" w:eastAsia="宋体" w:cs="宋体"/>
          <w:color w:val="auto"/>
          <w:highlight w:val="none"/>
          <w:u w:val="single"/>
        </w:rPr>
      </w:pPr>
    </w:p>
    <w:p>
      <w:pPr>
        <w:pStyle w:val="21"/>
        <w:rPr>
          <w:rFonts w:hint="eastAsia" w:ascii="宋体" w:hAnsi="宋体" w:eastAsia="宋体" w:cs="宋体"/>
          <w:color w:val="auto"/>
          <w:sz w:val="24"/>
          <w:szCs w:val="18"/>
          <w:highlight w:val="none"/>
          <w:u w:val="single"/>
        </w:rPr>
      </w:pPr>
      <w:r>
        <w:rPr>
          <w:rFonts w:hint="eastAsia" w:ascii="宋体" w:hAnsi="宋体" w:eastAsia="宋体" w:cs="宋体"/>
          <w:b/>
          <w:bCs/>
          <w:color w:val="auto"/>
          <w:sz w:val="24"/>
          <w:szCs w:val="18"/>
          <w:highlight w:val="none"/>
        </w:rPr>
        <w:t>注：制造商授权书盖章签字后上传扫描件</w:t>
      </w:r>
    </w:p>
    <w:p>
      <w:pPr>
        <w:spacing w:line="360" w:lineRule="auto"/>
        <w:jc w:val="center"/>
        <w:rPr>
          <w:rFonts w:hint="eastAsia" w:ascii="宋体" w:hAnsi="宋体" w:eastAsia="宋体" w:cs="宋体"/>
          <w:color w:val="auto"/>
          <w:highlight w:val="none"/>
        </w:rPr>
      </w:pPr>
    </w:p>
    <w:p>
      <w:pPr>
        <w:spacing w:line="440" w:lineRule="exact"/>
        <w:ind w:firstLine="137"/>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pPr>
        <w:spacing w:line="440" w:lineRule="exact"/>
        <w:ind w:firstLine="137"/>
        <w:jc w:val="left"/>
        <w:rPr>
          <w:rFonts w:hint="eastAsia" w:ascii="宋体" w:hAnsi="宋体" w:eastAsia="宋体" w:cs="宋体"/>
          <w:color w:val="auto"/>
          <w:highlight w:val="none"/>
        </w:rPr>
      </w:pPr>
    </w:p>
    <w:p>
      <w:pPr>
        <w:keepNext/>
        <w:keepLines/>
        <w:spacing w:line="43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t>（三）近</w:t>
      </w:r>
      <w:r>
        <w:rPr>
          <w:rFonts w:hint="eastAsia" w:ascii="宋体" w:hAnsi="宋体" w:eastAsia="宋体" w:cs="宋体"/>
          <w:color w:val="auto"/>
          <w:sz w:val="28"/>
          <w:highlight w:val="none"/>
          <w:lang w:val="en-US" w:eastAsia="zh-CN"/>
        </w:rPr>
        <w:t>三年经审计</w:t>
      </w:r>
      <w:r>
        <w:rPr>
          <w:rFonts w:hint="eastAsia" w:ascii="宋体" w:hAnsi="宋体" w:eastAsia="宋体" w:cs="宋体"/>
          <w:color w:val="auto"/>
          <w:sz w:val="28"/>
          <w:highlight w:val="none"/>
        </w:rPr>
        <w:t>年财务状况表</w:t>
      </w:r>
    </w:p>
    <w:p>
      <w:pPr>
        <w:spacing w:line="43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1. 投标人应根据投标人须知第3.5.2项的要求在本表后附相关证明材料扫描件。</w:t>
      </w: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widowControl/>
        <w:spacing w:line="430" w:lineRule="exact"/>
        <w:jc w:val="left"/>
        <w:rPr>
          <w:rFonts w:hint="eastAsia" w:ascii="宋体" w:hAnsi="宋体" w:eastAsia="宋体" w:cs="宋体"/>
          <w:color w:val="auto"/>
          <w:sz w:val="28"/>
          <w:highlight w:val="none"/>
        </w:rPr>
      </w:pPr>
      <w:bookmarkStart w:id="181" w:name="_Toc145001559"/>
      <w:bookmarkStart w:id="182" w:name="_Toc365387414"/>
      <w:bookmarkStart w:id="183" w:name="_Toc145014860"/>
      <w:bookmarkStart w:id="184" w:name="_Toc145014859"/>
      <w:bookmarkStart w:id="185" w:name="_Toc353429148"/>
      <w:bookmarkStart w:id="186" w:name="_Toc145001558"/>
      <w:r>
        <w:rPr>
          <w:rFonts w:hint="eastAsia" w:ascii="宋体" w:hAnsi="宋体" w:eastAsia="宋体" w:cs="宋体"/>
          <w:color w:val="auto"/>
          <w:sz w:val="28"/>
          <w:highlight w:val="none"/>
        </w:rPr>
        <w:t>(</w:t>
      </w:r>
      <w:bookmarkEnd w:id="181"/>
      <w:bookmarkEnd w:id="182"/>
      <w:bookmarkEnd w:id="183"/>
      <w:bookmarkEnd w:id="184"/>
      <w:bookmarkEnd w:id="185"/>
      <w:bookmarkEnd w:id="186"/>
      <w:r>
        <w:rPr>
          <w:rFonts w:hint="eastAsia" w:ascii="宋体" w:hAnsi="宋体" w:eastAsia="宋体" w:cs="宋体"/>
          <w:color w:val="auto"/>
          <w:sz w:val="28"/>
          <w:highlight w:val="none"/>
        </w:rPr>
        <w:t>四）信誉要求证明材料</w:t>
      </w:r>
    </w:p>
    <w:p>
      <w:pPr>
        <w:widowControl/>
        <w:spacing w:line="430" w:lineRule="exact"/>
        <w:jc w:val="left"/>
        <w:rPr>
          <w:rFonts w:hint="eastAsia" w:ascii="宋体" w:hAnsi="宋体" w:eastAsia="宋体" w:cs="宋体"/>
          <w:color w:val="auto"/>
          <w:highlight w:val="none"/>
        </w:rPr>
      </w:pPr>
    </w:p>
    <w:p>
      <w:pPr>
        <w:widowControl/>
        <w:spacing w:line="430" w:lineRule="exact"/>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承诺书</w:t>
      </w:r>
    </w:p>
    <w:p>
      <w:pPr>
        <w:keepNext w:val="0"/>
        <w:keepLines w:val="0"/>
        <w:pageBreakBefore w:val="0"/>
        <w:widowControl/>
        <w:kinsoku/>
        <w:wordWrap/>
        <w:overflowPunct/>
        <w:topLinePunct w:val="0"/>
        <w:autoSpaceDE/>
        <w:autoSpaceDN/>
        <w:bidi w:val="0"/>
        <w:adjustRightInd/>
        <w:snapToGrid/>
        <w:spacing w:line="430" w:lineRule="exact"/>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致：</w:t>
      </w:r>
      <w:r>
        <w:rPr>
          <w:rFonts w:hint="eastAsia" w:ascii="宋体" w:hAnsi="宋体" w:cs="宋体"/>
          <w:color w:val="auto"/>
          <w:highlight w:val="none"/>
          <w:lang w:val="en-US" w:eastAsia="zh-CN"/>
        </w:rPr>
        <w:t>云南昆钢兴达物业服务有限公司</w:t>
      </w:r>
    </w:p>
    <w:p>
      <w:pPr>
        <w:keepNext w:val="0"/>
        <w:keepLines w:val="0"/>
        <w:pageBreakBefore w:val="0"/>
        <w:widowControl/>
        <w:kinsoku/>
        <w:wordWrap/>
        <w:overflowPunct/>
        <w:topLinePunct w:val="0"/>
        <w:autoSpaceDE/>
        <w:autoSpaceDN/>
        <w:bidi w:val="0"/>
        <w:adjustRightInd/>
        <w:snapToGrid/>
        <w:spacing w:line="430" w:lineRule="exact"/>
        <w:ind w:firstLine="42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我方在此郑重承诺，所递交的投标文件及有关资料内容完整、真实和准确，且我方信誉良好，没有处于被责令停业，暂停或取消投标资格，财产被接管或冻结，破产状态，在最近三年内（2024年1月1日至今）没有骗取中标或严重违约或重大质量问题，无行贿等不良记录。</w:t>
      </w:r>
    </w:p>
    <w:p>
      <w:pPr>
        <w:widowControl/>
        <w:spacing w:line="430" w:lineRule="exact"/>
        <w:jc w:val="left"/>
        <w:rPr>
          <w:rFonts w:hint="eastAsia" w:ascii="宋体" w:hAnsi="宋体" w:eastAsia="宋体" w:cs="宋体"/>
          <w:color w:val="auto"/>
          <w:highlight w:val="none"/>
          <w:lang w:val="en-US" w:eastAsia="zh-CN"/>
        </w:rPr>
      </w:pPr>
    </w:p>
    <w:p>
      <w:pPr>
        <w:widowControl/>
        <w:spacing w:line="430" w:lineRule="exact"/>
        <w:jc w:val="left"/>
        <w:rPr>
          <w:rFonts w:hint="eastAsia" w:ascii="宋体" w:hAnsi="宋体" w:eastAsia="宋体" w:cs="宋体"/>
          <w:color w:val="auto"/>
          <w:highlight w:val="none"/>
          <w:lang w:val="en-US" w:eastAsia="zh-CN"/>
        </w:rPr>
      </w:pPr>
    </w:p>
    <w:p>
      <w:pPr>
        <w:spacing w:line="430" w:lineRule="exact"/>
        <w:ind w:firstLine="2730" w:firstLineChars="1300"/>
        <w:jc w:val="left"/>
        <w:rPr>
          <w:rFonts w:hint="eastAsia" w:ascii="宋体" w:hAnsi="宋体" w:eastAsia="宋体" w:cs="宋体"/>
          <w:color w:val="auto"/>
          <w:highlight w:val="none"/>
        </w:rPr>
      </w:pPr>
      <w:r>
        <w:rPr>
          <w:rFonts w:hint="eastAsia" w:ascii="宋体" w:hAnsi="宋体" w:eastAsia="宋体" w:cs="宋体"/>
          <w:color w:val="auto"/>
          <w:highlight w:val="none"/>
        </w:rPr>
        <w:t>投 标 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（电子签章）</w:t>
      </w:r>
    </w:p>
    <w:p>
      <w:pPr>
        <w:spacing w:line="430" w:lineRule="exact"/>
        <w:ind w:firstLine="2730" w:firstLineChars="1300"/>
        <w:jc w:val="left"/>
        <w:rPr>
          <w:rFonts w:hint="eastAsia" w:ascii="宋体" w:hAnsi="宋体" w:eastAsia="宋体" w:cs="宋体"/>
          <w:color w:val="auto"/>
          <w:highlight w:val="none"/>
        </w:rPr>
      </w:pPr>
    </w:p>
    <w:p>
      <w:pPr>
        <w:spacing w:line="430" w:lineRule="exact"/>
        <w:ind w:firstLine="2730" w:firstLineChars="1300"/>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（电子签章或电子签名）</w:t>
      </w:r>
    </w:p>
    <w:p>
      <w:pPr>
        <w:spacing w:line="430" w:lineRule="exact"/>
        <w:ind w:firstLine="2730" w:firstLineChars="1300"/>
        <w:rPr>
          <w:rFonts w:hint="eastAsia" w:ascii="宋体" w:hAnsi="宋体" w:eastAsia="宋体" w:cs="宋体"/>
          <w:color w:val="auto"/>
          <w:highlight w:val="none"/>
        </w:rPr>
      </w:pPr>
    </w:p>
    <w:p>
      <w:pPr>
        <w:spacing w:line="430" w:lineRule="exact"/>
        <w:ind w:firstLine="6930" w:firstLineChars="330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pPr>
        <w:widowControl/>
        <w:spacing w:line="430" w:lineRule="exact"/>
        <w:jc w:val="left"/>
        <w:rPr>
          <w:rFonts w:hint="eastAsia" w:ascii="宋体" w:hAnsi="宋体" w:eastAsia="宋体" w:cs="宋体"/>
          <w:b/>
          <w:bCs/>
          <w:color w:val="auto"/>
          <w:highlight w:val="none"/>
        </w:rPr>
      </w:pPr>
      <w:r>
        <w:rPr>
          <w:rFonts w:hint="eastAsia" w:ascii="宋体" w:hAnsi="宋体" w:eastAsia="宋体" w:cs="宋体"/>
          <w:b/>
          <w:bCs/>
          <w:color w:val="auto"/>
          <w:sz w:val="24"/>
          <w:highlight w:val="none"/>
        </w:rPr>
        <w:br w:type="page"/>
      </w:r>
    </w:p>
    <w:p>
      <w:pPr>
        <w:pStyle w:val="357"/>
        <w:ind w:firstLine="0" w:firstLineChars="0"/>
        <w:rPr>
          <w:rFonts w:hint="eastAsia" w:ascii="宋体" w:hAnsi="宋体" w:eastAsia="宋体" w:cs="宋体"/>
          <w:color w:val="auto"/>
          <w:kern w:val="2"/>
          <w:highlight w:val="none"/>
        </w:rPr>
      </w:pPr>
      <w:r>
        <w:rPr>
          <w:rFonts w:hint="eastAsia" w:ascii="宋体" w:hAnsi="宋体" w:eastAsia="宋体" w:cs="宋体"/>
          <w:color w:val="auto"/>
          <w:kern w:val="2"/>
          <w:highlight w:val="none"/>
          <w:lang w:val="en-US" w:eastAsia="zh-CN"/>
        </w:rPr>
        <w:t>1</w:t>
      </w:r>
      <w:r>
        <w:rPr>
          <w:rFonts w:hint="eastAsia" w:ascii="宋体" w:hAnsi="宋体" w:eastAsia="宋体" w:cs="宋体"/>
          <w:color w:val="auto"/>
          <w:kern w:val="2"/>
          <w:highlight w:val="none"/>
        </w:rPr>
        <w:t>、</w:t>
      </w:r>
      <w:r>
        <w:rPr>
          <w:rFonts w:hint="eastAsia" w:ascii="宋体" w:hAnsi="宋体" w:eastAsia="宋体" w:cs="宋体"/>
          <w:color w:val="auto"/>
          <w:kern w:val="2"/>
          <w:highlight w:val="none"/>
          <w:lang w:val="zh-CN"/>
        </w:rPr>
        <w:t>未被“信用中国”网站（www.creditchina.gov.cn)列入失信被执行人名单，</w:t>
      </w:r>
      <w:r>
        <w:rPr>
          <w:rFonts w:hint="eastAsia" w:ascii="宋体" w:hAnsi="宋体" w:eastAsia="宋体" w:cs="宋体"/>
          <w:color w:val="auto"/>
          <w:kern w:val="2"/>
          <w:highlight w:val="none"/>
        </w:rPr>
        <w:t>提供网站查询截图。</w:t>
      </w:r>
      <w:r>
        <w:rPr>
          <w:rFonts w:hint="eastAsia" w:ascii="宋体" w:hAnsi="宋体" w:eastAsia="宋体" w:cs="宋体"/>
          <w:b/>
          <w:bCs/>
          <w:color w:val="auto"/>
          <w:kern w:val="2"/>
          <w:highlight w:val="none"/>
        </w:rPr>
        <w:t>（提供查询结果网页截图，查询时间为招标公告发布至投标文件递交截止时间</w:t>
      </w:r>
      <w:r>
        <w:rPr>
          <w:rFonts w:hint="eastAsia" w:ascii="宋体" w:hAnsi="宋体" w:eastAsia="宋体" w:cs="宋体"/>
          <w:b/>
          <w:bCs/>
          <w:color w:val="auto"/>
          <w:kern w:val="2"/>
          <w:highlight w:val="none"/>
          <w:lang w:val="en-US" w:eastAsia="zh-CN"/>
        </w:rPr>
        <w:t>期间</w:t>
      </w:r>
      <w:r>
        <w:rPr>
          <w:rFonts w:hint="eastAsia" w:ascii="宋体" w:hAnsi="宋体" w:eastAsia="宋体" w:cs="宋体"/>
          <w:b/>
          <w:bCs/>
          <w:color w:val="auto"/>
          <w:kern w:val="2"/>
          <w:highlight w:val="none"/>
        </w:rPr>
        <w:t>）</w:t>
      </w:r>
    </w:p>
    <w:p>
      <w:pPr>
        <w:pStyle w:val="357"/>
        <w:ind w:firstLine="0" w:firstLineChars="0"/>
        <w:rPr>
          <w:rFonts w:hint="eastAsia" w:ascii="宋体" w:hAnsi="宋体" w:eastAsia="宋体" w:cs="宋体"/>
          <w:color w:val="auto"/>
          <w:sz w:val="28"/>
          <w:szCs w:val="28"/>
          <w:highlight w:val="none"/>
          <w:lang w:bidi="zh-CN"/>
        </w:rPr>
      </w:pPr>
      <w:r>
        <w:rPr>
          <w:rFonts w:hint="eastAsia" w:ascii="宋体" w:hAnsi="宋体" w:eastAsia="宋体" w:cs="宋体"/>
          <w:color w:val="auto"/>
          <w:sz w:val="28"/>
          <w:highlight w:val="none"/>
        </w:rPr>
        <mc:AlternateContent>
          <mc:Choice Requires="wps">
            <w:drawing>
              <wp:anchor distT="0" distB="0" distL="114300" distR="114300" simplePos="0" relativeHeight="251660288" behindDoc="0" locked="0" layoutInCell="1" allowOverlap="1">
                <wp:simplePos x="0" y="0"/>
                <wp:positionH relativeFrom="column">
                  <wp:posOffset>-8255</wp:posOffset>
                </wp:positionH>
                <wp:positionV relativeFrom="paragraph">
                  <wp:posOffset>114300</wp:posOffset>
                </wp:positionV>
                <wp:extent cx="6280150" cy="4556760"/>
                <wp:effectExtent l="4445" t="4445" r="9525" b="10795"/>
                <wp:wrapNone/>
                <wp:docPr id="3" name="矩形 3"/>
                <wp:cNvGraphicFramePr/>
                <a:graphic xmlns:a="http://schemas.openxmlformats.org/drawingml/2006/main">
                  <a:graphicData uri="http://schemas.microsoft.com/office/word/2010/wordprocessingShape">
                    <wps:wsp>
                      <wps:cNvSpPr/>
                      <wps:spPr>
                        <a:xfrm>
                          <a:off x="0" y="0"/>
                          <a:ext cx="6280150" cy="45567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Style w:val="357"/>
                              <w:ind w:firstLine="420"/>
                              <w:jc w:val="center"/>
                            </w:pPr>
                            <w:r>
                              <w:rPr>
                                <w:rFonts w:hint="eastAsia"/>
                              </w:rPr>
                              <w:t>截图位置（下图为示例）</w:t>
                            </w:r>
                          </w:p>
                          <w:p>
                            <w:pPr>
                              <w:pStyle w:val="357"/>
                              <w:ind w:firstLine="420"/>
                              <w:jc w:val="center"/>
                            </w:pPr>
                          </w:p>
                          <w:p>
                            <w:pPr>
                              <w:pStyle w:val="357"/>
                              <w:ind w:firstLine="420"/>
                              <w:jc w:val="center"/>
                            </w:pPr>
                            <w:r>
                              <w:rPr>
                                <w:rFonts w:hint="eastAsia"/>
                              </w:rPr>
                              <w:drawing>
                                <wp:inline distT="0" distB="0" distL="114300" distR="114300">
                                  <wp:extent cx="5488940" cy="3115945"/>
                                  <wp:effectExtent l="0" t="0" r="12700" b="8255"/>
                                  <wp:docPr id="4" name="图片 4" descr="kk_image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kk_image111"/>
                                          <pic:cNvPicPr>
                                            <a:picLocks noChangeAspect="1"/>
                                          </pic:cNvPicPr>
                                        </pic:nvPicPr>
                                        <pic:blipFill>
                                          <a:blip r:embed="rId7"/>
                                          <a:stretch>
                                            <a:fillRect/>
                                          </a:stretch>
                                        </pic:blipFill>
                                        <pic:spPr>
                                          <a:xfrm>
                                            <a:off x="0" y="0"/>
                                            <a:ext cx="5488940" cy="3115945"/>
                                          </a:xfrm>
                                          <a:prstGeom prst="rect">
                                            <a:avLst/>
                                          </a:prstGeom>
                                        </pic:spPr>
                                      </pic:pic>
                                    </a:graphicData>
                                  </a:graphic>
                                </wp:inline>
                              </w:drawing>
                            </w:r>
                          </w:p>
                          <w:p>
                            <w:pPr>
                              <w:pStyle w:val="357"/>
                              <w:ind w:firstLine="420"/>
                            </w:pPr>
                          </w:p>
                        </w:txbxContent>
                      </wps:txbx>
                      <wps:bodyPr anchor="ctr" anchorCtr="0" upright="1"/>
                    </wps:wsp>
                  </a:graphicData>
                </a:graphic>
              </wp:anchor>
            </w:drawing>
          </mc:Choice>
          <mc:Fallback>
            <w:pict>
              <v:rect id="_x0000_s1026" o:spid="_x0000_s1026" o:spt="1" style="position:absolute;left:0pt;margin-left:-0.65pt;margin-top:9pt;height:358.8pt;width:494.5pt;z-index:251660288;v-text-anchor:middle;mso-width-relative:page;mso-height-relative:page;" fillcolor="#FFFFFF" filled="t" stroked="t" coordsize="21600,21600" o:gfxdata="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RNfHzaAAAACQEAAA8AAAAA&#10;AAAAAQAgAAAAIgAAAGRycy9kb3ducmV2LnhtbFBLAQIUABQAAAAIAIdO4kA02E/7EgIAAEUEAAAO&#10;AAAAAAAAAAEAIAAAACkBAABkcnMvZTJvRG9jLnhtbFBLBQYAAAAABgAGAFkBAACtBQAAAAA=&#10;">
                <v:fill on="t" focussize="0,0"/>
                <v:stroke color="#000000" joinstyle="miter"/>
                <v:imagedata o:title=""/>
                <o:lock v:ext="edit" aspectratio="f"/>
                <v:textbox>
                  <w:txbxContent>
                    <w:p>
                      <w:pPr>
                        <w:pStyle w:val="357"/>
                        <w:ind w:firstLine="420"/>
                        <w:jc w:val="center"/>
                      </w:pPr>
                      <w:r>
                        <w:rPr>
                          <w:rFonts w:hint="eastAsia"/>
                        </w:rPr>
                        <w:t>截图位置（下图为示例）</w:t>
                      </w:r>
                    </w:p>
                    <w:p>
                      <w:pPr>
                        <w:pStyle w:val="357"/>
                        <w:ind w:firstLine="420"/>
                        <w:jc w:val="center"/>
                      </w:pPr>
                    </w:p>
                    <w:p>
                      <w:pPr>
                        <w:pStyle w:val="357"/>
                        <w:ind w:firstLine="420"/>
                        <w:jc w:val="center"/>
                      </w:pPr>
                      <w:r>
                        <w:rPr>
                          <w:rFonts w:hint="eastAsia"/>
                        </w:rPr>
                        <w:drawing>
                          <wp:inline distT="0" distB="0" distL="114300" distR="114300">
                            <wp:extent cx="5488940" cy="3115945"/>
                            <wp:effectExtent l="0" t="0" r="12700" b="8255"/>
                            <wp:docPr id="4" name="图片 4" descr="kk_image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kk_image111"/>
                                    <pic:cNvPicPr>
                                      <a:picLocks noChangeAspect="1"/>
                                    </pic:cNvPicPr>
                                  </pic:nvPicPr>
                                  <pic:blipFill>
                                    <a:blip r:embed="rId7"/>
                                    <a:stretch>
                                      <a:fillRect/>
                                    </a:stretch>
                                  </pic:blipFill>
                                  <pic:spPr>
                                    <a:xfrm>
                                      <a:off x="0" y="0"/>
                                      <a:ext cx="5488940" cy="3115945"/>
                                    </a:xfrm>
                                    <a:prstGeom prst="rect">
                                      <a:avLst/>
                                    </a:prstGeom>
                                  </pic:spPr>
                                </pic:pic>
                              </a:graphicData>
                            </a:graphic>
                          </wp:inline>
                        </w:drawing>
                      </w:r>
                    </w:p>
                    <w:p>
                      <w:pPr>
                        <w:pStyle w:val="357"/>
                        <w:ind w:firstLine="420"/>
                      </w:pPr>
                    </w:p>
                  </w:txbxContent>
                </v:textbox>
              </v:rect>
            </w:pict>
          </mc:Fallback>
        </mc:AlternateContent>
      </w:r>
    </w:p>
    <w:p>
      <w:pPr>
        <w:pStyle w:val="357"/>
        <w:ind w:firstLine="0" w:firstLineChars="0"/>
        <w:rPr>
          <w:rFonts w:hint="eastAsia" w:ascii="宋体" w:hAnsi="宋体" w:eastAsia="宋体" w:cs="宋体"/>
          <w:color w:val="auto"/>
          <w:highlight w:val="none"/>
        </w:rPr>
      </w:pPr>
    </w:p>
    <w:p>
      <w:pPr>
        <w:pStyle w:val="357"/>
        <w:ind w:firstLine="0" w:firstLineChars="0"/>
        <w:rPr>
          <w:rFonts w:hint="eastAsia" w:ascii="宋体" w:hAnsi="宋体" w:eastAsia="宋体" w:cs="宋体"/>
          <w:color w:val="auto"/>
          <w:highlight w:val="none"/>
        </w:rPr>
      </w:pPr>
    </w:p>
    <w:p>
      <w:pPr>
        <w:pStyle w:val="357"/>
        <w:ind w:firstLine="0" w:firstLineChars="0"/>
        <w:rPr>
          <w:rFonts w:hint="eastAsia" w:ascii="宋体" w:hAnsi="宋体" w:eastAsia="宋体" w:cs="宋体"/>
          <w:color w:val="auto"/>
          <w:highlight w:val="none"/>
        </w:rPr>
      </w:pPr>
    </w:p>
    <w:p>
      <w:pPr>
        <w:pStyle w:val="357"/>
        <w:ind w:firstLine="0" w:firstLineChars="0"/>
        <w:rPr>
          <w:rFonts w:hint="eastAsia" w:ascii="宋体" w:hAnsi="宋体" w:eastAsia="宋体" w:cs="宋体"/>
          <w:color w:val="auto"/>
          <w:highlight w:val="none"/>
        </w:rPr>
      </w:pPr>
    </w:p>
    <w:p>
      <w:pPr>
        <w:pStyle w:val="357"/>
        <w:ind w:firstLine="0" w:firstLineChars="0"/>
        <w:rPr>
          <w:rFonts w:hint="eastAsia" w:ascii="宋体" w:hAnsi="宋体" w:eastAsia="宋体" w:cs="宋体"/>
          <w:color w:val="auto"/>
          <w:highlight w:val="none"/>
        </w:rPr>
      </w:pPr>
    </w:p>
    <w:p>
      <w:pPr>
        <w:pStyle w:val="357"/>
        <w:ind w:firstLine="0" w:firstLineChars="0"/>
        <w:rPr>
          <w:rFonts w:hint="eastAsia" w:ascii="宋体" w:hAnsi="宋体" w:eastAsia="宋体" w:cs="宋体"/>
          <w:color w:val="auto"/>
          <w:highlight w:val="none"/>
        </w:rPr>
      </w:pPr>
    </w:p>
    <w:p>
      <w:pPr>
        <w:pStyle w:val="357"/>
        <w:ind w:firstLine="0" w:firstLineChars="0"/>
        <w:rPr>
          <w:rFonts w:hint="eastAsia" w:ascii="宋体" w:hAnsi="宋体" w:eastAsia="宋体" w:cs="宋体"/>
          <w:color w:val="auto"/>
          <w:highlight w:val="none"/>
        </w:rPr>
      </w:pPr>
    </w:p>
    <w:p>
      <w:pPr>
        <w:pStyle w:val="357"/>
        <w:ind w:firstLine="0" w:firstLineChars="0"/>
        <w:rPr>
          <w:rFonts w:hint="eastAsia" w:ascii="宋体" w:hAnsi="宋体" w:eastAsia="宋体" w:cs="宋体"/>
          <w:color w:val="auto"/>
          <w:highlight w:val="none"/>
        </w:rPr>
      </w:pPr>
    </w:p>
    <w:p>
      <w:pPr>
        <w:pStyle w:val="357"/>
        <w:ind w:firstLine="0" w:firstLineChars="0"/>
        <w:rPr>
          <w:rFonts w:hint="eastAsia" w:ascii="宋体" w:hAnsi="宋体" w:eastAsia="宋体" w:cs="宋体"/>
          <w:color w:val="auto"/>
          <w:highlight w:val="none"/>
        </w:rPr>
      </w:pPr>
    </w:p>
    <w:p>
      <w:pPr>
        <w:pStyle w:val="357"/>
        <w:ind w:firstLine="0" w:firstLineChars="0"/>
        <w:rPr>
          <w:rFonts w:hint="eastAsia" w:ascii="宋体" w:hAnsi="宋体" w:eastAsia="宋体" w:cs="宋体"/>
          <w:color w:val="auto"/>
          <w:highlight w:val="none"/>
        </w:rPr>
      </w:pPr>
    </w:p>
    <w:p>
      <w:pPr>
        <w:pStyle w:val="357"/>
        <w:ind w:firstLine="0" w:firstLineChars="0"/>
        <w:rPr>
          <w:rFonts w:hint="eastAsia" w:ascii="宋体" w:hAnsi="宋体" w:eastAsia="宋体" w:cs="宋体"/>
          <w:color w:val="auto"/>
          <w:highlight w:val="none"/>
        </w:rPr>
      </w:pPr>
    </w:p>
    <w:p>
      <w:pPr>
        <w:pStyle w:val="357"/>
        <w:ind w:firstLine="0" w:firstLineChars="0"/>
        <w:rPr>
          <w:rFonts w:hint="eastAsia" w:ascii="宋体" w:hAnsi="宋体" w:eastAsia="宋体" w:cs="宋体"/>
          <w:color w:val="auto"/>
          <w:highlight w:val="none"/>
        </w:rPr>
      </w:pPr>
    </w:p>
    <w:p>
      <w:pPr>
        <w:pStyle w:val="357"/>
        <w:ind w:firstLine="0" w:firstLineChars="0"/>
        <w:rPr>
          <w:rFonts w:hint="eastAsia" w:ascii="宋体" w:hAnsi="宋体" w:eastAsia="宋体" w:cs="宋体"/>
          <w:color w:val="auto"/>
          <w:highlight w:val="none"/>
        </w:rPr>
      </w:pPr>
    </w:p>
    <w:p>
      <w:pPr>
        <w:pStyle w:val="357"/>
        <w:ind w:firstLine="0" w:firstLineChars="0"/>
        <w:rPr>
          <w:rFonts w:hint="eastAsia" w:ascii="宋体" w:hAnsi="宋体" w:eastAsia="宋体" w:cs="宋体"/>
          <w:color w:val="auto"/>
          <w:highlight w:val="none"/>
        </w:rPr>
      </w:pP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widowControl/>
        <w:numPr>
          <w:ilvl w:val="0"/>
          <w:numId w:val="0"/>
        </w:numPr>
        <w:spacing w:after="200" w:line="360" w:lineRule="auto"/>
        <w:jc w:val="both"/>
        <w:rPr>
          <w:rFonts w:hint="eastAsia" w:ascii="宋体" w:hAnsi="宋体" w:eastAsia="宋体" w:cs="宋体"/>
          <w:kern w:val="0"/>
          <w:sz w:val="24"/>
          <w:szCs w:val="24"/>
          <w:lang w:eastAsia="zh-CN" w:bidi="zh-CN"/>
        </w:rPr>
      </w:pPr>
      <w:r>
        <w:rPr>
          <w:rFonts w:hint="eastAsia" w:ascii="宋体" w:hAnsi="宋体" w:eastAsia="宋体" w:cs="宋体"/>
          <w:color w:val="auto"/>
          <w:kern w:val="2"/>
          <w:highlight w:val="none"/>
          <w:lang w:val="en-US" w:eastAsia="zh-CN"/>
        </w:rPr>
        <w:t>2</w:t>
      </w:r>
      <w:r>
        <w:rPr>
          <w:rFonts w:hint="eastAsia" w:ascii="宋体" w:hAnsi="宋体" w:eastAsia="宋体" w:cs="宋体"/>
          <w:color w:val="auto"/>
          <w:kern w:val="2"/>
          <w:highlight w:val="none"/>
        </w:rPr>
        <w:t>、</w:t>
      </w:r>
      <w:r>
        <w:rPr>
          <w:rFonts w:hint="eastAsia" w:ascii="宋体" w:hAnsi="宋体" w:eastAsia="宋体" w:cs="宋体"/>
          <w:highlight w:val="white"/>
          <w:lang w:val="zh-CN" w:eastAsia="zh-CN" w:bidi="zh-CN"/>
        </w:rPr>
        <w:t>未被国家企业信用信息公示系统（www.gsxt.gov.cn）列入严重违法失信企业名单，</w:t>
      </w:r>
      <w:r>
        <w:rPr>
          <w:rFonts w:hint="eastAsia" w:ascii="宋体" w:hAnsi="宋体" w:eastAsia="宋体" w:cs="宋体"/>
          <w:highlight w:val="white"/>
          <w:lang w:eastAsia="zh-CN" w:bidi="zh-CN"/>
        </w:rPr>
        <w:t>提供网站查询截图</w:t>
      </w:r>
      <w:r>
        <w:rPr>
          <w:rFonts w:hint="eastAsia" w:ascii="宋体" w:hAnsi="宋体" w:eastAsia="宋体" w:cs="宋体"/>
          <w:color w:val="auto"/>
          <w:kern w:val="2"/>
          <w:highlight w:val="none"/>
        </w:rPr>
        <w:t>。</w:t>
      </w:r>
      <w:r>
        <w:rPr>
          <w:rFonts w:hint="eastAsia" w:ascii="宋体" w:hAnsi="宋体" w:eastAsia="宋体" w:cs="宋体"/>
          <w:b/>
          <w:bCs/>
          <w:color w:val="auto"/>
          <w:kern w:val="2"/>
          <w:highlight w:val="none"/>
        </w:rPr>
        <w:t>（提供查询结果网页截图，查询时间为招标公告发布至投标文件递交截止时间</w:t>
      </w:r>
      <w:r>
        <w:rPr>
          <w:rFonts w:hint="eastAsia" w:ascii="宋体" w:hAnsi="宋体" w:eastAsia="宋体" w:cs="宋体"/>
          <w:b/>
          <w:bCs/>
          <w:color w:val="auto"/>
          <w:kern w:val="2"/>
          <w:highlight w:val="none"/>
          <w:lang w:val="en-US" w:eastAsia="zh-CN"/>
        </w:rPr>
        <w:t>期间</w:t>
      </w:r>
      <w:r>
        <w:rPr>
          <w:rFonts w:hint="eastAsia" w:ascii="宋体" w:hAnsi="宋体" w:eastAsia="宋体" w:cs="宋体"/>
          <w:b/>
          <w:bCs/>
          <w:color w:val="auto"/>
          <w:kern w:val="2"/>
          <w:highlight w:val="none"/>
        </w:rPr>
        <w:t>）</w:t>
      </w:r>
    </w:p>
    <w:p>
      <w:pPr>
        <w:widowControl/>
        <w:numPr>
          <w:ilvl w:val="0"/>
          <w:numId w:val="0"/>
        </w:numPr>
        <w:spacing w:after="200" w:line="360" w:lineRule="auto"/>
        <w:ind w:left="0" w:firstLine="0"/>
        <w:jc w:val="both"/>
        <w:rPr>
          <w:rFonts w:hint="eastAsia" w:ascii="黑体" w:hAnsi="黑体" w:eastAsia="黑体" w:cs="黑体"/>
          <w:kern w:val="0"/>
          <w:sz w:val="28"/>
          <w:szCs w:val="28"/>
          <w:shd w:val="clear" w:color="FFFFFF" w:fill="D9D9D9"/>
          <w:lang w:eastAsia="zh-CN" w:bidi="zh-CN"/>
        </w:rPr>
      </w:pPr>
      <w:r>
        <w:rPr>
          <w:rFonts w:ascii="Times New Roman" w:hAnsi="Times New Roman" w:eastAsia="Times New Roman" w:cs="Times New Roman"/>
          <w:color w:val="auto"/>
          <w:kern w:val="0"/>
          <w:sz w:val="28"/>
          <w:szCs w:val="24"/>
          <w:shd w:val="clear" w:color="FFFFFF" w:fill="D9D9D9"/>
        </w:rPr>
        <mc:AlternateContent>
          <mc:Choice Requires="wps">
            <w:drawing>
              <wp:anchor distT="0" distB="0" distL="114300" distR="114300" simplePos="0" relativeHeight="251661312" behindDoc="0" locked="0" layoutInCell="1" allowOverlap="1">
                <wp:simplePos x="0" y="0"/>
                <wp:positionH relativeFrom="column">
                  <wp:posOffset>21590</wp:posOffset>
                </wp:positionH>
                <wp:positionV relativeFrom="paragraph">
                  <wp:posOffset>84455</wp:posOffset>
                </wp:positionV>
                <wp:extent cx="6233160" cy="3651250"/>
                <wp:effectExtent l="5080" t="5080" r="10160" b="13970"/>
                <wp:wrapNone/>
                <wp:docPr id="5" name="文本框 5"/>
                <wp:cNvGraphicFramePr/>
                <a:graphic xmlns:a="http://schemas.openxmlformats.org/drawingml/2006/main">
                  <a:graphicData uri="http://schemas.microsoft.com/office/word/2010/wordprocessingShape">
                    <wps:wsp>
                      <wps:cNvSpPr txBox="1"/>
                      <wps:spPr>
                        <a:xfrm>
                          <a:off x="0" y="0"/>
                          <a:ext cx="6233160" cy="36512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Style w:val="359"/>
                              <w:spacing w:after="200"/>
                              <w:jc w:val="left"/>
                              <w:rPr>
                                <w:rFonts w:hint="default" w:ascii="仿宋_GB2312" w:hAnsi="MingLiU" w:eastAsia="仿宋_GB2312" w:cs="仿宋_GB2312"/>
                                <w:color w:val="000000"/>
                                <w:sz w:val="21"/>
                                <w:szCs w:val="21"/>
                                <w:highlight w:val="none"/>
                                <w:lang w:val="en-US" w:eastAsia="zh-CN"/>
                              </w:rPr>
                            </w:pPr>
                            <w:r>
                              <w:rPr>
                                <w:rFonts w:hint="eastAsia" w:ascii="仿宋_GB2312" w:hAnsi="MingLiU" w:eastAsia="仿宋_GB2312" w:cs="仿宋_GB2312"/>
                                <w:color w:val="000000"/>
                                <w:sz w:val="21"/>
                                <w:szCs w:val="21"/>
                                <w:highlight w:val="white"/>
                                <w:lang w:val="en-US" w:eastAsia="zh-CN"/>
                              </w:rPr>
                              <w:t>截图中需体现网址、公司信息、查询内容、截图时间几个关键要素，如示意图：</w:t>
                            </w:r>
                          </w:p>
                          <w:p>
                            <w:pPr>
                              <w:pStyle w:val="359"/>
                              <w:spacing w:after="200"/>
                              <w:jc w:val="center"/>
                              <w:rPr>
                                <w:rFonts w:hint="eastAsia" w:ascii="仿宋_GB2312" w:hAnsi="MingLiU" w:eastAsia="仿宋_GB2312" w:cs="仿宋_GB2312"/>
                                <w:color w:val="000000"/>
                                <w:sz w:val="32"/>
                                <w:szCs w:val="32"/>
                                <w:lang w:val="en-US" w:eastAsia="zh-CN"/>
                              </w:rPr>
                            </w:pPr>
                            <w:r>
                              <w:rPr>
                                <w:rFonts w:ascii="Times New Roman" w:hAnsi="Times New Roman"/>
                              </w:rPr>
                              <w:drawing>
                                <wp:inline distT="0" distB="0" distL="114300" distR="114300">
                                  <wp:extent cx="4161155" cy="2550795"/>
                                  <wp:effectExtent l="0" t="0" r="444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8"/>
                                          <a:stretch>
                                            <a:fillRect/>
                                          </a:stretch>
                                        </pic:blipFill>
                                        <pic:spPr>
                                          <a:xfrm>
                                            <a:off x="0" y="0"/>
                                            <a:ext cx="4161155" cy="2550795"/>
                                          </a:xfrm>
                                          <a:prstGeom prst="rect">
                                            <a:avLst/>
                                          </a:prstGeom>
                                          <a:noFill/>
                                          <a:ln>
                                            <a:noFill/>
                                          </a:ln>
                                        </pic:spPr>
                                      </pic:pic>
                                    </a:graphicData>
                                  </a:graphic>
                                </wp:inline>
                              </w:drawing>
                            </w:r>
                          </w:p>
                          <w:p>
                            <w:pPr>
                              <w:pStyle w:val="359"/>
                              <w:spacing w:after="200"/>
                              <w:jc w:val="center"/>
                              <w:rPr>
                                <w:rFonts w:hint="eastAsia" w:ascii="Times New Roman" w:hAnsi="Times New Roman"/>
                                <w:lang w:val="en-US" w:eastAsia="zh-CN"/>
                              </w:rPr>
                            </w:pPr>
                            <w:r>
                              <w:rPr>
                                <w:rFonts w:hint="eastAsia" w:ascii="Times New Roman" w:hAnsi="Times New Roman"/>
                                <w:highlight w:val="white"/>
                                <w:lang w:val="en-US" w:eastAsia="zh-CN"/>
                              </w:rPr>
                              <w:t>截图位置</w:t>
                            </w:r>
                          </w:p>
                          <w:p>
                            <w:pPr>
                              <w:pStyle w:val="359"/>
                              <w:spacing w:after="200"/>
                              <w:jc w:val="center"/>
                              <w:rPr>
                                <w:rFonts w:hint="default" w:ascii="Times New Roman" w:hAnsi="Times New Roman"/>
                                <w:sz w:val="21"/>
                                <w:szCs w:val="21"/>
                                <w:lang w:val="en-US" w:eastAsia="zh-CN"/>
                              </w:rPr>
                            </w:pPr>
                          </w:p>
                        </w:txbxContent>
                      </wps:txbx>
                      <wps:bodyPr anchor="ctr" anchorCtr="0" upright="1"/>
                    </wps:wsp>
                  </a:graphicData>
                </a:graphic>
              </wp:anchor>
            </w:drawing>
          </mc:Choice>
          <mc:Fallback>
            <w:pict>
              <v:shape id="_x0000_s1026" o:spid="_x0000_s1026" o:spt="202" type="#_x0000_t202" style="position:absolute;left:0pt;margin-left:1.7pt;margin-top:6.65pt;height:287.5pt;width:490.8pt;z-index:251661312;v-text-anchor:middle;mso-width-relative:page;mso-height-relative:page;" fillcolor="#FFFFFF" filled="t" stroked="t" coordsize="21600,21600" o:gfxdata="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PkecK1QAAAAgBAAAP&#10;AAAAAAAAAAEAIAAAACIAAABkcnMvZG93bnJldi54bWxQSwECFAAUAAAACACHTuJAeWnbnRsCAABS&#10;BAAADgAAAAAAAAABACAAAAAkAQAAZHJzL2Uyb0RvYy54bWxQSwUGAAAAAAYABgBZAQAAsQUAAAAA&#10;">
                <v:fill on="t" focussize="0,0"/>
                <v:stroke color="#000000" joinstyle="miter"/>
                <v:imagedata o:title=""/>
                <o:lock v:ext="edit" aspectratio="f"/>
                <v:textbox>
                  <w:txbxContent>
                    <w:p>
                      <w:pPr>
                        <w:pStyle w:val="359"/>
                        <w:spacing w:after="200"/>
                        <w:jc w:val="left"/>
                        <w:rPr>
                          <w:rFonts w:hint="default" w:ascii="仿宋_GB2312" w:hAnsi="MingLiU" w:eastAsia="仿宋_GB2312" w:cs="仿宋_GB2312"/>
                          <w:color w:val="000000"/>
                          <w:sz w:val="21"/>
                          <w:szCs w:val="21"/>
                          <w:highlight w:val="none"/>
                          <w:lang w:val="en-US" w:eastAsia="zh-CN"/>
                        </w:rPr>
                      </w:pPr>
                      <w:r>
                        <w:rPr>
                          <w:rFonts w:hint="eastAsia" w:ascii="仿宋_GB2312" w:hAnsi="MingLiU" w:eastAsia="仿宋_GB2312" w:cs="仿宋_GB2312"/>
                          <w:color w:val="000000"/>
                          <w:sz w:val="21"/>
                          <w:szCs w:val="21"/>
                          <w:highlight w:val="white"/>
                          <w:lang w:val="en-US" w:eastAsia="zh-CN"/>
                        </w:rPr>
                        <w:t>截图中需体现网址、公司信息、查询内容、截图时间几个关键要素，如示意图：</w:t>
                      </w:r>
                    </w:p>
                    <w:p>
                      <w:pPr>
                        <w:pStyle w:val="359"/>
                        <w:spacing w:after="200"/>
                        <w:jc w:val="center"/>
                        <w:rPr>
                          <w:rFonts w:hint="eastAsia" w:ascii="仿宋_GB2312" w:hAnsi="MingLiU" w:eastAsia="仿宋_GB2312" w:cs="仿宋_GB2312"/>
                          <w:color w:val="000000"/>
                          <w:sz w:val="32"/>
                          <w:szCs w:val="32"/>
                          <w:lang w:val="en-US" w:eastAsia="zh-CN"/>
                        </w:rPr>
                      </w:pPr>
                      <w:r>
                        <w:rPr>
                          <w:rFonts w:ascii="Times New Roman" w:hAnsi="Times New Roman"/>
                        </w:rPr>
                        <w:drawing>
                          <wp:inline distT="0" distB="0" distL="114300" distR="114300">
                            <wp:extent cx="4161155" cy="2550795"/>
                            <wp:effectExtent l="0" t="0" r="444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8"/>
                                    <a:stretch>
                                      <a:fillRect/>
                                    </a:stretch>
                                  </pic:blipFill>
                                  <pic:spPr>
                                    <a:xfrm>
                                      <a:off x="0" y="0"/>
                                      <a:ext cx="4161155" cy="2550795"/>
                                    </a:xfrm>
                                    <a:prstGeom prst="rect">
                                      <a:avLst/>
                                    </a:prstGeom>
                                    <a:noFill/>
                                    <a:ln>
                                      <a:noFill/>
                                    </a:ln>
                                  </pic:spPr>
                                </pic:pic>
                              </a:graphicData>
                            </a:graphic>
                          </wp:inline>
                        </w:drawing>
                      </w:r>
                    </w:p>
                    <w:p>
                      <w:pPr>
                        <w:pStyle w:val="359"/>
                        <w:spacing w:after="200"/>
                        <w:jc w:val="center"/>
                        <w:rPr>
                          <w:rFonts w:hint="eastAsia" w:ascii="Times New Roman" w:hAnsi="Times New Roman"/>
                          <w:lang w:val="en-US" w:eastAsia="zh-CN"/>
                        </w:rPr>
                      </w:pPr>
                      <w:r>
                        <w:rPr>
                          <w:rFonts w:hint="eastAsia" w:ascii="Times New Roman" w:hAnsi="Times New Roman"/>
                          <w:highlight w:val="white"/>
                          <w:lang w:val="en-US" w:eastAsia="zh-CN"/>
                        </w:rPr>
                        <w:t>截图位置</w:t>
                      </w:r>
                    </w:p>
                    <w:p>
                      <w:pPr>
                        <w:pStyle w:val="359"/>
                        <w:spacing w:after="200"/>
                        <w:jc w:val="center"/>
                        <w:rPr>
                          <w:rFonts w:hint="default" w:ascii="Times New Roman" w:hAnsi="Times New Roman"/>
                          <w:sz w:val="21"/>
                          <w:szCs w:val="21"/>
                          <w:lang w:val="en-US" w:eastAsia="zh-CN"/>
                        </w:rPr>
                      </w:pPr>
                    </w:p>
                  </w:txbxContent>
                </v:textbox>
              </v:shape>
            </w:pict>
          </mc:Fallback>
        </mc:AlternateContent>
      </w:r>
    </w:p>
    <w:p>
      <w:pPr>
        <w:widowControl/>
        <w:numPr>
          <w:ilvl w:val="0"/>
          <w:numId w:val="0"/>
        </w:numPr>
        <w:spacing w:after="200" w:line="360" w:lineRule="auto"/>
        <w:ind w:left="0" w:firstLine="0"/>
        <w:jc w:val="both"/>
        <w:rPr>
          <w:rFonts w:hint="eastAsia" w:ascii="黑体" w:hAnsi="黑体" w:eastAsia="黑体" w:cs="黑体"/>
          <w:kern w:val="0"/>
          <w:sz w:val="28"/>
          <w:szCs w:val="28"/>
          <w:shd w:val="clear" w:color="FFFFFF" w:fill="D9D9D9"/>
          <w:lang w:eastAsia="zh-CN" w:bidi="zh-CN"/>
        </w:rPr>
      </w:pPr>
    </w:p>
    <w:p>
      <w:pPr>
        <w:pStyle w:val="357"/>
        <w:ind w:firstLine="560"/>
        <w:rPr>
          <w:rFonts w:hint="eastAsia" w:ascii="宋体" w:hAnsi="宋体" w:eastAsia="宋体" w:cs="宋体"/>
          <w:color w:val="auto"/>
          <w:sz w:val="28"/>
          <w:szCs w:val="28"/>
          <w:highlight w:val="none"/>
          <w:lang w:bidi="zh-CN"/>
        </w:rPr>
      </w:pPr>
      <w:r>
        <w:rPr>
          <w:rFonts w:hint="eastAsia" w:ascii="黑体" w:hAnsi="黑体" w:eastAsia="黑体" w:cs="黑体"/>
          <w:kern w:val="0"/>
          <w:sz w:val="28"/>
          <w:szCs w:val="28"/>
          <w:highlight w:val="white"/>
          <w:shd w:val="clear" w:color="FFFFFF" w:fill="D9D9D9"/>
          <w:lang w:val="zh-CN" w:eastAsia="zh-CN" w:bidi="zh-CN"/>
        </w:rPr>
        <w:br w:type="page"/>
      </w:r>
    </w:p>
    <w:p>
      <w:pPr>
        <w:numPr>
          <w:ilvl w:val="0"/>
          <w:numId w:val="13"/>
        </w:numPr>
        <w:rPr>
          <w:rFonts w:hint="eastAsia" w:ascii="宋体" w:hAnsi="宋体" w:cs="宋体"/>
          <w:color w:val="auto"/>
          <w:sz w:val="28"/>
          <w:highlight w:val="none"/>
          <w:lang w:val="en-US" w:eastAsia="zh-CN"/>
        </w:rPr>
      </w:pPr>
      <w:r>
        <w:rPr>
          <w:rFonts w:hint="eastAsia" w:ascii="宋体" w:hAnsi="宋体" w:cs="宋体"/>
          <w:color w:val="auto"/>
          <w:sz w:val="28"/>
          <w:highlight w:val="none"/>
          <w:lang w:val="en-US" w:eastAsia="zh-CN"/>
        </w:rPr>
        <w:t>投标人资质证书（电梯资质）</w:t>
      </w:r>
    </w:p>
    <w:p>
      <w:pPr>
        <w:rPr>
          <w:rFonts w:hint="eastAsia"/>
          <w:lang w:val="en-US" w:eastAsia="zh-CN"/>
        </w:rPr>
      </w:pPr>
      <w:r>
        <w:rPr>
          <w:rFonts w:hint="eastAsia"/>
          <w:lang w:val="en-US" w:eastAsia="zh-CN"/>
        </w:rPr>
        <w:br w:type="page"/>
      </w:r>
    </w:p>
    <w:p>
      <w:pPr>
        <w:numPr>
          <w:ilvl w:val="0"/>
          <w:numId w:val="14"/>
        </w:numPr>
        <w:jc w:val="left"/>
        <w:rPr>
          <w:rFonts w:hint="eastAsia" w:ascii="宋体" w:hAnsi="宋体" w:cs="宋体"/>
          <w:color w:val="auto"/>
          <w:sz w:val="28"/>
          <w:highlight w:val="none"/>
          <w:lang w:val="en-US" w:eastAsia="zh-CN"/>
        </w:rPr>
      </w:pPr>
      <w:r>
        <w:rPr>
          <w:rFonts w:hint="eastAsia" w:ascii="宋体" w:hAnsi="宋体" w:cs="宋体"/>
          <w:color w:val="auto"/>
          <w:sz w:val="28"/>
          <w:highlight w:val="none"/>
          <w:lang w:val="en-US" w:eastAsia="zh-CN"/>
        </w:rPr>
        <w:t>项目负责人《特种设备作业人员证》及社保缴纳证明资料</w:t>
      </w:r>
    </w:p>
    <w:p>
      <w:pPr>
        <w:ind w:firstLine="1920" w:firstLineChars="800"/>
        <w:rPr>
          <w:rFonts w:hint="eastAsia"/>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格式自拟</w:t>
      </w:r>
      <w:r>
        <w:rPr>
          <w:rFonts w:hint="eastAsia" w:ascii="宋体" w:hAnsi="宋体" w:cs="宋体"/>
          <w:color w:val="auto"/>
          <w:sz w:val="24"/>
          <w:szCs w:val="24"/>
          <w:highlight w:val="none"/>
          <w:lang w:eastAsia="zh-CN"/>
        </w:rPr>
        <w:t>）</w:t>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r>
    </w:p>
    <w:p>
      <w:pPr>
        <w:widowControl/>
        <w:spacing w:line="430" w:lineRule="exact"/>
        <w:jc w:val="left"/>
        <w:rPr>
          <w:rFonts w:hint="eastAsia" w:ascii="宋体" w:hAnsi="宋体" w:eastAsia="宋体" w:cs="宋体"/>
          <w:color w:val="auto"/>
          <w:sz w:val="28"/>
          <w:highlight w:val="none"/>
        </w:rPr>
      </w:pPr>
      <w:r>
        <w:rPr>
          <w:rFonts w:hint="eastAsia" w:ascii="宋体" w:hAnsi="宋体" w:eastAsia="宋体" w:cs="宋体"/>
          <w:color w:val="auto"/>
          <w:sz w:val="28"/>
          <w:highlight w:val="none"/>
        </w:rPr>
        <w:t>（</w:t>
      </w:r>
      <w:r>
        <w:rPr>
          <w:rFonts w:hint="eastAsia" w:ascii="宋体" w:hAnsi="宋体" w:cs="宋体"/>
          <w:color w:val="auto"/>
          <w:sz w:val="28"/>
          <w:highlight w:val="none"/>
          <w:lang w:val="en-US" w:eastAsia="zh-CN"/>
        </w:rPr>
        <w:t>六</w:t>
      </w:r>
      <w:r>
        <w:rPr>
          <w:rFonts w:hint="eastAsia" w:ascii="宋体" w:hAnsi="宋体" w:eastAsia="宋体" w:cs="宋体"/>
          <w:color w:val="auto"/>
          <w:sz w:val="28"/>
          <w:highlight w:val="none"/>
        </w:rPr>
        <w:t>）类似</w:t>
      </w:r>
      <w:r>
        <w:rPr>
          <w:rFonts w:hint="eastAsia" w:ascii="宋体" w:hAnsi="宋体" w:eastAsia="宋体" w:cs="宋体"/>
          <w:color w:val="auto"/>
          <w:sz w:val="28"/>
          <w:highlight w:val="none"/>
          <w:lang w:val="en-US" w:eastAsia="zh-CN"/>
        </w:rPr>
        <w:t>业绩</w:t>
      </w:r>
      <w:r>
        <w:rPr>
          <w:rFonts w:hint="eastAsia" w:ascii="宋体" w:hAnsi="宋体" w:eastAsia="宋体" w:cs="宋体"/>
          <w:color w:val="auto"/>
          <w:sz w:val="28"/>
          <w:highlight w:val="none"/>
        </w:rPr>
        <w:t>情况表</w:t>
      </w:r>
    </w:p>
    <w:p>
      <w:pPr>
        <w:pStyle w:val="21"/>
        <w:jc w:val="center"/>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表1：业绩汇总表</w:t>
      </w:r>
    </w:p>
    <w:tbl>
      <w:tblPr>
        <w:tblStyle w:val="45"/>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
        <w:gridCol w:w="2865"/>
        <w:gridCol w:w="1979"/>
        <w:gridCol w:w="2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996"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865" w:type="dxa"/>
            <w:vAlign w:val="center"/>
          </w:tcPr>
          <w:p>
            <w:pPr>
              <w:topLinePunct/>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合同名称</w:t>
            </w:r>
          </w:p>
        </w:tc>
        <w:tc>
          <w:tcPr>
            <w:tcW w:w="1979" w:type="dxa"/>
            <w:vAlign w:val="center"/>
          </w:tcPr>
          <w:p>
            <w:pPr>
              <w:topLinePunct/>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合同金额</w:t>
            </w:r>
          </w:p>
        </w:tc>
        <w:tc>
          <w:tcPr>
            <w:tcW w:w="2380" w:type="dxa"/>
            <w:vAlign w:val="center"/>
          </w:tcPr>
          <w:p>
            <w:pPr>
              <w:topLinePunct/>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96"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865" w:type="dxa"/>
          </w:tcPr>
          <w:p>
            <w:pPr>
              <w:topLinePunct/>
              <w:spacing w:line="440" w:lineRule="exact"/>
              <w:rPr>
                <w:rFonts w:hint="eastAsia" w:ascii="宋体" w:hAnsi="宋体" w:eastAsia="宋体" w:cs="宋体"/>
                <w:color w:val="auto"/>
                <w:highlight w:val="none"/>
              </w:rPr>
            </w:pPr>
          </w:p>
        </w:tc>
        <w:tc>
          <w:tcPr>
            <w:tcW w:w="1979" w:type="dxa"/>
          </w:tcPr>
          <w:p>
            <w:pPr>
              <w:topLinePunct/>
              <w:spacing w:line="440" w:lineRule="exact"/>
              <w:rPr>
                <w:rFonts w:hint="eastAsia" w:ascii="宋体" w:hAnsi="宋体" w:eastAsia="宋体" w:cs="宋体"/>
                <w:color w:val="auto"/>
                <w:highlight w:val="none"/>
              </w:rPr>
            </w:pPr>
          </w:p>
        </w:tc>
        <w:tc>
          <w:tcPr>
            <w:tcW w:w="2380"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96"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865" w:type="dxa"/>
          </w:tcPr>
          <w:p>
            <w:pPr>
              <w:topLinePunct/>
              <w:spacing w:line="440" w:lineRule="exact"/>
              <w:rPr>
                <w:rFonts w:hint="eastAsia" w:ascii="宋体" w:hAnsi="宋体" w:eastAsia="宋体" w:cs="宋体"/>
                <w:color w:val="auto"/>
                <w:highlight w:val="none"/>
              </w:rPr>
            </w:pPr>
          </w:p>
        </w:tc>
        <w:tc>
          <w:tcPr>
            <w:tcW w:w="1979" w:type="dxa"/>
          </w:tcPr>
          <w:p>
            <w:pPr>
              <w:topLinePunct/>
              <w:spacing w:line="440" w:lineRule="exact"/>
              <w:rPr>
                <w:rFonts w:hint="eastAsia" w:ascii="宋体" w:hAnsi="宋体" w:eastAsia="宋体" w:cs="宋体"/>
                <w:color w:val="auto"/>
                <w:highlight w:val="none"/>
              </w:rPr>
            </w:pPr>
          </w:p>
        </w:tc>
        <w:tc>
          <w:tcPr>
            <w:tcW w:w="2380"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996"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865" w:type="dxa"/>
          </w:tcPr>
          <w:p>
            <w:pPr>
              <w:topLinePunct/>
              <w:spacing w:line="440" w:lineRule="exact"/>
              <w:rPr>
                <w:rFonts w:hint="eastAsia" w:ascii="宋体" w:hAnsi="宋体" w:eastAsia="宋体" w:cs="宋体"/>
                <w:color w:val="auto"/>
                <w:highlight w:val="none"/>
              </w:rPr>
            </w:pPr>
          </w:p>
        </w:tc>
        <w:tc>
          <w:tcPr>
            <w:tcW w:w="1979" w:type="dxa"/>
          </w:tcPr>
          <w:p>
            <w:pPr>
              <w:topLinePunct/>
              <w:spacing w:line="440" w:lineRule="exact"/>
              <w:rPr>
                <w:rFonts w:hint="eastAsia" w:ascii="宋体" w:hAnsi="宋体" w:eastAsia="宋体" w:cs="宋体"/>
                <w:color w:val="auto"/>
                <w:highlight w:val="none"/>
              </w:rPr>
            </w:pPr>
          </w:p>
        </w:tc>
        <w:tc>
          <w:tcPr>
            <w:tcW w:w="2380"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996"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865" w:type="dxa"/>
          </w:tcPr>
          <w:p>
            <w:pPr>
              <w:topLinePunct/>
              <w:spacing w:line="440" w:lineRule="exact"/>
              <w:rPr>
                <w:rFonts w:hint="eastAsia" w:ascii="宋体" w:hAnsi="宋体" w:eastAsia="宋体" w:cs="宋体"/>
                <w:color w:val="auto"/>
                <w:highlight w:val="none"/>
              </w:rPr>
            </w:pPr>
          </w:p>
        </w:tc>
        <w:tc>
          <w:tcPr>
            <w:tcW w:w="1979" w:type="dxa"/>
          </w:tcPr>
          <w:p>
            <w:pPr>
              <w:topLinePunct/>
              <w:spacing w:line="440" w:lineRule="exact"/>
              <w:rPr>
                <w:rFonts w:hint="eastAsia" w:ascii="宋体" w:hAnsi="宋体" w:eastAsia="宋体" w:cs="宋体"/>
                <w:color w:val="auto"/>
                <w:highlight w:val="none"/>
              </w:rPr>
            </w:pPr>
          </w:p>
        </w:tc>
        <w:tc>
          <w:tcPr>
            <w:tcW w:w="2380"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996"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865" w:type="dxa"/>
          </w:tcPr>
          <w:p>
            <w:pPr>
              <w:topLinePunct/>
              <w:spacing w:line="440" w:lineRule="exact"/>
              <w:rPr>
                <w:rFonts w:hint="eastAsia" w:ascii="宋体" w:hAnsi="宋体" w:eastAsia="宋体" w:cs="宋体"/>
                <w:color w:val="auto"/>
                <w:highlight w:val="none"/>
              </w:rPr>
            </w:pPr>
          </w:p>
        </w:tc>
        <w:tc>
          <w:tcPr>
            <w:tcW w:w="1979" w:type="dxa"/>
          </w:tcPr>
          <w:p>
            <w:pPr>
              <w:topLinePunct/>
              <w:spacing w:line="440" w:lineRule="exact"/>
              <w:rPr>
                <w:rFonts w:hint="eastAsia" w:ascii="宋体" w:hAnsi="宋体" w:eastAsia="宋体" w:cs="宋体"/>
                <w:color w:val="auto"/>
                <w:highlight w:val="none"/>
              </w:rPr>
            </w:pPr>
          </w:p>
        </w:tc>
        <w:tc>
          <w:tcPr>
            <w:tcW w:w="2380"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96"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865" w:type="dxa"/>
          </w:tcPr>
          <w:p>
            <w:pPr>
              <w:topLinePunct/>
              <w:spacing w:line="440" w:lineRule="exact"/>
              <w:rPr>
                <w:rFonts w:hint="eastAsia" w:ascii="宋体" w:hAnsi="宋体" w:eastAsia="宋体" w:cs="宋体"/>
                <w:color w:val="auto"/>
                <w:highlight w:val="none"/>
              </w:rPr>
            </w:pPr>
          </w:p>
        </w:tc>
        <w:tc>
          <w:tcPr>
            <w:tcW w:w="1979" w:type="dxa"/>
          </w:tcPr>
          <w:p>
            <w:pPr>
              <w:topLinePunct/>
              <w:spacing w:line="440" w:lineRule="exact"/>
              <w:rPr>
                <w:rFonts w:hint="eastAsia" w:ascii="宋体" w:hAnsi="宋体" w:eastAsia="宋体" w:cs="宋体"/>
                <w:color w:val="auto"/>
                <w:highlight w:val="none"/>
              </w:rPr>
            </w:pPr>
          </w:p>
        </w:tc>
        <w:tc>
          <w:tcPr>
            <w:tcW w:w="2380"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996"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2865" w:type="dxa"/>
          </w:tcPr>
          <w:p>
            <w:pPr>
              <w:topLinePunct/>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w:t>
            </w:r>
          </w:p>
        </w:tc>
        <w:tc>
          <w:tcPr>
            <w:tcW w:w="1979" w:type="dxa"/>
          </w:tcPr>
          <w:p>
            <w:pPr>
              <w:topLinePunct/>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w:t>
            </w:r>
          </w:p>
        </w:tc>
        <w:tc>
          <w:tcPr>
            <w:tcW w:w="2380" w:type="dxa"/>
          </w:tcPr>
          <w:p>
            <w:pPr>
              <w:topLinePunct/>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w:t>
            </w:r>
          </w:p>
        </w:tc>
      </w:tr>
    </w:tbl>
    <w:p>
      <w:pPr>
        <w:spacing w:line="360" w:lineRule="auto"/>
        <w:ind w:firstLine="964" w:firstLineChars="4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注：此表为表2的汇总。</w:t>
      </w:r>
    </w:p>
    <w:p>
      <w:pPr>
        <w:spacing w:line="440" w:lineRule="exact"/>
        <w:ind w:firstLine="420" w:firstLineChars="200"/>
        <w:rPr>
          <w:rFonts w:hint="eastAsia" w:ascii="宋体" w:hAnsi="宋体" w:eastAsia="宋体" w:cs="宋体"/>
          <w:color w:val="auto"/>
          <w:highlight w:val="none"/>
        </w:rPr>
      </w:pPr>
    </w:p>
    <w:p>
      <w:pPr>
        <w:spacing w:line="440" w:lineRule="exact"/>
        <w:rPr>
          <w:rFonts w:hint="eastAsia" w:ascii="宋体" w:hAnsi="宋体" w:eastAsia="宋体" w:cs="宋体"/>
          <w:color w:val="auto"/>
          <w:highlight w:val="none"/>
        </w:rPr>
      </w:pPr>
    </w:p>
    <w:p>
      <w:pPr>
        <w:topLinePunc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r>
    </w:p>
    <w:p>
      <w:pPr>
        <w:spacing w:line="440" w:lineRule="exact"/>
        <w:ind w:firstLine="137"/>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表2：</w:t>
      </w:r>
      <w:r>
        <w:rPr>
          <w:rFonts w:hint="eastAsia" w:ascii="宋体" w:hAnsi="宋体" w:eastAsia="宋体" w:cs="宋体"/>
          <w:b/>
          <w:bCs/>
          <w:color w:val="auto"/>
          <w:sz w:val="28"/>
          <w:szCs w:val="28"/>
          <w:highlight w:val="none"/>
        </w:rPr>
        <w:t>类似</w:t>
      </w:r>
      <w:r>
        <w:rPr>
          <w:rFonts w:hint="eastAsia" w:ascii="宋体" w:hAnsi="宋体" w:eastAsia="宋体" w:cs="宋体"/>
          <w:b/>
          <w:bCs/>
          <w:color w:val="auto"/>
          <w:sz w:val="28"/>
          <w:szCs w:val="28"/>
          <w:highlight w:val="none"/>
          <w:lang w:val="en-US" w:eastAsia="zh-CN"/>
        </w:rPr>
        <w:t>业绩</w:t>
      </w:r>
      <w:r>
        <w:rPr>
          <w:rFonts w:hint="eastAsia" w:ascii="宋体" w:hAnsi="宋体" w:eastAsia="宋体" w:cs="宋体"/>
          <w:b/>
          <w:bCs/>
          <w:color w:val="auto"/>
          <w:sz w:val="28"/>
          <w:szCs w:val="28"/>
          <w:highlight w:val="none"/>
        </w:rPr>
        <w:t>情况表</w:t>
      </w:r>
    </w:p>
    <w:tbl>
      <w:tblPr>
        <w:tblStyle w:val="45"/>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3"/>
        <w:gridCol w:w="7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2603"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设备名称</w:t>
            </w:r>
          </w:p>
        </w:tc>
        <w:tc>
          <w:tcPr>
            <w:tcW w:w="7176"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2603"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规格和型号</w:t>
            </w:r>
          </w:p>
        </w:tc>
        <w:tc>
          <w:tcPr>
            <w:tcW w:w="7176"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2603"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7176"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2603"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买方名称</w:t>
            </w:r>
          </w:p>
        </w:tc>
        <w:tc>
          <w:tcPr>
            <w:tcW w:w="7176"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2603"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买方联系人及电话</w:t>
            </w:r>
          </w:p>
        </w:tc>
        <w:tc>
          <w:tcPr>
            <w:tcW w:w="7176"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2603"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合同价格</w:t>
            </w:r>
          </w:p>
        </w:tc>
        <w:tc>
          <w:tcPr>
            <w:tcW w:w="7176" w:type="dxa"/>
          </w:tcPr>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1" w:hRule="atLeast"/>
          <w:jc w:val="center"/>
        </w:trPr>
        <w:tc>
          <w:tcPr>
            <w:tcW w:w="2603"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项目概况及投标人履约情况</w:t>
            </w:r>
          </w:p>
        </w:tc>
        <w:tc>
          <w:tcPr>
            <w:tcW w:w="7176" w:type="dxa"/>
          </w:tcPr>
          <w:p>
            <w:pPr>
              <w:topLinePunct/>
              <w:spacing w:line="440" w:lineRule="exact"/>
              <w:rPr>
                <w:rFonts w:hint="eastAsia" w:ascii="宋体" w:hAnsi="宋体" w:eastAsia="宋体" w:cs="宋体"/>
                <w:color w:val="auto"/>
                <w:highlight w:val="none"/>
              </w:rPr>
            </w:pPr>
          </w:p>
          <w:p>
            <w:pPr>
              <w:topLinePunct/>
              <w:spacing w:line="440" w:lineRule="exact"/>
              <w:rPr>
                <w:rFonts w:hint="eastAsia" w:ascii="宋体" w:hAnsi="宋体" w:eastAsia="宋体" w:cs="宋体"/>
                <w:color w:val="auto"/>
                <w:highlight w:val="none"/>
              </w:rPr>
            </w:pPr>
          </w:p>
          <w:p>
            <w:pPr>
              <w:topLinePunct/>
              <w:spacing w:line="440" w:lineRule="exact"/>
              <w:rPr>
                <w:rFonts w:hint="eastAsia" w:ascii="宋体" w:hAnsi="宋体" w:eastAsia="宋体" w:cs="宋体"/>
                <w:color w:val="auto"/>
                <w:highlight w:val="none"/>
              </w:rPr>
            </w:pPr>
          </w:p>
          <w:p>
            <w:pPr>
              <w:topLinePunct/>
              <w:spacing w:line="440" w:lineRule="exact"/>
              <w:rPr>
                <w:rFonts w:hint="eastAsia" w:ascii="宋体" w:hAnsi="宋体" w:eastAsia="宋体" w:cs="宋体"/>
                <w:color w:val="auto"/>
                <w:highlight w:val="none"/>
              </w:rPr>
            </w:pPr>
          </w:p>
          <w:p>
            <w:pPr>
              <w:topLinePunct/>
              <w:spacing w:line="440" w:lineRule="exact"/>
              <w:rPr>
                <w:rFonts w:hint="eastAsia" w:ascii="宋体" w:hAnsi="宋体" w:eastAsia="宋体" w:cs="宋体"/>
                <w:color w:val="auto"/>
                <w:highlight w:val="none"/>
              </w:rPr>
            </w:pPr>
          </w:p>
          <w:p>
            <w:pPr>
              <w:topLinePunct/>
              <w:spacing w:line="440" w:lineRule="exact"/>
              <w:rPr>
                <w:rFonts w:hint="eastAsia" w:ascii="宋体" w:hAnsi="宋体" w:eastAsia="宋体" w:cs="宋体"/>
                <w:color w:val="auto"/>
                <w:highlight w:val="none"/>
              </w:rPr>
            </w:pPr>
          </w:p>
          <w:p>
            <w:pPr>
              <w:topLinePunct/>
              <w:spacing w:line="440" w:lineRule="exact"/>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2603" w:type="dxa"/>
            <w:vAlign w:val="center"/>
          </w:tcPr>
          <w:p>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7176" w:type="dxa"/>
          </w:tcPr>
          <w:p>
            <w:pPr>
              <w:topLinePunct/>
              <w:spacing w:line="440" w:lineRule="exact"/>
              <w:rPr>
                <w:rFonts w:hint="eastAsia" w:ascii="宋体" w:hAnsi="宋体" w:eastAsia="宋体" w:cs="宋体"/>
                <w:color w:val="auto"/>
                <w:highlight w:val="none"/>
              </w:rPr>
            </w:pPr>
          </w:p>
        </w:tc>
      </w:tr>
    </w:tbl>
    <w:p>
      <w:pPr>
        <w:ind w:left="1" w:firstLine="424" w:firstLineChars="201"/>
        <w:rPr>
          <w:rFonts w:hint="eastAsia" w:ascii="宋体" w:hAnsi="宋体" w:eastAsia="宋体" w:cs="宋体"/>
          <w:b/>
          <w:bCs/>
          <w:color w:val="auto"/>
          <w:highlight w:val="none"/>
        </w:rPr>
      </w:pPr>
      <w:r>
        <w:rPr>
          <w:rFonts w:hint="eastAsia" w:ascii="宋体" w:hAnsi="宋体" w:eastAsia="宋体" w:cs="宋体"/>
          <w:b/>
          <w:bCs/>
          <w:color w:val="auto"/>
          <w:highlight w:val="none"/>
        </w:rPr>
        <w:t>注：1.投标人应根据投标人须知第3.5.3项的要求在本表后附相关证明材料。</w:t>
      </w:r>
    </w:p>
    <w:p>
      <w:pPr>
        <w:widowControl w:val="0"/>
        <w:ind w:left="420" w:leftChars="200" w:firstLine="422" w:firstLineChars="200"/>
        <w:jc w:val="both"/>
        <w:rPr>
          <w:rFonts w:hint="eastAsia" w:ascii="宋体" w:hAnsi="宋体" w:eastAsia="宋体" w:cs="宋体"/>
          <w:b/>
          <w:bCs/>
          <w:color w:val="auto"/>
          <w:kern w:val="2"/>
          <w:sz w:val="21"/>
          <w:szCs w:val="22"/>
          <w:highlight w:val="none"/>
          <w:lang w:val="en-US" w:eastAsia="zh-CN" w:bidi="ar-SA"/>
        </w:rPr>
      </w:pPr>
      <w:r>
        <w:rPr>
          <w:rFonts w:hint="eastAsia" w:ascii="宋体" w:hAnsi="宋体" w:eastAsia="宋体" w:cs="宋体"/>
          <w:b/>
          <w:bCs/>
          <w:color w:val="auto"/>
          <w:kern w:val="2"/>
          <w:sz w:val="21"/>
          <w:szCs w:val="22"/>
          <w:highlight w:val="none"/>
          <w:lang w:val="en-US" w:eastAsia="zh-CN" w:bidi="ar-SA"/>
        </w:rPr>
        <w:t>2.投标人具有近三年（2024年1月1日至</w:t>
      </w:r>
      <w:r>
        <w:rPr>
          <w:rFonts w:hint="eastAsia" w:ascii="宋体" w:hAnsi="宋体" w:cs="宋体"/>
          <w:b/>
          <w:bCs/>
          <w:color w:val="auto"/>
          <w:kern w:val="2"/>
          <w:sz w:val="21"/>
          <w:szCs w:val="22"/>
          <w:highlight w:val="none"/>
          <w:lang w:val="en-US" w:eastAsia="zh-CN" w:bidi="ar-SA"/>
        </w:rPr>
        <w:t>投标截止日</w:t>
      </w:r>
      <w:r>
        <w:rPr>
          <w:rFonts w:hint="eastAsia" w:ascii="宋体" w:hAnsi="宋体" w:eastAsia="宋体" w:cs="宋体"/>
          <w:b/>
          <w:bCs/>
          <w:color w:val="auto"/>
          <w:kern w:val="2"/>
          <w:sz w:val="21"/>
          <w:szCs w:val="22"/>
          <w:highlight w:val="none"/>
          <w:lang w:val="en-US" w:eastAsia="zh-CN" w:bidi="ar-SA"/>
        </w:rPr>
        <w:t>）类似项目业绩1项，类似项目是指：电梯改造项目业绩（投标时需提供供货合同扫描件，业绩时间以合同签订时间为准）。</w:t>
      </w:r>
    </w:p>
    <w:p>
      <w:pPr>
        <w:pStyle w:val="14"/>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4"/>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rPr>
          <w:rFonts w:hint="eastAsia" w:ascii="宋体" w:hAnsi="宋体" w:eastAsia="宋体" w:cs="宋体"/>
          <w:color w:val="auto"/>
          <w:highlight w:val="none"/>
        </w:rPr>
      </w:pPr>
    </w:p>
    <w:p>
      <w:pPr>
        <w:spacing w:line="430" w:lineRule="exact"/>
        <w:jc w:val="left"/>
        <w:rPr>
          <w:rFonts w:hint="eastAsia" w:ascii="宋体" w:hAnsi="宋体" w:eastAsia="宋体" w:cs="宋体"/>
          <w:color w:val="auto"/>
          <w:sz w:val="28"/>
          <w:highlight w:val="none"/>
        </w:rPr>
      </w:pPr>
    </w:p>
    <w:p>
      <w:pPr>
        <w:spacing w:line="430" w:lineRule="exact"/>
        <w:jc w:val="left"/>
        <w:rPr>
          <w:rFonts w:hint="eastAsia" w:ascii="宋体" w:hAnsi="宋体" w:eastAsia="宋体" w:cs="宋体"/>
          <w:color w:val="auto"/>
          <w:sz w:val="28"/>
          <w:highlight w:val="none"/>
        </w:rPr>
      </w:pPr>
    </w:p>
    <w:p>
      <w:pPr>
        <w:spacing w:line="430" w:lineRule="exact"/>
        <w:jc w:val="left"/>
        <w:rPr>
          <w:rFonts w:hint="eastAsia" w:ascii="宋体" w:hAnsi="宋体" w:eastAsia="宋体" w:cs="宋体"/>
          <w:color w:val="auto"/>
          <w:sz w:val="28"/>
          <w:szCs w:val="28"/>
          <w:highlight w:val="none"/>
          <w:lang w:val="zh-CN"/>
        </w:rPr>
      </w:pPr>
      <w:r>
        <w:rPr>
          <w:rFonts w:hint="eastAsia" w:ascii="宋体" w:hAnsi="宋体" w:eastAsia="宋体" w:cs="宋体"/>
          <w:color w:val="auto"/>
          <w:sz w:val="28"/>
          <w:highlight w:val="none"/>
        </w:rPr>
        <w:t>（</w:t>
      </w:r>
      <w:r>
        <w:rPr>
          <w:rFonts w:hint="eastAsia" w:ascii="宋体" w:hAnsi="宋体" w:cs="宋体"/>
          <w:color w:val="auto"/>
          <w:sz w:val="28"/>
          <w:highlight w:val="none"/>
          <w:lang w:val="en-US" w:eastAsia="zh-CN"/>
        </w:rPr>
        <w:t>七</w:t>
      </w:r>
      <w:r>
        <w:rPr>
          <w:rFonts w:hint="eastAsia" w:ascii="宋体" w:hAnsi="宋体" w:eastAsia="宋体" w:cs="宋体"/>
          <w:color w:val="auto"/>
          <w:sz w:val="28"/>
          <w:highlight w:val="none"/>
        </w:rPr>
        <w:t>）</w:t>
      </w:r>
      <w:r>
        <w:rPr>
          <w:rFonts w:hint="eastAsia" w:ascii="宋体" w:hAnsi="宋体" w:eastAsia="宋体" w:cs="宋体"/>
          <w:color w:val="auto"/>
          <w:sz w:val="28"/>
          <w:szCs w:val="28"/>
          <w:highlight w:val="none"/>
          <w:lang w:val="zh-CN"/>
        </w:rPr>
        <w:t>投标人认为需要提供的其他资格证明材料</w:t>
      </w:r>
    </w:p>
    <w:p>
      <w:pPr>
        <w:spacing w:line="430" w:lineRule="exact"/>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（格式自拟）</w:t>
      </w:r>
      <w:r>
        <w:rPr>
          <w:rFonts w:hint="eastAsia" w:ascii="宋体" w:hAnsi="宋体" w:eastAsia="宋体" w:cs="宋体"/>
          <w:b/>
          <w:color w:val="auto"/>
          <w:szCs w:val="21"/>
          <w:highlight w:val="none"/>
        </w:rPr>
        <w:br w:type="page"/>
      </w:r>
    </w:p>
    <w:p>
      <w:pPr>
        <w:keepNext/>
        <w:keepLines/>
        <w:spacing w:before="260" w:after="260" w:line="430" w:lineRule="exact"/>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九、</w:t>
      </w:r>
      <w:r>
        <w:rPr>
          <w:rFonts w:hint="eastAsia" w:ascii="宋体" w:hAnsi="宋体" w:eastAsia="宋体" w:cs="宋体"/>
          <w:b/>
          <w:color w:val="auto"/>
          <w:sz w:val="32"/>
          <w:highlight w:val="none"/>
          <w:lang w:val="en-US" w:eastAsia="zh-CN"/>
        </w:rPr>
        <w:t>设备选型及配置方案</w:t>
      </w:r>
    </w:p>
    <w:p>
      <w:pPr>
        <w:keepNext/>
        <w:keepLines/>
        <w:spacing w:before="260" w:after="260" w:line="43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（格式自拟）</w:t>
      </w:r>
    </w:p>
    <w:p>
      <w:pPr>
        <w:spacing w:line="430" w:lineRule="exact"/>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包含但不限于：</w:t>
      </w:r>
    </w:p>
    <w:p>
      <w:pPr>
        <w:spacing w:line="430" w:lineRule="exact"/>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1.设备技术参数（关键部件选型）；</w:t>
      </w:r>
    </w:p>
    <w:p>
      <w:pPr>
        <w:spacing w:line="430" w:lineRule="exact"/>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2.设备性能（如：原理、结构、材料等）的详细描述；</w:t>
      </w:r>
    </w:p>
    <w:p>
      <w:pPr>
        <w:spacing w:line="430" w:lineRule="exact"/>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3.投标人在投标阶段提供的资料及交货同时应向招标人提供的资料、图纸和技术文件。</w:t>
      </w:r>
    </w:p>
    <w:p>
      <w:pPr>
        <w:spacing w:line="430" w:lineRule="exact"/>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4.投标人认为需要提交的其他资料。</w:t>
      </w:r>
    </w:p>
    <w:p>
      <w:pPr>
        <w:pStyle w:val="44"/>
        <w:rPr>
          <w:rFonts w:hint="eastAsia" w:ascii="宋体" w:hAnsi="宋体" w:eastAsia="宋体" w:cs="宋体"/>
          <w:color w:val="auto"/>
          <w:sz w:val="24"/>
          <w:szCs w:val="24"/>
          <w:highlight w:val="none"/>
          <w:lang w:val="zh-CN"/>
        </w:rPr>
      </w:pPr>
    </w:p>
    <w:p>
      <w:pPr>
        <w:spacing w:line="276" w:lineRule="auto"/>
        <w:ind w:right="-71" w:rightChars="-34"/>
        <w:jc w:val="left"/>
        <w:rPr>
          <w:rFonts w:hint="eastAsia" w:ascii="宋体" w:hAnsi="宋体" w:eastAsia="宋体" w:cs="宋体"/>
          <w:color w:val="auto"/>
          <w:highlight w:val="none"/>
        </w:rPr>
      </w:pPr>
      <w:r>
        <w:rPr>
          <w:rFonts w:hint="eastAsia" w:ascii="宋体" w:hAnsi="宋体" w:eastAsia="宋体" w:cs="宋体"/>
          <w:color w:val="auto"/>
          <w:highlight w:val="none"/>
        </w:rPr>
        <w:t>投标人须对投标</w:t>
      </w:r>
      <w:r>
        <w:rPr>
          <w:rFonts w:hint="eastAsia" w:ascii="宋体" w:hAnsi="宋体" w:cs="宋体"/>
          <w:color w:val="auto"/>
          <w:highlight w:val="none"/>
          <w:lang w:val="en-US" w:eastAsia="zh-CN"/>
        </w:rPr>
        <w:t>产品</w:t>
      </w:r>
      <w:r>
        <w:rPr>
          <w:rFonts w:hint="eastAsia" w:ascii="宋体" w:hAnsi="宋体" w:eastAsia="宋体" w:cs="宋体"/>
          <w:color w:val="auto"/>
          <w:highlight w:val="none"/>
        </w:rPr>
        <w:t>的主要工艺技术参数要求逐条响应，投标时须提供充分的证明材料。</w:t>
      </w:r>
    </w:p>
    <w:p>
      <w:pPr>
        <w:pStyle w:val="44"/>
        <w:rPr>
          <w:rFonts w:hint="eastAsia" w:ascii="宋体" w:hAnsi="宋体" w:eastAsia="宋体" w:cs="宋体"/>
          <w:color w:val="auto"/>
          <w:sz w:val="24"/>
          <w:szCs w:val="24"/>
          <w:highlight w:val="none"/>
          <w:lang w:val="zh-CN"/>
        </w:rPr>
      </w:pPr>
    </w:p>
    <w:p>
      <w:pPr>
        <w:pStyle w:val="14"/>
        <w:rPr>
          <w:rFonts w:hint="eastAsia" w:ascii="宋体" w:hAnsi="宋体" w:eastAsia="宋体" w:cs="宋体"/>
          <w:color w:val="auto"/>
          <w:highlight w:val="none"/>
          <w:lang w:val="en-US" w:eastAsia="zh-CN"/>
        </w:rPr>
      </w:pPr>
    </w:p>
    <w:p>
      <w:pPr>
        <w:pStyle w:val="14"/>
        <w:rPr>
          <w:rFonts w:hint="eastAsia" w:ascii="宋体" w:hAnsi="宋体" w:eastAsia="宋体" w:cs="宋体"/>
          <w:color w:val="auto"/>
          <w:kern w:val="2"/>
          <w:sz w:val="21"/>
          <w:szCs w:val="21"/>
          <w:highlight w:val="none"/>
          <w:lang w:val="zh-CN" w:eastAsia="zh-CN" w:bidi="ar-SA"/>
        </w:rPr>
      </w:pPr>
    </w:p>
    <w:p>
      <w:pPr>
        <w:pStyle w:val="27"/>
        <w:rPr>
          <w:rFonts w:hint="eastAsia" w:ascii="宋体" w:hAnsi="宋体" w:eastAsia="宋体" w:cs="宋体"/>
          <w:color w:val="auto"/>
          <w:sz w:val="24"/>
          <w:szCs w:val="24"/>
          <w:highlight w:val="none"/>
          <w:lang w:val="zh-CN"/>
        </w:rPr>
      </w:pPr>
    </w:p>
    <w:p>
      <w:pPr>
        <w:pStyle w:val="27"/>
        <w:rPr>
          <w:rFonts w:hint="eastAsia" w:ascii="宋体" w:hAnsi="宋体" w:eastAsia="宋体" w:cs="宋体"/>
          <w:color w:val="auto"/>
          <w:sz w:val="24"/>
          <w:szCs w:val="24"/>
          <w:highlight w:val="none"/>
          <w:lang w:val="zh-CN"/>
        </w:rPr>
      </w:pP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p>
    <w:p>
      <w:pPr>
        <w:keepNext/>
        <w:keepLines/>
        <w:numPr>
          <w:ilvl w:val="0"/>
          <w:numId w:val="15"/>
        </w:numPr>
        <w:spacing w:before="260" w:after="260" w:line="430" w:lineRule="exact"/>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lang w:val="en-US" w:eastAsia="zh-CN"/>
        </w:rPr>
        <w:t>电梯拆除、安装施工技术方案</w:t>
      </w:r>
    </w:p>
    <w:p>
      <w:pPr>
        <w:keepNext/>
        <w:keepLines/>
        <w:spacing w:before="260" w:after="260" w:line="43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（格式自拟）</w:t>
      </w:r>
    </w:p>
    <w:p>
      <w:pPr>
        <w:spacing w:line="276" w:lineRule="auto"/>
        <w:ind w:right="-71" w:rightChars="-34"/>
        <w:jc w:val="left"/>
        <w:rPr>
          <w:rFonts w:hint="eastAsia" w:ascii="宋体" w:hAnsi="宋体" w:eastAsia="宋体" w:cs="宋体"/>
          <w:color w:val="auto"/>
          <w:highlight w:val="none"/>
        </w:rPr>
      </w:pPr>
    </w:p>
    <w:p>
      <w:pPr>
        <w:adjustRightInd w:val="0"/>
        <w:snapToGrid w:val="0"/>
        <w:spacing w:line="340" w:lineRule="exact"/>
        <w:rPr>
          <w:rFonts w:hint="eastAsia" w:ascii="宋体" w:hAnsi="宋体" w:eastAsia="宋体" w:cs="宋体"/>
          <w:color w:val="auto"/>
          <w:highlight w:val="none"/>
          <w:lang w:val="en-US" w:eastAsia="zh-CN"/>
        </w:rPr>
      </w:pPr>
    </w:p>
    <w:p>
      <w:pPr>
        <w:adjustRightInd w:val="0"/>
        <w:snapToGrid w:val="0"/>
        <w:spacing w:line="340" w:lineRule="exact"/>
        <w:jc w:val="left"/>
        <w:rPr>
          <w:rFonts w:hint="eastAsia" w:ascii="宋体" w:hAnsi="宋体" w:eastAsia="宋体" w:cs="宋体"/>
          <w:color w:val="auto"/>
          <w:highlight w:val="none"/>
        </w:rPr>
      </w:pPr>
    </w:p>
    <w:p>
      <w:pPr>
        <w:pStyle w:val="27"/>
        <w:rPr>
          <w:rFonts w:hint="eastAsia" w:ascii="宋体" w:hAnsi="宋体" w:eastAsia="宋体" w:cs="宋体"/>
          <w:b/>
          <w:color w:val="auto"/>
          <w:highlight w:val="none"/>
        </w:rPr>
      </w:pPr>
    </w:p>
    <w:p>
      <w:pPr>
        <w:widowControl/>
        <w:spacing w:line="430" w:lineRule="exact"/>
        <w:jc w:val="center"/>
        <w:rPr>
          <w:rFonts w:hint="eastAsia" w:ascii="宋体" w:hAnsi="宋体" w:eastAsia="宋体" w:cs="宋体"/>
          <w:b/>
          <w:color w:val="auto"/>
          <w:sz w:val="32"/>
          <w:highlight w:val="none"/>
        </w:rPr>
      </w:pPr>
    </w:p>
    <w:p>
      <w:pPr>
        <w:widowControl/>
        <w:spacing w:line="430" w:lineRule="exact"/>
        <w:jc w:val="center"/>
        <w:rPr>
          <w:rFonts w:hint="eastAsia" w:ascii="宋体" w:hAnsi="宋体" w:eastAsia="宋体" w:cs="宋体"/>
          <w:b/>
          <w:color w:val="auto"/>
          <w:sz w:val="32"/>
          <w:highlight w:val="none"/>
        </w:rPr>
      </w:pPr>
    </w:p>
    <w:p>
      <w:pPr>
        <w:widowControl/>
        <w:spacing w:line="430" w:lineRule="exact"/>
        <w:jc w:val="center"/>
        <w:rPr>
          <w:rFonts w:hint="eastAsia" w:ascii="宋体" w:hAnsi="宋体" w:eastAsia="宋体" w:cs="宋体"/>
          <w:b/>
          <w:color w:val="auto"/>
          <w:sz w:val="32"/>
          <w:highlight w:val="none"/>
        </w:rPr>
      </w:pPr>
    </w:p>
    <w:p>
      <w:pPr>
        <w:widowControl/>
        <w:spacing w:line="430" w:lineRule="exact"/>
        <w:jc w:val="center"/>
        <w:rPr>
          <w:rFonts w:hint="eastAsia" w:ascii="宋体" w:hAnsi="宋体" w:eastAsia="宋体" w:cs="宋体"/>
          <w:b/>
          <w:color w:val="auto"/>
          <w:sz w:val="32"/>
          <w:highlight w:val="none"/>
        </w:rPr>
      </w:pPr>
    </w:p>
    <w:p>
      <w:pPr>
        <w:widowControl/>
        <w:spacing w:line="430" w:lineRule="exact"/>
        <w:jc w:val="center"/>
        <w:rPr>
          <w:rFonts w:hint="eastAsia" w:ascii="宋体" w:hAnsi="宋体" w:eastAsia="宋体" w:cs="宋体"/>
          <w:b/>
          <w:color w:val="auto"/>
          <w:sz w:val="32"/>
          <w:highlight w:val="none"/>
        </w:rPr>
      </w:pP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p>
    <w:p>
      <w:pPr>
        <w:widowControl/>
        <w:numPr>
          <w:ilvl w:val="0"/>
          <w:numId w:val="15"/>
        </w:numPr>
        <w:spacing w:line="430" w:lineRule="exact"/>
        <w:ind w:left="0" w:leftChars="0" w:firstLine="0" w:firstLineChars="0"/>
        <w:jc w:val="center"/>
        <w:rPr>
          <w:rFonts w:hint="eastAsia" w:ascii="宋体" w:hAnsi="宋体" w:eastAsia="宋体" w:cs="宋体"/>
          <w:b/>
          <w:color w:val="auto"/>
          <w:sz w:val="32"/>
          <w:highlight w:val="none"/>
          <w:lang w:val="en-US" w:eastAsia="zh-CN"/>
        </w:rPr>
      </w:pPr>
      <w:r>
        <w:rPr>
          <w:rFonts w:hint="eastAsia" w:ascii="宋体" w:hAnsi="宋体" w:eastAsia="宋体" w:cs="宋体"/>
          <w:b/>
          <w:color w:val="auto"/>
          <w:sz w:val="32"/>
          <w:highlight w:val="none"/>
          <w:lang w:val="en-US" w:eastAsia="zh-CN"/>
        </w:rPr>
        <w:t>供货、安装进度计划及保证措施</w:t>
      </w:r>
    </w:p>
    <w:p>
      <w:pPr>
        <w:pStyle w:val="2"/>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（格式自拟）</w:t>
      </w: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27"/>
        <w:rPr>
          <w:rFonts w:hint="eastAsia" w:ascii="宋体" w:hAnsi="宋体" w:eastAsia="宋体" w:cs="宋体"/>
          <w:color w:val="auto"/>
          <w:highlight w:val="none"/>
        </w:rPr>
      </w:pPr>
    </w:p>
    <w:p>
      <w:pPr>
        <w:pStyle w:val="2"/>
        <w:numPr>
          <w:ilvl w:val="0"/>
          <w:numId w:val="15"/>
        </w:numPr>
        <w:ind w:left="0" w:leftChars="0" w:firstLine="0" w:firstLineChars="0"/>
        <w:jc w:val="center"/>
        <w:rPr>
          <w:rFonts w:hint="eastAsia" w:ascii="宋体" w:hAnsi="宋体" w:eastAsia="宋体" w:cs="宋体"/>
          <w:b/>
          <w:bCs w:val="0"/>
          <w:color w:val="auto"/>
          <w:kern w:val="2"/>
          <w:sz w:val="32"/>
          <w:szCs w:val="22"/>
          <w:highlight w:val="none"/>
          <w:lang w:val="en-US" w:eastAsia="zh-CN" w:bidi="ar-SA"/>
        </w:rPr>
      </w:pPr>
      <w:r>
        <w:rPr>
          <w:rFonts w:hint="eastAsia" w:ascii="宋体" w:hAnsi="宋体" w:eastAsia="宋体" w:cs="宋体"/>
          <w:color w:val="auto"/>
          <w:szCs w:val="21"/>
          <w:highlight w:val="none"/>
        </w:rPr>
        <w:t>供货及安装人员安排</w:t>
      </w:r>
    </w:p>
    <w:p>
      <w:pPr>
        <w:pStyle w:val="2"/>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（格式自拟）</w:t>
      </w:r>
    </w:p>
    <w:p>
      <w:pPr>
        <w:rPr>
          <w:rFonts w:hint="eastAsia" w:ascii="宋体" w:hAnsi="宋体" w:eastAsia="宋体" w:cs="宋体"/>
          <w:b/>
          <w:bCs w:val="0"/>
          <w:color w:val="auto"/>
          <w:kern w:val="2"/>
          <w:sz w:val="32"/>
          <w:szCs w:val="22"/>
          <w:highlight w:val="none"/>
          <w:lang w:val="en-US" w:eastAsia="zh-CN" w:bidi="ar-SA"/>
        </w:rPr>
      </w:pPr>
      <w:r>
        <w:rPr>
          <w:rFonts w:hint="eastAsia" w:ascii="宋体" w:hAnsi="宋体" w:eastAsia="宋体" w:cs="宋体"/>
          <w:b/>
          <w:bCs w:val="0"/>
          <w:color w:val="auto"/>
          <w:kern w:val="2"/>
          <w:sz w:val="32"/>
          <w:szCs w:val="22"/>
          <w:highlight w:val="none"/>
          <w:lang w:val="en-US" w:eastAsia="zh-CN" w:bidi="ar-SA"/>
        </w:rPr>
        <w:br w:type="page"/>
      </w:r>
    </w:p>
    <w:p>
      <w:pPr>
        <w:pStyle w:val="27"/>
        <w:numPr>
          <w:ilvl w:val="0"/>
          <w:numId w:val="15"/>
        </w:numPr>
        <w:ind w:left="0" w:leftChars="0" w:firstLine="0" w:firstLineChars="0"/>
        <w:jc w:val="center"/>
        <w:rPr>
          <w:rFonts w:hint="eastAsia" w:ascii="宋体" w:hAnsi="宋体" w:eastAsia="宋体" w:cs="宋体"/>
          <w:b/>
          <w:bCs w:val="0"/>
          <w:color w:val="auto"/>
          <w:kern w:val="2"/>
          <w:sz w:val="32"/>
          <w:szCs w:val="22"/>
          <w:highlight w:val="none"/>
          <w:lang w:val="en-US" w:eastAsia="zh-CN" w:bidi="ar-SA"/>
        </w:rPr>
      </w:pPr>
      <w:r>
        <w:rPr>
          <w:rFonts w:hint="eastAsia" w:ascii="宋体" w:hAnsi="宋体" w:eastAsia="宋体" w:cs="宋体"/>
          <w:b/>
          <w:bCs w:val="0"/>
          <w:color w:val="auto"/>
          <w:kern w:val="2"/>
          <w:sz w:val="32"/>
          <w:szCs w:val="22"/>
          <w:highlight w:val="none"/>
          <w:lang w:val="en-US" w:eastAsia="zh-CN" w:bidi="ar-SA"/>
        </w:rPr>
        <w:t>质保期售后服务承诺及售后服务人员安排</w:t>
      </w:r>
    </w:p>
    <w:p>
      <w:pPr>
        <w:pStyle w:val="2"/>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（格式自拟）</w:t>
      </w:r>
    </w:p>
    <w:p>
      <w:pPr>
        <w:rPr>
          <w:rFonts w:hint="eastAsia" w:ascii="宋体" w:hAnsi="宋体" w:eastAsia="宋体" w:cs="宋体"/>
          <w:b/>
          <w:bCs w:val="0"/>
          <w:color w:val="auto"/>
          <w:kern w:val="2"/>
          <w:sz w:val="32"/>
          <w:szCs w:val="22"/>
          <w:highlight w:val="none"/>
          <w:lang w:val="en-US" w:eastAsia="zh-CN" w:bidi="ar-SA"/>
        </w:rPr>
      </w:pPr>
      <w:r>
        <w:rPr>
          <w:rFonts w:hint="eastAsia" w:ascii="宋体" w:hAnsi="宋体" w:eastAsia="宋体" w:cs="宋体"/>
          <w:b/>
          <w:bCs w:val="0"/>
          <w:color w:val="auto"/>
          <w:kern w:val="2"/>
          <w:sz w:val="32"/>
          <w:szCs w:val="22"/>
          <w:highlight w:val="none"/>
          <w:lang w:val="en-US" w:eastAsia="zh-CN" w:bidi="ar-SA"/>
        </w:rPr>
        <w:br w:type="page"/>
      </w:r>
    </w:p>
    <w:p>
      <w:pPr>
        <w:pStyle w:val="27"/>
        <w:numPr>
          <w:ilvl w:val="0"/>
          <w:numId w:val="15"/>
        </w:numPr>
        <w:ind w:left="0" w:leftChars="0" w:firstLine="0" w:firstLineChars="0"/>
        <w:jc w:val="center"/>
        <w:rPr>
          <w:rFonts w:hint="eastAsia" w:ascii="宋体" w:hAnsi="宋体" w:eastAsia="宋体" w:cs="宋体"/>
          <w:b/>
          <w:bCs w:val="0"/>
          <w:color w:val="auto"/>
          <w:kern w:val="2"/>
          <w:sz w:val="32"/>
          <w:szCs w:val="22"/>
          <w:highlight w:val="none"/>
          <w:lang w:val="en-US" w:eastAsia="zh-CN" w:bidi="ar-SA"/>
        </w:rPr>
      </w:pPr>
      <w:r>
        <w:rPr>
          <w:rFonts w:hint="eastAsia" w:ascii="宋体" w:hAnsi="宋体" w:eastAsia="宋体" w:cs="宋体"/>
          <w:b/>
          <w:bCs w:val="0"/>
          <w:color w:val="auto"/>
          <w:kern w:val="2"/>
          <w:sz w:val="32"/>
          <w:szCs w:val="22"/>
          <w:highlight w:val="none"/>
          <w:lang w:val="en-US" w:eastAsia="zh-CN" w:bidi="ar-SA"/>
        </w:rPr>
        <w:t>技术支持资料</w:t>
      </w:r>
    </w:p>
    <w:p>
      <w:pPr>
        <w:spacing w:line="430" w:lineRule="exact"/>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技术支持资料以制造商公开发布的印刷资料，或检测机构出具的检测报告或投标人须知前附表允许的其他形式为准。</w:t>
      </w:r>
    </w:p>
    <w:p>
      <w:pPr>
        <w:rPr>
          <w:rFonts w:hint="eastAsia" w:ascii="宋体" w:hAnsi="宋体" w:eastAsia="宋体" w:cs="宋体"/>
          <w:b/>
          <w:bCs w:val="0"/>
          <w:color w:val="auto"/>
          <w:kern w:val="2"/>
          <w:sz w:val="32"/>
          <w:szCs w:val="22"/>
          <w:highlight w:val="none"/>
          <w:lang w:val="en-US" w:eastAsia="zh-CN" w:bidi="ar-SA"/>
        </w:rPr>
      </w:pPr>
      <w:r>
        <w:rPr>
          <w:rFonts w:hint="eastAsia" w:ascii="宋体" w:hAnsi="宋体" w:eastAsia="宋体" w:cs="宋体"/>
          <w:b/>
          <w:bCs w:val="0"/>
          <w:color w:val="auto"/>
          <w:kern w:val="2"/>
          <w:sz w:val="32"/>
          <w:szCs w:val="22"/>
          <w:highlight w:val="none"/>
          <w:lang w:val="en-US" w:eastAsia="zh-CN" w:bidi="ar-SA"/>
        </w:rPr>
        <w:br w:type="page"/>
      </w:r>
    </w:p>
    <w:p>
      <w:pPr>
        <w:rPr>
          <w:rFonts w:hint="eastAsia" w:ascii="宋体" w:hAnsi="宋体" w:eastAsia="宋体" w:cs="宋体"/>
          <w:b/>
          <w:color w:val="auto"/>
          <w:kern w:val="2"/>
          <w:sz w:val="32"/>
          <w:szCs w:val="22"/>
          <w:highlight w:val="none"/>
          <w:lang w:val="en-US" w:eastAsia="zh-CN"/>
        </w:rPr>
      </w:pPr>
    </w:p>
    <w:p>
      <w:pPr>
        <w:spacing w:line="430" w:lineRule="exact"/>
        <w:jc w:val="center"/>
        <w:rPr>
          <w:rFonts w:hint="eastAsia" w:ascii="宋体" w:hAnsi="宋体" w:eastAsia="宋体" w:cs="宋体"/>
          <w:b/>
          <w:color w:val="auto"/>
          <w:sz w:val="32"/>
          <w:highlight w:val="none"/>
        </w:rPr>
      </w:pPr>
      <w:bookmarkStart w:id="187" w:name="_Toc11220726"/>
      <w:r>
        <w:rPr>
          <w:rFonts w:hint="eastAsia" w:ascii="宋体" w:hAnsi="宋体" w:eastAsia="宋体" w:cs="宋体"/>
          <w:b/>
          <w:color w:val="auto"/>
          <w:sz w:val="32"/>
          <w:highlight w:val="none"/>
        </w:rPr>
        <w:t>十</w:t>
      </w:r>
      <w:r>
        <w:rPr>
          <w:rFonts w:hint="eastAsia" w:ascii="宋体" w:hAnsi="宋体" w:eastAsia="宋体" w:cs="宋体"/>
          <w:b/>
          <w:color w:val="auto"/>
          <w:sz w:val="32"/>
          <w:highlight w:val="none"/>
          <w:lang w:val="en-US" w:eastAsia="zh-CN"/>
        </w:rPr>
        <w:t>五</w:t>
      </w:r>
      <w:r>
        <w:rPr>
          <w:rFonts w:hint="eastAsia" w:ascii="宋体" w:hAnsi="宋体" w:eastAsia="宋体" w:cs="宋体"/>
          <w:b/>
          <w:color w:val="auto"/>
          <w:sz w:val="32"/>
          <w:highlight w:val="none"/>
        </w:rPr>
        <w:t>、原装全新产品承诺书</w:t>
      </w:r>
    </w:p>
    <w:p>
      <w:pPr>
        <w:spacing w:line="430" w:lineRule="exact"/>
        <w:jc w:val="center"/>
        <w:rPr>
          <w:rFonts w:hint="eastAsia" w:ascii="宋体" w:hAnsi="宋体" w:eastAsia="宋体" w:cs="宋体"/>
          <w:b/>
          <w:color w:val="auto"/>
          <w:sz w:val="32"/>
          <w:highlight w:val="none"/>
        </w:rPr>
      </w:pPr>
    </w:p>
    <w:p>
      <w:pPr>
        <w:pStyle w:val="271"/>
        <w:spacing w:line="43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原装全新产品承诺书</w:t>
      </w:r>
    </w:p>
    <w:p>
      <w:pPr>
        <w:pStyle w:val="272"/>
        <w:spacing w:line="430" w:lineRule="exact"/>
        <w:rPr>
          <w:rFonts w:hint="eastAsia" w:ascii="宋体" w:hAnsi="宋体" w:eastAsia="宋体" w:cs="宋体"/>
          <w:color w:val="auto"/>
          <w:highlight w:val="none"/>
        </w:rPr>
      </w:pPr>
    </w:p>
    <w:p>
      <w:pPr>
        <w:pStyle w:val="271"/>
        <w:spacing w:line="430" w:lineRule="exact"/>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u w:val="single"/>
          <w:lang w:eastAsia="zh-CN"/>
        </w:rPr>
        <w:t>云南昆钢兴达物业服务有限公司</w:t>
      </w:r>
      <w:r>
        <w:rPr>
          <w:rFonts w:hint="eastAsia" w:ascii="宋体" w:hAnsi="宋体" w:eastAsia="宋体" w:cs="宋体"/>
          <w:color w:val="auto"/>
          <w:szCs w:val="21"/>
          <w:highlight w:val="none"/>
          <w:u w:val="single"/>
        </w:rPr>
        <w:t>：</w:t>
      </w:r>
    </w:p>
    <w:p>
      <w:pPr>
        <w:adjustRightInd w:val="0"/>
        <w:snapToGrid w:val="0"/>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w:t>
      </w:r>
      <w:r>
        <w:rPr>
          <w:rFonts w:hint="eastAsia" w:ascii="宋体" w:hAnsi="宋体" w:eastAsia="宋体" w:cs="宋体"/>
          <w:color w:val="auto"/>
          <w:szCs w:val="21"/>
          <w:highlight w:val="none"/>
          <w:u w:val="single"/>
        </w:rPr>
        <w:t xml:space="preserve">            （投标人名称）</w:t>
      </w:r>
      <w:r>
        <w:rPr>
          <w:rFonts w:hint="eastAsia" w:ascii="宋体" w:hAnsi="宋体" w:eastAsia="宋体" w:cs="宋体"/>
          <w:color w:val="auto"/>
          <w:szCs w:val="21"/>
          <w:highlight w:val="none"/>
        </w:rPr>
        <w:t>承诺提供全新的设备。设备功能完整、技术先进、运行可靠、维检方便。不提供带有试制性质的产品或部件、国家公布的淘汰产品。若未按招标人要求提供相关设备及相关承诺书的，我方自愿承担由此给招标人带来的所有损失和责任。</w:t>
      </w:r>
    </w:p>
    <w:p>
      <w:pPr>
        <w:adjustRightInd w:val="0"/>
        <w:snapToGrid w:val="0"/>
        <w:spacing w:line="360" w:lineRule="exact"/>
        <w:ind w:firstLine="420" w:firstLineChars="200"/>
        <w:rPr>
          <w:rFonts w:hint="eastAsia" w:ascii="宋体" w:hAnsi="宋体" w:eastAsia="宋体" w:cs="宋体"/>
          <w:bCs/>
          <w:color w:val="auto"/>
          <w:szCs w:val="21"/>
          <w:highlight w:val="none"/>
        </w:rPr>
      </w:pPr>
    </w:p>
    <w:p>
      <w:pPr>
        <w:pStyle w:val="270"/>
        <w:spacing w:line="430" w:lineRule="exact"/>
        <w:rPr>
          <w:rFonts w:hint="eastAsia" w:ascii="宋体" w:hAnsi="宋体" w:eastAsia="宋体" w:cs="宋体"/>
          <w:color w:val="auto"/>
          <w:sz w:val="21"/>
          <w:szCs w:val="21"/>
          <w:highlight w:val="none"/>
        </w:rPr>
      </w:pPr>
    </w:p>
    <w:p>
      <w:pPr>
        <w:spacing w:line="430" w:lineRule="exact"/>
        <w:ind w:firstLine="2730" w:firstLineChars="1300"/>
        <w:jc w:val="left"/>
        <w:rPr>
          <w:rFonts w:hint="eastAsia" w:ascii="宋体" w:hAnsi="宋体" w:eastAsia="宋体" w:cs="宋体"/>
          <w:color w:val="auto"/>
          <w:highlight w:val="none"/>
        </w:rPr>
      </w:pPr>
    </w:p>
    <w:p>
      <w:pPr>
        <w:spacing w:line="430" w:lineRule="exact"/>
        <w:ind w:firstLine="2730" w:firstLineChars="1300"/>
        <w:jc w:val="left"/>
        <w:rPr>
          <w:rFonts w:hint="eastAsia" w:ascii="宋体" w:hAnsi="宋体" w:eastAsia="宋体" w:cs="宋体"/>
          <w:color w:val="auto"/>
          <w:highlight w:val="none"/>
        </w:rPr>
      </w:pPr>
      <w:r>
        <w:rPr>
          <w:rFonts w:hint="eastAsia" w:ascii="宋体" w:hAnsi="宋体" w:eastAsia="宋体" w:cs="宋体"/>
          <w:color w:val="auto"/>
          <w:highlight w:val="none"/>
        </w:rPr>
        <w:t>投 标 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（电子签章）</w:t>
      </w:r>
    </w:p>
    <w:p>
      <w:pPr>
        <w:spacing w:line="430" w:lineRule="exact"/>
        <w:ind w:firstLine="2730" w:firstLineChars="1300"/>
        <w:jc w:val="left"/>
        <w:rPr>
          <w:rFonts w:hint="eastAsia" w:ascii="宋体" w:hAnsi="宋体" w:eastAsia="宋体" w:cs="宋体"/>
          <w:color w:val="auto"/>
          <w:highlight w:val="none"/>
        </w:rPr>
      </w:pPr>
    </w:p>
    <w:p>
      <w:pPr>
        <w:spacing w:line="430" w:lineRule="exact"/>
        <w:ind w:firstLine="2730" w:firstLineChars="1300"/>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rPr>
        <w:t>（电子签章或电子签名）</w:t>
      </w:r>
    </w:p>
    <w:p>
      <w:pPr>
        <w:spacing w:line="430" w:lineRule="exact"/>
        <w:ind w:firstLine="2730" w:firstLineChars="1300"/>
        <w:rPr>
          <w:rFonts w:hint="eastAsia" w:ascii="宋体" w:hAnsi="宋体" w:eastAsia="宋体" w:cs="宋体"/>
          <w:color w:val="auto"/>
          <w:highlight w:val="none"/>
        </w:rPr>
      </w:pPr>
    </w:p>
    <w:p>
      <w:pPr>
        <w:spacing w:line="430" w:lineRule="exact"/>
        <w:ind w:firstLine="6930" w:firstLineChars="330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pPr>
        <w:pStyle w:val="43"/>
        <w:rPr>
          <w:rFonts w:hint="eastAsia" w:ascii="宋体" w:hAnsi="宋体" w:eastAsia="宋体" w:cs="宋体"/>
          <w:color w:val="auto"/>
          <w:highlight w:val="none"/>
        </w:rPr>
      </w:pPr>
    </w:p>
    <w:p>
      <w:pPr>
        <w:spacing w:line="430" w:lineRule="exact"/>
        <w:jc w:val="center"/>
        <w:rPr>
          <w:rFonts w:hint="eastAsia" w:ascii="宋体" w:hAnsi="宋体" w:eastAsia="宋体" w:cs="宋体"/>
          <w:b/>
          <w:color w:val="auto"/>
          <w:kern w:val="1"/>
          <w:sz w:val="36"/>
          <w:szCs w:val="36"/>
          <w:highlight w:val="none"/>
        </w:rPr>
      </w:pPr>
    </w:p>
    <w:p>
      <w:pPr>
        <w:spacing w:line="430" w:lineRule="exact"/>
        <w:jc w:val="center"/>
        <w:rPr>
          <w:rFonts w:hint="eastAsia" w:ascii="宋体" w:hAnsi="宋体" w:eastAsia="宋体" w:cs="宋体"/>
          <w:b/>
          <w:color w:val="auto"/>
          <w:kern w:val="1"/>
          <w:sz w:val="36"/>
          <w:szCs w:val="36"/>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b/>
          <w:bCs/>
          <w:color w:val="auto"/>
          <w:highlight w:val="none"/>
        </w:rPr>
      </w:pPr>
    </w:p>
    <w:p>
      <w:pPr>
        <w:pStyle w:val="14"/>
        <w:rPr>
          <w:rFonts w:hint="eastAsia" w:ascii="宋体" w:hAnsi="宋体" w:eastAsia="宋体" w:cs="宋体"/>
          <w:b/>
          <w:bCs/>
          <w:color w:val="auto"/>
          <w:highlight w:val="none"/>
        </w:rPr>
      </w:pPr>
    </w:p>
    <w:p>
      <w:pPr>
        <w:rPr>
          <w:rFonts w:hint="eastAsia" w:ascii="宋体" w:hAnsi="宋体" w:eastAsia="宋体" w:cs="宋体"/>
          <w:color w:val="auto"/>
          <w:highlight w:val="none"/>
        </w:rPr>
      </w:pPr>
    </w:p>
    <w:p>
      <w:pPr>
        <w:spacing w:line="430" w:lineRule="exact"/>
        <w:jc w:val="center"/>
        <w:rPr>
          <w:rFonts w:hint="eastAsia" w:ascii="宋体" w:hAnsi="宋体" w:eastAsia="宋体" w:cs="宋体"/>
          <w:b/>
          <w:color w:val="auto"/>
          <w:kern w:val="1"/>
          <w:sz w:val="36"/>
          <w:szCs w:val="36"/>
          <w:highlight w:val="none"/>
        </w:rPr>
      </w:pPr>
      <w:r>
        <w:rPr>
          <w:rFonts w:hint="eastAsia" w:ascii="宋体" w:hAnsi="宋体" w:eastAsia="宋体" w:cs="宋体"/>
          <w:b/>
          <w:color w:val="auto"/>
          <w:kern w:val="1"/>
          <w:sz w:val="36"/>
          <w:szCs w:val="36"/>
          <w:highlight w:val="none"/>
          <w:lang w:val="en-US" w:eastAsia="zh-CN"/>
        </w:rPr>
        <w:t>十六</w:t>
      </w:r>
      <w:r>
        <w:rPr>
          <w:rFonts w:hint="eastAsia" w:ascii="宋体" w:hAnsi="宋体" w:eastAsia="宋体" w:cs="宋体"/>
          <w:b/>
          <w:color w:val="auto"/>
          <w:kern w:val="1"/>
          <w:sz w:val="36"/>
          <w:szCs w:val="36"/>
          <w:highlight w:val="none"/>
        </w:rPr>
        <w:t>、其他资料</w:t>
      </w:r>
      <w:bookmarkEnd w:id="187"/>
    </w:p>
    <w:p>
      <w:pPr>
        <w:spacing w:line="430" w:lineRule="exact"/>
        <w:ind w:firstLine="480" w:firstLineChars="200"/>
        <w:jc w:val="center"/>
        <w:rPr>
          <w:rFonts w:hint="eastAsia" w:ascii="宋体" w:hAnsi="宋体" w:eastAsia="宋体" w:cs="宋体"/>
          <w:color w:val="auto"/>
          <w:highlight w:val="none"/>
        </w:rPr>
      </w:pPr>
      <w:r>
        <w:rPr>
          <w:rFonts w:hint="eastAsia" w:ascii="宋体" w:hAnsi="宋体" w:eastAsia="宋体" w:cs="宋体"/>
          <w:color w:val="auto"/>
          <w:kern w:val="1"/>
          <w:sz w:val="24"/>
          <w:szCs w:val="24"/>
          <w:highlight w:val="none"/>
        </w:rPr>
        <w:t>投标人认为需要提交的其他资料。</w:t>
      </w:r>
    </w:p>
    <w:p>
      <w:pPr>
        <w:spacing w:line="430" w:lineRule="exact"/>
        <w:ind w:firstLine="420" w:firstLineChars="200"/>
        <w:jc w:val="center"/>
        <w:rPr>
          <w:rFonts w:hint="eastAsia" w:ascii="宋体" w:hAnsi="宋体" w:eastAsia="宋体" w:cs="宋体"/>
          <w:color w:val="auto"/>
          <w:highlight w:val="none"/>
        </w:rPr>
      </w:pPr>
    </w:p>
    <w:sectPr>
      <w:pgSz w:w="11906" w:h="16838"/>
      <w:pgMar w:top="1134" w:right="1083" w:bottom="1134" w:left="1083" w:header="851" w:footer="992" w:gutter="0"/>
      <w:pgBorders>
        <w:top w:val="none" w:sz="0" w:space="0"/>
        <w:left w:val="none" w:sz="0" w:space="0"/>
        <w:bottom w:val="none" w:sz="0" w:space="0"/>
        <w:right w:val="none" w:sz="0" w:space="0"/>
      </w:pgBorders>
      <w:cols w:space="0" w:num="1"/>
      <w:titlePg/>
      <w:rtlGutter w:val="0"/>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9C6A5CE-FE29-4B83-A404-900C00A5B1BE}"/>
  </w:font>
  <w:font w:name="Courier New">
    <w:panose1 w:val="02070309020205020404"/>
    <w:charset w:val="01"/>
    <w:family w:val="modern"/>
    <w:pitch w:val="default"/>
    <w:sig w:usb0="E0002EFF" w:usb1="C0007843" w:usb2="00000009" w:usb3="00000000" w:csb0="400001FF" w:csb1="FFFF0000"/>
    <w:embedRegular r:id="rId2" w:fontKey="{BA2A0D77-E54A-4D31-947F-0D32183343CA}"/>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F0DF5831-3F89-4A51-A227-5BE0D2CDF59B}"/>
  </w:font>
  <w:font w:name="楷体_GB2312">
    <w:altName w:val="楷体"/>
    <w:panose1 w:val="02010609030101010101"/>
    <w:charset w:val="86"/>
    <w:family w:val="modern"/>
    <w:pitch w:val="default"/>
    <w:sig w:usb0="00000000" w:usb1="00000000" w:usb2="00000000" w:usb3="00000000" w:csb0="00040000" w:csb1="00000000"/>
    <w:embedRegular r:id="rId4" w:fontKey="{66F6FED0-656B-4AD9-B5AA-3492CDA7C1FF}"/>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00000" w:csb1="00000000"/>
    <w:embedRegular r:id="rId5" w:fontKey="{1E555BC1-E1EF-46A9-8DFF-4D590D172968}"/>
  </w:font>
  <w:font w:name="等线 Light">
    <w:panose1 w:val="02010600030101010101"/>
    <w:charset w:val="86"/>
    <w:family w:val="auto"/>
    <w:pitch w:val="default"/>
    <w:sig w:usb0="A00002BF" w:usb1="38CF7CFA"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MS Mincho">
    <w:panose1 w:val="02020609040205080304"/>
    <w:charset w:val="80"/>
    <w:family w:val="modern"/>
    <w:pitch w:val="default"/>
    <w:sig w:usb0="A00002BF" w:usb1="68C7FCFB" w:usb2="00000010" w:usb3="00000000" w:csb0="4002009F" w:csb1="DFD70000"/>
  </w:font>
  <w:font w:name="Microsoft YaHei UI">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PMingLiU">
    <w:altName w:val="Microsoft JhengHei UI"/>
    <w:panose1 w:val="02010601000101010101"/>
    <w:charset w:val="88"/>
    <w:family w:val="roman"/>
    <w:pitch w:val="default"/>
    <w:sig w:usb0="00000000" w:usb1="00000000" w:usb2="00000016" w:usb3="00000000" w:csb0="00100001"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Arial Bold">
    <w:altName w:val="Arial"/>
    <w:panose1 w:val="020B0704020202020204"/>
    <w:charset w:val="00"/>
    <w:family w:val="auto"/>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Arial Narrow">
    <w:panose1 w:val="020B0606020202030204"/>
    <w:charset w:val="00"/>
    <w:family w:val="swiss"/>
    <w:pitch w:val="default"/>
    <w:sig w:usb0="00000287" w:usb1="00000800" w:usb2="00000000" w:usb3="00000000" w:csb0="2000009F" w:csb1="DFD70000"/>
  </w:font>
  <w:font w:name="华文中宋">
    <w:panose1 w:val="02010600040101010101"/>
    <w:charset w:val="86"/>
    <w:family w:val="auto"/>
    <w:pitch w:val="default"/>
    <w:sig w:usb0="00000287" w:usb1="080F0000" w:usb2="00000000" w:usb3="00000000" w:csb0="0004009F" w:csb1="DFD70000"/>
  </w:font>
  <w:font w:name="Book Antiqua">
    <w:panose1 w:val="02040602050305030304"/>
    <w:charset w:val="00"/>
    <w:family w:val="roman"/>
    <w:pitch w:val="default"/>
    <w:sig w:usb0="00000287" w:usb1="00000000" w:usb2="00000000" w:usb3="00000000" w:csb0="2000009F" w:csb1="DFD70000"/>
  </w:font>
  <w:font w:name="GothamNarrow-Light">
    <w:altName w:val="Times New Roman"/>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embedRegular r:id="rId6" w:fontKey="{DC341816-0426-4777-83B6-E54D1B5685F4}"/>
  </w:font>
  <w:font w:name="Wingdings 2">
    <w:panose1 w:val="05020102010507070707"/>
    <w:charset w:val="02"/>
    <w:family w:val="roman"/>
    <w:pitch w:val="default"/>
    <w:sig w:usb0="00000000" w:usb1="00000000" w:usb2="00000000" w:usb3="00000000" w:csb0="80000000" w:csb1="00000000"/>
    <w:embedRegular r:id="rId7" w:fontKey="{A63FEA27-1AA1-4047-845C-9FBC7E5B6710}"/>
  </w:font>
  <w:font w:name="FangSong_GB2312">
    <w:altName w:val="仿宋"/>
    <w:panose1 w:val="02010609060101010101"/>
    <w:charset w:val="86"/>
    <w:family w:val="modern"/>
    <w:pitch w:val="default"/>
    <w:sig w:usb0="00000000" w:usb1="00000000" w:usb2="00000016" w:usb3="00000000" w:csb0="00040001" w:csb1="00000000"/>
    <w:embedRegular r:id="rId8" w:fontKey="{088FC6A3-28E4-4266-9781-F464A34827CA}"/>
  </w:font>
  <w:font w:name="MingLiU">
    <w:altName w:val="PMingLiU-ExtB"/>
    <w:panose1 w:val="02020509000000000000"/>
    <w:charset w:val="88"/>
    <w:family w:val="modern"/>
    <w:pitch w:val="default"/>
    <w:sig w:usb0="00000000" w:usb1="00000000" w:usb2="00000016" w:usb3="00000000" w:csb0="00100001" w:csb1="00000000"/>
    <w:embedRegular r:id="rId9" w:fontKey="{C3003ABB-BE0F-47C8-9A46-52021F0C3EC6}"/>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2296513"/>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tabs>
        <w:tab w:val="right" w:pos="9094"/>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6820255"/>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945358"/>
    <w:multiLevelType w:val="singleLevel"/>
    <w:tmpl w:val="88945358"/>
    <w:lvl w:ilvl="0" w:tentative="0">
      <w:start w:val="10"/>
      <w:numFmt w:val="chineseCounting"/>
      <w:suff w:val="nothing"/>
      <w:lvlText w:val="%1、"/>
      <w:lvlJc w:val="left"/>
      <w:rPr>
        <w:rFonts w:hint="eastAsia"/>
      </w:rPr>
    </w:lvl>
  </w:abstractNum>
  <w:abstractNum w:abstractNumId="1">
    <w:nsid w:val="A61682AC"/>
    <w:multiLevelType w:val="singleLevel"/>
    <w:tmpl w:val="A61682AC"/>
    <w:lvl w:ilvl="0" w:tentative="0">
      <w:start w:val="2"/>
      <w:numFmt w:val="chineseCounting"/>
      <w:suff w:val="space"/>
      <w:lvlText w:val="第%1章"/>
      <w:lvlJc w:val="left"/>
      <w:rPr>
        <w:rFonts w:hint="eastAsia"/>
      </w:rPr>
    </w:lvl>
  </w:abstractNum>
  <w:abstractNum w:abstractNumId="2">
    <w:nsid w:val="BC50DFB2"/>
    <w:multiLevelType w:val="singleLevel"/>
    <w:tmpl w:val="BC50DFB2"/>
    <w:lvl w:ilvl="0" w:tentative="0">
      <w:start w:val="1"/>
      <w:numFmt w:val="decimal"/>
      <w:pStyle w:val="10"/>
      <w:suff w:val="nothing"/>
      <w:lvlText w:val="（%1）"/>
      <w:lvlJc w:val="left"/>
    </w:lvl>
  </w:abstractNum>
  <w:abstractNum w:abstractNumId="3">
    <w:nsid w:val="00000001"/>
    <w:multiLevelType w:val="multilevel"/>
    <w:tmpl w:val="00000001"/>
    <w:lvl w:ilvl="0" w:tentative="0">
      <w:start w:val="1"/>
      <w:numFmt w:val="bullet"/>
      <w:lvlText w:val=""/>
      <w:lvlJc w:val="left"/>
      <w:pPr>
        <w:ind w:left="420" w:hanging="420"/>
      </w:pPr>
      <w:rPr>
        <w:rFonts w:hint="default" w:ascii="Symbol" w:hAnsi="Symbol"/>
      </w:rPr>
    </w:lvl>
    <w:lvl w:ilvl="1" w:tentative="0">
      <w:start w:val="1"/>
      <w:numFmt w:val="bullet"/>
      <w:lvlText w:val="o"/>
      <w:lvlJc w:val="left"/>
      <w:pPr>
        <w:ind w:left="840" w:hanging="420"/>
      </w:pPr>
      <w:rPr>
        <w:rFonts w:hint="default" w:ascii="Courier New" w:hAnsi="Courier New"/>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Symbol" w:hAnsi="Symbol"/>
      </w:rPr>
    </w:lvl>
    <w:lvl w:ilvl="4" w:tentative="0">
      <w:start w:val="1"/>
      <w:numFmt w:val="bullet"/>
      <w:lvlText w:val="o"/>
      <w:lvlJc w:val="left"/>
      <w:pPr>
        <w:ind w:left="2100" w:hanging="420"/>
      </w:pPr>
      <w:rPr>
        <w:rFonts w:hint="default" w:ascii="Courier New" w:hAnsi="Courier New"/>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Symbol" w:hAnsi="Symbol"/>
      </w:rPr>
    </w:lvl>
    <w:lvl w:ilvl="7" w:tentative="0">
      <w:start w:val="1"/>
      <w:numFmt w:val="bullet"/>
      <w:lvlText w:val="o"/>
      <w:lvlJc w:val="left"/>
      <w:pPr>
        <w:ind w:left="3360" w:hanging="420"/>
      </w:pPr>
      <w:rPr>
        <w:rFonts w:hint="default" w:ascii="Courier New" w:hAnsi="Courier New"/>
      </w:rPr>
    </w:lvl>
    <w:lvl w:ilvl="8" w:tentative="0">
      <w:start w:val="1"/>
      <w:numFmt w:val="bullet"/>
      <w:lvlText w:val=""/>
      <w:lvlJc w:val="left"/>
      <w:pPr>
        <w:ind w:left="3780" w:hanging="420"/>
      </w:pPr>
      <w:rPr>
        <w:rFonts w:hint="default" w:ascii="Wingdings" w:hAnsi="Wingdings"/>
      </w:rPr>
    </w:lvl>
  </w:abstractNum>
  <w:abstractNum w:abstractNumId="4">
    <w:nsid w:val="03E1D728"/>
    <w:multiLevelType w:val="singleLevel"/>
    <w:tmpl w:val="03E1D728"/>
    <w:lvl w:ilvl="0" w:tentative="0">
      <w:start w:val="1"/>
      <w:numFmt w:val="lowerLetter"/>
      <w:suff w:val="space"/>
      <w:lvlText w:val="%1."/>
      <w:lvlJc w:val="left"/>
    </w:lvl>
  </w:abstractNum>
  <w:abstractNum w:abstractNumId="5">
    <w:nsid w:val="1521A231"/>
    <w:multiLevelType w:val="singleLevel"/>
    <w:tmpl w:val="1521A231"/>
    <w:lvl w:ilvl="0" w:tentative="0">
      <w:start w:val="1"/>
      <w:numFmt w:val="bullet"/>
      <w:pStyle w:val="281"/>
      <w:lvlText w:val=""/>
      <w:lvlJc w:val="left"/>
      <w:pPr>
        <w:ind w:left="561" w:hanging="420"/>
      </w:pPr>
      <w:rPr>
        <w:rFonts w:hint="default" w:ascii="Wingdings" w:hAnsi="Wingdings"/>
      </w:rPr>
    </w:lvl>
  </w:abstractNum>
  <w:abstractNum w:abstractNumId="6">
    <w:nsid w:val="2603992A"/>
    <w:multiLevelType w:val="singleLevel"/>
    <w:tmpl w:val="2603992A"/>
    <w:lvl w:ilvl="0" w:tentative="0">
      <w:start w:val="5"/>
      <w:numFmt w:val="chineseCounting"/>
      <w:suff w:val="nothing"/>
      <w:lvlText w:val="（%1）"/>
      <w:lvlJc w:val="left"/>
      <w:rPr>
        <w:rFonts w:hint="eastAsia"/>
      </w:rPr>
    </w:lvl>
  </w:abstractNum>
  <w:abstractNum w:abstractNumId="7">
    <w:nsid w:val="3DFEC6CB"/>
    <w:multiLevelType w:val="singleLevel"/>
    <w:tmpl w:val="3DFEC6CB"/>
    <w:lvl w:ilvl="0" w:tentative="0">
      <w:start w:val="3"/>
      <w:numFmt w:val="decimal"/>
      <w:suff w:val="nothing"/>
      <w:lvlText w:val="%1）"/>
      <w:lvlJc w:val="left"/>
    </w:lvl>
  </w:abstractNum>
  <w:abstractNum w:abstractNumId="8">
    <w:nsid w:val="3EBB3C91"/>
    <w:multiLevelType w:val="multilevel"/>
    <w:tmpl w:val="3EBB3C91"/>
    <w:lvl w:ilvl="0" w:tentative="0">
      <w:start w:val="1"/>
      <w:numFmt w:val="chineseCountingThousand"/>
      <w:pStyle w:val="261"/>
      <w:suff w:val="space"/>
      <w:lvlText w:val="%1. "/>
      <w:lvlJc w:val="left"/>
      <w:pPr>
        <w:ind w:left="907" w:hanging="907"/>
      </w:pPr>
      <w:rPr>
        <w:rFonts w:hint="eastAsia"/>
      </w:rPr>
    </w:lvl>
    <w:lvl w:ilvl="1" w:tentative="0">
      <w:start w:val="1"/>
      <w:numFmt w:val="decimal"/>
      <w:isLgl/>
      <w:suff w:val="space"/>
      <w:lvlText w:val="%1.%2 "/>
      <w:lvlJc w:val="left"/>
      <w:pPr>
        <w:ind w:left="794" w:hanging="794"/>
      </w:pPr>
      <w:rPr>
        <w:rFonts w:hint="eastAsia"/>
      </w:rPr>
    </w:lvl>
    <w:lvl w:ilvl="2" w:tentative="0">
      <w:start w:val="1"/>
      <w:numFmt w:val="decimal"/>
      <w:isLgl/>
      <w:suff w:val="space"/>
      <w:lvlText w:val="%1.%2.%3 "/>
      <w:lvlJc w:val="left"/>
      <w:pPr>
        <w:ind w:left="907" w:hanging="907"/>
      </w:pPr>
      <w:rPr>
        <w:rFonts w:hint="eastAsia"/>
      </w:rPr>
    </w:lvl>
    <w:lvl w:ilvl="3" w:tentative="0">
      <w:start w:val="1"/>
      <w:numFmt w:val="decimal"/>
      <w:isLgl/>
      <w:suff w:val="space"/>
      <w:lvlText w:val="%1.%2.%3.%4 "/>
      <w:lvlJc w:val="left"/>
      <w:pPr>
        <w:ind w:left="1021" w:hanging="1021"/>
      </w:pPr>
      <w:rPr>
        <w:rFonts w:hint="eastAsia"/>
      </w:rPr>
    </w:lvl>
    <w:lvl w:ilvl="4" w:tentative="0">
      <w:start w:val="1"/>
      <w:numFmt w:val="decimal"/>
      <w:isLgl/>
      <w:suff w:val="space"/>
      <w:lvlText w:val="%1.%2.%3.%4.%5 "/>
      <w:lvlJc w:val="left"/>
      <w:pPr>
        <w:ind w:left="1134" w:hanging="1134"/>
      </w:pPr>
      <w:rPr>
        <w:rFonts w:hint="eastAsia"/>
      </w:rPr>
    </w:lvl>
    <w:lvl w:ilvl="5" w:tentative="0">
      <w:start w:val="1"/>
      <w:numFmt w:val="decimal"/>
      <w:isLgl/>
      <w:suff w:val="space"/>
      <w:lvlText w:val="%1.%2.%3.%4.%5.%6 "/>
      <w:lvlJc w:val="left"/>
      <w:pPr>
        <w:ind w:left="1247" w:hanging="1247"/>
      </w:pPr>
      <w:rPr>
        <w:rFonts w:hint="eastAsia"/>
      </w:rPr>
    </w:lvl>
    <w:lvl w:ilvl="6" w:tentative="0">
      <w:start w:val="1"/>
      <w:numFmt w:val="decimal"/>
      <w:lvlRestart w:val="1"/>
      <w:isLgl/>
      <w:suff w:val="space"/>
      <w:lvlText w:val="图 %1.%7 "/>
      <w:lvlJc w:val="left"/>
      <w:pPr>
        <w:ind w:left="0" w:firstLine="0"/>
      </w:pPr>
      <w:rPr>
        <w:rFonts w:hint="eastAsia"/>
      </w:rPr>
    </w:lvl>
    <w:lvl w:ilvl="7" w:tentative="0">
      <w:start w:val="1"/>
      <w:numFmt w:val="decimal"/>
      <w:lvlRestart w:val="1"/>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9">
    <w:nsid w:val="59EAEA4D"/>
    <w:multiLevelType w:val="singleLevel"/>
    <w:tmpl w:val="59EAEA4D"/>
    <w:lvl w:ilvl="0" w:tentative="0">
      <w:start w:val="1"/>
      <w:numFmt w:val="chineseCounting"/>
      <w:pStyle w:val="318"/>
      <w:suff w:val="nothing"/>
      <w:lvlText w:val="（%1）"/>
      <w:lvlJc w:val="left"/>
    </w:lvl>
  </w:abstractNum>
  <w:abstractNum w:abstractNumId="10">
    <w:nsid w:val="62744993"/>
    <w:multiLevelType w:val="singleLevel"/>
    <w:tmpl w:val="62744993"/>
    <w:lvl w:ilvl="0" w:tentative="0">
      <w:start w:val="4"/>
      <w:numFmt w:val="chineseCounting"/>
      <w:suff w:val="nothing"/>
      <w:lvlText w:val="（%1）"/>
      <w:lvlJc w:val="left"/>
      <w:rPr>
        <w:rFonts w:hint="eastAsia"/>
      </w:rPr>
    </w:lvl>
  </w:abstractNum>
  <w:abstractNum w:abstractNumId="11">
    <w:nsid w:val="65B3C284"/>
    <w:multiLevelType w:val="singleLevel"/>
    <w:tmpl w:val="65B3C284"/>
    <w:lvl w:ilvl="0" w:tentative="0">
      <w:start w:val="13"/>
      <w:numFmt w:val="chineseCounting"/>
      <w:suff w:val="space"/>
      <w:lvlText w:val="第%1条"/>
      <w:lvlJc w:val="left"/>
      <w:rPr>
        <w:rFonts w:hint="eastAsia"/>
      </w:rPr>
    </w:lvl>
  </w:abstractNum>
  <w:abstractNum w:abstractNumId="12">
    <w:nsid w:val="65B84617"/>
    <w:multiLevelType w:val="singleLevel"/>
    <w:tmpl w:val="65B84617"/>
    <w:lvl w:ilvl="0" w:tentative="0">
      <w:start w:val="1"/>
      <w:numFmt w:val="bullet"/>
      <w:pStyle w:val="288"/>
      <w:lvlText w:val=""/>
      <w:lvlJc w:val="left"/>
      <w:pPr>
        <w:ind w:left="420" w:hanging="420"/>
      </w:pPr>
      <w:rPr>
        <w:rFonts w:hint="default" w:ascii="Wingdings" w:hAnsi="Wingdings"/>
      </w:rPr>
    </w:lvl>
  </w:abstractNum>
  <w:abstractNum w:abstractNumId="13">
    <w:nsid w:val="72044B0D"/>
    <w:multiLevelType w:val="multilevel"/>
    <w:tmpl w:val="72044B0D"/>
    <w:lvl w:ilvl="0" w:tentative="0">
      <w:start w:val="1"/>
      <w:numFmt w:val="decimal"/>
      <w:pStyle w:val="90"/>
      <w:lvlText w:val="第%1章"/>
      <w:lvlJc w:val="left"/>
      <w:pPr>
        <w:tabs>
          <w:tab w:val="left" w:pos="2497"/>
        </w:tabs>
        <w:ind w:left="1849" w:hanging="432"/>
      </w:pPr>
      <w:rPr>
        <w:rFonts w:hint="eastAsia"/>
        <w:sz w:val="44"/>
        <w:szCs w:val="44"/>
      </w:rPr>
    </w:lvl>
    <w:lvl w:ilvl="1" w:tentative="0">
      <w:start w:val="1"/>
      <w:numFmt w:val="decimal"/>
      <w:lvlText w:val="%1.%2"/>
      <w:lvlJc w:val="left"/>
      <w:pPr>
        <w:tabs>
          <w:tab w:val="left" w:pos="860"/>
        </w:tabs>
        <w:ind w:left="860" w:hanging="576"/>
      </w:pPr>
      <w:rPr>
        <w:rFonts w:hint="eastAsia"/>
      </w:r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1062"/>
        </w:tabs>
        <w:ind w:left="1062" w:hanging="864"/>
      </w:pPr>
      <w:rPr>
        <w:rFonts w:hint="eastAsia"/>
      </w:rPr>
    </w:lvl>
    <w:lvl w:ilvl="4" w:tentative="0">
      <w:start w:val="1"/>
      <w:numFmt w:val="decimal"/>
      <w:lvlText w:val="%1.%2.%3.%4.%5"/>
      <w:lvlJc w:val="left"/>
      <w:pPr>
        <w:tabs>
          <w:tab w:val="left" w:pos="1206"/>
        </w:tabs>
        <w:ind w:left="1206" w:hanging="1008"/>
      </w:pPr>
      <w:rPr>
        <w:rFonts w:hint="eastAsia"/>
      </w:rPr>
    </w:lvl>
    <w:lvl w:ilvl="5" w:tentative="0">
      <w:start w:val="1"/>
      <w:numFmt w:val="decimal"/>
      <w:lvlText w:val="%1.%2.%3.%4.%5.%6"/>
      <w:lvlJc w:val="left"/>
      <w:pPr>
        <w:tabs>
          <w:tab w:val="left" w:pos="1350"/>
        </w:tabs>
        <w:ind w:left="1350" w:hanging="1152"/>
      </w:pPr>
      <w:rPr>
        <w:rFonts w:hint="eastAsia"/>
      </w:rPr>
    </w:lvl>
    <w:lvl w:ilvl="6" w:tentative="0">
      <w:start w:val="1"/>
      <w:numFmt w:val="decimal"/>
      <w:lvlText w:val="%1.%2.%3.%4.%5.%6.%7"/>
      <w:lvlJc w:val="left"/>
      <w:pPr>
        <w:tabs>
          <w:tab w:val="left" w:pos="1494"/>
        </w:tabs>
        <w:ind w:left="1494" w:hanging="1296"/>
      </w:pPr>
      <w:rPr>
        <w:rFonts w:hint="eastAsia"/>
      </w:rPr>
    </w:lvl>
    <w:lvl w:ilvl="7" w:tentative="0">
      <w:start w:val="1"/>
      <w:numFmt w:val="decimal"/>
      <w:lvlText w:val="%1.%2.%3.%4.%5.%6.%7.%8"/>
      <w:lvlJc w:val="left"/>
      <w:pPr>
        <w:tabs>
          <w:tab w:val="left" w:pos="1638"/>
        </w:tabs>
        <w:ind w:left="1638" w:hanging="1440"/>
      </w:pPr>
      <w:rPr>
        <w:rFonts w:hint="eastAsia"/>
      </w:rPr>
    </w:lvl>
    <w:lvl w:ilvl="8" w:tentative="0">
      <w:start w:val="1"/>
      <w:numFmt w:val="decimal"/>
      <w:lvlText w:val="%1.%2.%3.%4.%5.%6.%7.%8.%9"/>
      <w:lvlJc w:val="left"/>
      <w:pPr>
        <w:tabs>
          <w:tab w:val="left" w:pos="1782"/>
        </w:tabs>
        <w:ind w:left="1782" w:hanging="1584"/>
      </w:pPr>
      <w:rPr>
        <w:rFonts w:hint="eastAsia"/>
      </w:rPr>
    </w:lvl>
  </w:abstractNum>
  <w:abstractNum w:abstractNumId="14">
    <w:nsid w:val="7A525E76"/>
    <w:multiLevelType w:val="multilevel"/>
    <w:tmpl w:val="7A525E76"/>
    <w:lvl w:ilvl="0" w:tentative="0">
      <w:start w:val="1"/>
      <w:numFmt w:val="bullet"/>
      <w:pStyle w:val="250"/>
      <w:lvlText w:val=""/>
      <w:lvlJc w:val="left"/>
      <w:pPr>
        <w:tabs>
          <w:tab w:val="left" w:pos="1020"/>
        </w:tabs>
        <w:ind w:left="1020" w:hanging="420"/>
      </w:pPr>
      <w:rPr>
        <w:rFonts w:hint="default" w:ascii="Wingdings" w:hAnsi="Wingdings"/>
      </w:rPr>
    </w:lvl>
    <w:lvl w:ilvl="1" w:tentative="0">
      <w:start w:val="1"/>
      <w:numFmt w:val="bullet"/>
      <w:lvlText w:val=""/>
      <w:lvlJc w:val="left"/>
      <w:pPr>
        <w:tabs>
          <w:tab w:val="left" w:pos="1440"/>
        </w:tabs>
        <w:ind w:left="1440" w:hanging="420"/>
      </w:pPr>
      <w:rPr>
        <w:rFonts w:hint="default" w:ascii="Wingdings" w:hAnsi="Wingdings"/>
      </w:rPr>
    </w:lvl>
    <w:lvl w:ilvl="2" w:tentative="0">
      <w:start w:val="1"/>
      <w:numFmt w:val="bullet"/>
      <w:lvlText w:val=""/>
      <w:lvlJc w:val="left"/>
      <w:pPr>
        <w:tabs>
          <w:tab w:val="left" w:pos="1860"/>
        </w:tabs>
        <w:ind w:left="1860" w:hanging="420"/>
      </w:pPr>
      <w:rPr>
        <w:rFonts w:hint="default" w:ascii="Wingdings" w:hAnsi="Wingdings"/>
      </w:rPr>
    </w:lvl>
    <w:lvl w:ilvl="3" w:tentative="0">
      <w:start w:val="1"/>
      <w:numFmt w:val="bullet"/>
      <w:lvlText w:val=""/>
      <w:lvlJc w:val="left"/>
      <w:pPr>
        <w:tabs>
          <w:tab w:val="left" w:pos="2280"/>
        </w:tabs>
        <w:ind w:left="2280" w:hanging="420"/>
      </w:pPr>
      <w:rPr>
        <w:rFonts w:hint="default" w:ascii="Wingdings" w:hAnsi="Wingdings"/>
      </w:rPr>
    </w:lvl>
    <w:lvl w:ilvl="4" w:tentative="0">
      <w:start w:val="1"/>
      <w:numFmt w:val="bullet"/>
      <w:lvlText w:val=""/>
      <w:lvlJc w:val="left"/>
      <w:pPr>
        <w:tabs>
          <w:tab w:val="left" w:pos="2700"/>
        </w:tabs>
        <w:ind w:left="2700" w:hanging="420"/>
      </w:pPr>
      <w:rPr>
        <w:rFonts w:hint="default" w:ascii="Wingdings" w:hAnsi="Wingdings"/>
      </w:rPr>
    </w:lvl>
    <w:lvl w:ilvl="5" w:tentative="0">
      <w:start w:val="1"/>
      <w:numFmt w:val="bullet"/>
      <w:lvlText w:val=""/>
      <w:lvlJc w:val="left"/>
      <w:pPr>
        <w:tabs>
          <w:tab w:val="left" w:pos="3120"/>
        </w:tabs>
        <w:ind w:left="3120" w:hanging="420"/>
      </w:pPr>
      <w:rPr>
        <w:rFonts w:hint="default" w:ascii="Wingdings" w:hAnsi="Wingdings"/>
      </w:rPr>
    </w:lvl>
    <w:lvl w:ilvl="6" w:tentative="0">
      <w:start w:val="1"/>
      <w:numFmt w:val="bullet"/>
      <w:lvlText w:val=""/>
      <w:lvlJc w:val="left"/>
      <w:pPr>
        <w:tabs>
          <w:tab w:val="left" w:pos="3540"/>
        </w:tabs>
        <w:ind w:left="3540" w:hanging="420"/>
      </w:pPr>
      <w:rPr>
        <w:rFonts w:hint="default" w:ascii="Wingdings" w:hAnsi="Wingdings"/>
      </w:rPr>
    </w:lvl>
    <w:lvl w:ilvl="7" w:tentative="0">
      <w:start w:val="1"/>
      <w:numFmt w:val="bullet"/>
      <w:lvlText w:val=""/>
      <w:lvlJc w:val="left"/>
      <w:pPr>
        <w:tabs>
          <w:tab w:val="left" w:pos="3960"/>
        </w:tabs>
        <w:ind w:left="3960" w:hanging="420"/>
      </w:pPr>
      <w:rPr>
        <w:rFonts w:hint="default" w:ascii="Wingdings" w:hAnsi="Wingdings"/>
      </w:rPr>
    </w:lvl>
    <w:lvl w:ilvl="8" w:tentative="0">
      <w:start w:val="1"/>
      <w:numFmt w:val="bullet"/>
      <w:lvlText w:val=""/>
      <w:lvlJc w:val="left"/>
      <w:pPr>
        <w:tabs>
          <w:tab w:val="left" w:pos="4380"/>
        </w:tabs>
        <w:ind w:left="4380" w:hanging="420"/>
      </w:pPr>
      <w:rPr>
        <w:rFonts w:hint="default" w:ascii="Wingdings" w:hAnsi="Wingdings"/>
      </w:rPr>
    </w:lvl>
  </w:abstractNum>
  <w:num w:numId="1">
    <w:abstractNumId w:val="2"/>
  </w:num>
  <w:num w:numId="2">
    <w:abstractNumId w:val="4"/>
  </w:num>
  <w:num w:numId="3">
    <w:abstractNumId w:val="13"/>
  </w:num>
  <w:num w:numId="4">
    <w:abstractNumId w:val="14"/>
  </w:num>
  <w:num w:numId="5">
    <w:abstractNumId w:val="8"/>
  </w:num>
  <w:num w:numId="6">
    <w:abstractNumId w:val="5"/>
  </w:num>
  <w:num w:numId="7">
    <w:abstractNumId w:val="12"/>
  </w:num>
  <w:num w:numId="8">
    <w:abstractNumId w:val="9"/>
  </w:num>
  <w:num w:numId="9">
    <w:abstractNumId w:val="7"/>
  </w:num>
  <w:num w:numId="10">
    <w:abstractNumId w:val="1"/>
  </w:num>
  <w:num w:numId="11">
    <w:abstractNumId w:val="11"/>
  </w:num>
  <w:num w:numId="12">
    <w:abstractNumId w:val="3"/>
  </w:num>
  <w:num w:numId="13">
    <w:abstractNumId w:val="10"/>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157"/>
  <w:displayHorizontalDrawingGridEvery w:val="1"/>
  <w:displayVerticalDrawingGridEvery w:val="1"/>
  <w:noPunctuationKerning w:val="1"/>
  <w:characterSpacingControl w:val="doNotCompress"/>
  <w:noLineBreaksAfter w:lang="zh-CN" w:val="([{·‘“〈《「『【〔〖（．［｛￡￥"/>
  <w:noLineBreaksBefore w:lang="zh-CN" w:val="!),.:;?]}¨·ˇˉ―‖’”…∶、。〃々〉》」』】〕〗！＂＇），．：；？］｀｜｝～￠"/>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3MjAzOGI1ZWM1NjI3YTE0MjIzZDIwNTMwM2NhZjEifQ=="/>
  </w:docVars>
  <w:rsids>
    <w:rsidRoot w:val="003E24EA"/>
    <w:rsid w:val="00005393"/>
    <w:rsid w:val="0000756D"/>
    <w:rsid w:val="00013500"/>
    <w:rsid w:val="000163E4"/>
    <w:rsid w:val="000211B7"/>
    <w:rsid w:val="00021561"/>
    <w:rsid w:val="00024E84"/>
    <w:rsid w:val="000259A7"/>
    <w:rsid w:val="000267C6"/>
    <w:rsid w:val="000277D7"/>
    <w:rsid w:val="00031DE8"/>
    <w:rsid w:val="0003296B"/>
    <w:rsid w:val="00035C0C"/>
    <w:rsid w:val="00037960"/>
    <w:rsid w:val="00041A91"/>
    <w:rsid w:val="0004426D"/>
    <w:rsid w:val="00046CA0"/>
    <w:rsid w:val="00050B97"/>
    <w:rsid w:val="00061B4A"/>
    <w:rsid w:val="00070F53"/>
    <w:rsid w:val="00071255"/>
    <w:rsid w:val="00080877"/>
    <w:rsid w:val="00086754"/>
    <w:rsid w:val="0008797E"/>
    <w:rsid w:val="00091F5E"/>
    <w:rsid w:val="000937B0"/>
    <w:rsid w:val="00094860"/>
    <w:rsid w:val="00095EF5"/>
    <w:rsid w:val="00096527"/>
    <w:rsid w:val="000A18EB"/>
    <w:rsid w:val="000A4084"/>
    <w:rsid w:val="000A6F33"/>
    <w:rsid w:val="000B2A08"/>
    <w:rsid w:val="000B420E"/>
    <w:rsid w:val="000B5595"/>
    <w:rsid w:val="000B7380"/>
    <w:rsid w:val="000B77D5"/>
    <w:rsid w:val="000C6989"/>
    <w:rsid w:val="000C754E"/>
    <w:rsid w:val="000D0CD0"/>
    <w:rsid w:val="000D0D3D"/>
    <w:rsid w:val="000D1DE6"/>
    <w:rsid w:val="000D286C"/>
    <w:rsid w:val="000D38CC"/>
    <w:rsid w:val="000D3ECE"/>
    <w:rsid w:val="000D4679"/>
    <w:rsid w:val="000D76AF"/>
    <w:rsid w:val="000E170B"/>
    <w:rsid w:val="000F4AEF"/>
    <w:rsid w:val="000F6A53"/>
    <w:rsid w:val="001012AF"/>
    <w:rsid w:val="001035EB"/>
    <w:rsid w:val="00103F7E"/>
    <w:rsid w:val="00104B9D"/>
    <w:rsid w:val="00114B37"/>
    <w:rsid w:val="001243D7"/>
    <w:rsid w:val="001248FA"/>
    <w:rsid w:val="0012626A"/>
    <w:rsid w:val="00126761"/>
    <w:rsid w:val="00126E11"/>
    <w:rsid w:val="001302D0"/>
    <w:rsid w:val="00130833"/>
    <w:rsid w:val="00131571"/>
    <w:rsid w:val="00132BD1"/>
    <w:rsid w:val="00135338"/>
    <w:rsid w:val="00136E02"/>
    <w:rsid w:val="001372CE"/>
    <w:rsid w:val="001404EF"/>
    <w:rsid w:val="001474AC"/>
    <w:rsid w:val="00150966"/>
    <w:rsid w:val="00150B10"/>
    <w:rsid w:val="0015132B"/>
    <w:rsid w:val="00152247"/>
    <w:rsid w:val="00157E5A"/>
    <w:rsid w:val="001604B1"/>
    <w:rsid w:val="00166B63"/>
    <w:rsid w:val="00172A02"/>
    <w:rsid w:val="00175D7E"/>
    <w:rsid w:val="00176FCD"/>
    <w:rsid w:val="001810BE"/>
    <w:rsid w:val="00183351"/>
    <w:rsid w:val="001851A9"/>
    <w:rsid w:val="00197BB0"/>
    <w:rsid w:val="001A368A"/>
    <w:rsid w:val="001A5B70"/>
    <w:rsid w:val="001B1DDC"/>
    <w:rsid w:val="001C3FE9"/>
    <w:rsid w:val="001C4B05"/>
    <w:rsid w:val="001C5E46"/>
    <w:rsid w:val="001D3773"/>
    <w:rsid w:val="001D6203"/>
    <w:rsid w:val="001E22A6"/>
    <w:rsid w:val="001F436C"/>
    <w:rsid w:val="001F4DF9"/>
    <w:rsid w:val="001F6C99"/>
    <w:rsid w:val="00202580"/>
    <w:rsid w:val="002037FE"/>
    <w:rsid w:val="00204EA5"/>
    <w:rsid w:val="0020673D"/>
    <w:rsid w:val="0020793C"/>
    <w:rsid w:val="00213CB2"/>
    <w:rsid w:val="00241673"/>
    <w:rsid w:val="0024282E"/>
    <w:rsid w:val="002500B7"/>
    <w:rsid w:val="00250AC0"/>
    <w:rsid w:val="00255DBC"/>
    <w:rsid w:val="00261BC9"/>
    <w:rsid w:val="00270A67"/>
    <w:rsid w:val="002716F6"/>
    <w:rsid w:val="00276FCD"/>
    <w:rsid w:val="002812A2"/>
    <w:rsid w:val="002850B9"/>
    <w:rsid w:val="00291ECF"/>
    <w:rsid w:val="00296F92"/>
    <w:rsid w:val="00297874"/>
    <w:rsid w:val="002A4DF2"/>
    <w:rsid w:val="002B23C0"/>
    <w:rsid w:val="002B332D"/>
    <w:rsid w:val="002B7817"/>
    <w:rsid w:val="002D3F26"/>
    <w:rsid w:val="002D56D5"/>
    <w:rsid w:val="002E4F48"/>
    <w:rsid w:val="002E6B96"/>
    <w:rsid w:val="002F1147"/>
    <w:rsid w:val="002F1367"/>
    <w:rsid w:val="002F62F0"/>
    <w:rsid w:val="002F7088"/>
    <w:rsid w:val="002F7698"/>
    <w:rsid w:val="003106A0"/>
    <w:rsid w:val="00313605"/>
    <w:rsid w:val="00315F4E"/>
    <w:rsid w:val="0032162E"/>
    <w:rsid w:val="0032329D"/>
    <w:rsid w:val="0032637D"/>
    <w:rsid w:val="00330BB7"/>
    <w:rsid w:val="003752D5"/>
    <w:rsid w:val="00375B31"/>
    <w:rsid w:val="00380F04"/>
    <w:rsid w:val="00382DF3"/>
    <w:rsid w:val="00394F5F"/>
    <w:rsid w:val="003A15D7"/>
    <w:rsid w:val="003A44EE"/>
    <w:rsid w:val="003B64D4"/>
    <w:rsid w:val="003C6169"/>
    <w:rsid w:val="003E24EA"/>
    <w:rsid w:val="003E3095"/>
    <w:rsid w:val="003F3F67"/>
    <w:rsid w:val="003F480E"/>
    <w:rsid w:val="003F6083"/>
    <w:rsid w:val="003F7ED5"/>
    <w:rsid w:val="00410B07"/>
    <w:rsid w:val="00414852"/>
    <w:rsid w:val="00416856"/>
    <w:rsid w:val="00426800"/>
    <w:rsid w:val="0042761A"/>
    <w:rsid w:val="004317B0"/>
    <w:rsid w:val="00433B33"/>
    <w:rsid w:val="0045455E"/>
    <w:rsid w:val="004576D2"/>
    <w:rsid w:val="00466681"/>
    <w:rsid w:val="00466815"/>
    <w:rsid w:val="00473AA9"/>
    <w:rsid w:val="004747D9"/>
    <w:rsid w:val="00477772"/>
    <w:rsid w:val="00477EE1"/>
    <w:rsid w:val="004850DB"/>
    <w:rsid w:val="00491F43"/>
    <w:rsid w:val="00493EBA"/>
    <w:rsid w:val="00494D18"/>
    <w:rsid w:val="004A0F91"/>
    <w:rsid w:val="004A37FF"/>
    <w:rsid w:val="004B29F6"/>
    <w:rsid w:val="004B2DE4"/>
    <w:rsid w:val="004B49DD"/>
    <w:rsid w:val="004C0C2A"/>
    <w:rsid w:val="004C1A44"/>
    <w:rsid w:val="004C222D"/>
    <w:rsid w:val="004C26E8"/>
    <w:rsid w:val="004C457A"/>
    <w:rsid w:val="004D3478"/>
    <w:rsid w:val="004D740D"/>
    <w:rsid w:val="004E11B4"/>
    <w:rsid w:val="004E11D3"/>
    <w:rsid w:val="004E1E2D"/>
    <w:rsid w:val="004F3446"/>
    <w:rsid w:val="004F5049"/>
    <w:rsid w:val="004F5DC7"/>
    <w:rsid w:val="004F6EC4"/>
    <w:rsid w:val="005011CF"/>
    <w:rsid w:val="00511C20"/>
    <w:rsid w:val="005148E8"/>
    <w:rsid w:val="00517869"/>
    <w:rsid w:val="00523344"/>
    <w:rsid w:val="00525452"/>
    <w:rsid w:val="005304D3"/>
    <w:rsid w:val="00535C91"/>
    <w:rsid w:val="00537DD6"/>
    <w:rsid w:val="0054339D"/>
    <w:rsid w:val="005478E7"/>
    <w:rsid w:val="00552C3C"/>
    <w:rsid w:val="005543DA"/>
    <w:rsid w:val="005611D7"/>
    <w:rsid w:val="005741F3"/>
    <w:rsid w:val="005779EE"/>
    <w:rsid w:val="005821F2"/>
    <w:rsid w:val="005922FC"/>
    <w:rsid w:val="00592E8B"/>
    <w:rsid w:val="00596E17"/>
    <w:rsid w:val="005A6704"/>
    <w:rsid w:val="005B6849"/>
    <w:rsid w:val="005C0B7E"/>
    <w:rsid w:val="005D25D0"/>
    <w:rsid w:val="005D2A95"/>
    <w:rsid w:val="005D7F8B"/>
    <w:rsid w:val="005E1308"/>
    <w:rsid w:val="005E22D4"/>
    <w:rsid w:val="005E4606"/>
    <w:rsid w:val="005F1F4D"/>
    <w:rsid w:val="005F27D5"/>
    <w:rsid w:val="00601610"/>
    <w:rsid w:val="0061116C"/>
    <w:rsid w:val="00613F68"/>
    <w:rsid w:val="00617547"/>
    <w:rsid w:val="0061780F"/>
    <w:rsid w:val="006217BA"/>
    <w:rsid w:val="00621DAF"/>
    <w:rsid w:val="00627332"/>
    <w:rsid w:val="00632DCB"/>
    <w:rsid w:val="00641030"/>
    <w:rsid w:val="00642F70"/>
    <w:rsid w:val="00650402"/>
    <w:rsid w:val="00650535"/>
    <w:rsid w:val="00652DA5"/>
    <w:rsid w:val="00655D7B"/>
    <w:rsid w:val="00656BF1"/>
    <w:rsid w:val="00661E0E"/>
    <w:rsid w:val="00663B44"/>
    <w:rsid w:val="00666355"/>
    <w:rsid w:val="00670790"/>
    <w:rsid w:val="006711F6"/>
    <w:rsid w:val="00671FB5"/>
    <w:rsid w:val="00672361"/>
    <w:rsid w:val="006765B9"/>
    <w:rsid w:val="00690A41"/>
    <w:rsid w:val="00691CC8"/>
    <w:rsid w:val="00691D0A"/>
    <w:rsid w:val="0069255A"/>
    <w:rsid w:val="00694342"/>
    <w:rsid w:val="00694C34"/>
    <w:rsid w:val="00697E5D"/>
    <w:rsid w:val="006B0E3D"/>
    <w:rsid w:val="006B1A34"/>
    <w:rsid w:val="006B6465"/>
    <w:rsid w:val="006B7A88"/>
    <w:rsid w:val="006C1926"/>
    <w:rsid w:val="006C62D1"/>
    <w:rsid w:val="006C7E40"/>
    <w:rsid w:val="006D1FC1"/>
    <w:rsid w:val="006E1CA9"/>
    <w:rsid w:val="006E259C"/>
    <w:rsid w:val="006F056B"/>
    <w:rsid w:val="006F1640"/>
    <w:rsid w:val="006F4876"/>
    <w:rsid w:val="006F6031"/>
    <w:rsid w:val="00702D97"/>
    <w:rsid w:val="00720488"/>
    <w:rsid w:val="00725EE4"/>
    <w:rsid w:val="007277E6"/>
    <w:rsid w:val="00744180"/>
    <w:rsid w:val="00747C9C"/>
    <w:rsid w:val="00752724"/>
    <w:rsid w:val="00761D45"/>
    <w:rsid w:val="00761E3E"/>
    <w:rsid w:val="00767CBC"/>
    <w:rsid w:val="0077252B"/>
    <w:rsid w:val="007739C3"/>
    <w:rsid w:val="007826B5"/>
    <w:rsid w:val="00784465"/>
    <w:rsid w:val="007913CB"/>
    <w:rsid w:val="007936FC"/>
    <w:rsid w:val="007945E2"/>
    <w:rsid w:val="007A290F"/>
    <w:rsid w:val="007A32A1"/>
    <w:rsid w:val="007A36AB"/>
    <w:rsid w:val="007A4AE4"/>
    <w:rsid w:val="007A5B3F"/>
    <w:rsid w:val="007A6C39"/>
    <w:rsid w:val="007A6CAC"/>
    <w:rsid w:val="007B016C"/>
    <w:rsid w:val="007B1B9F"/>
    <w:rsid w:val="007B7E55"/>
    <w:rsid w:val="007C313C"/>
    <w:rsid w:val="007C57A1"/>
    <w:rsid w:val="007D19CC"/>
    <w:rsid w:val="007E534E"/>
    <w:rsid w:val="007E53CD"/>
    <w:rsid w:val="007F0633"/>
    <w:rsid w:val="007F0AE5"/>
    <w:rsid w:val="007F2BBD"/>
    <w:rsid w:val="007F31A6"/>
    <w:rsid w:val="007F53D9"/>
    <w:rsid w:val="007F59B9"/>
    <w:rsid w:val="00801106"/>
    <w:rsid w:val="00802645"/>
    <w:rsid w:val="0080445C"/>
    <w:rsid w:val="008201ED"/>
    <w:rsid w:val="00821E43"/>
    <w:rsid w:val="008222B9"/>
    <w:rsid w:val="00824DAC"/>
    <w:rsid w:val="0085367A"/>
    <w:rsid w:val="00854F71"/>
    <w:rsid w:val="0086490E"/>
    <w:rsid w:val="00873061"/>
    <w:rsid w:val="00876E52"/>
    <w:rsid w:val="00883FCA"/>
    <w:rsid w:val="008846D7"/>
    <w:rsid w:val="0088553D"/>
    <w:rsid w:val="00894F7B"/>
    <w:rsid w:val="008A4192"/>
    <w:rsid w:val="008A52DB"/>
    <w:rsid w:val="008B1AD9"/>
    <w:rsid w:val="008C2E6B"/>
    <w:rsid w:val="008C3181"/>
    <w:rsid w:val="008D18BD"/>
    <w:rsid w:val="008D46DD"/>
    <w:rsid w:val="008D704D"/>
    <w:rsid w:val="008D7719"/>
    <w:rsid w:val="008E2C27"/>
    <w:rsid w:val="008E3CDD"/>
    <w:rsid w:val="008E4C19"/>
    <w:rsid w:val="008E6610"/>
    <w:rsid w:val="008E7CF0"/>
    <w:rsid w:val="008F22B2"/>
    <w:rsid w:val="009068F2"/>
    <w:rsid w:val="00912E1E"/>
    <w:rsid w:val="00912E44"/>
    <w:rsid w:val="00917135"/>
    <w:rsid w:val="00917DDF"/>
    <w:rsid w:val="009241E0"/>
    <w:rsid w:val="009303CE"/>
    <w:rsid w:val="009345C5"/>
    <w:rsid w:val="00935075"/>
    <w:rsid w:val="00937D32"/>
    <w:rsid w:val="00941D55"/>
    <w:rsid w:val="00941F58"/>
    <w:rsid w:val="00943438"/>
    <w:rsid w:val="009446CB"/>
    <w:rsid w:val="0095137E"/>
    <w:rsid w:val="0095517C"/>
    <w:rsid w:val="00956EF0"/>
    <w:rsid w:val="00957543"/>
    <w:rsid w:val="00970C73"/>
    <w:rsid w:val="00973F8C"/>
    <w:rsid w:val="00974DC4"/>
    <w:rsid w:val="00976966"/>
    <w:rsid w:val="0098246B"/>
    <w:rsid w:val="0098311E"/>
    <w:rsid w:val="00985EAD"/>
    <w:rsid w:val="00993344"/>
    <w:rsid w:val="0099644A"/>
    <w:rsid w:val="009B0560"/>
    <w:rsid w:val="009B2B49"/>
    <w:rsid w:val="009B3EC3"/>
    <w:rsid w:val="009B657F"/>
    <w:rsid w:val="009C4447"/>
    <w:rsid w:val="009C4D66"/>
    <w:rsid w:val="009D0CC7"/>
    <w:rsid w:val="009D1526"/>
    <w:rsid w:val="009E2766"/>
    <w:rsid w:val="009E3F9A"/>
    <w:rsid w:val="009E73FB"/>
    <w:rsid w:val="00A00CDD"/>
    <w:rsid w:val="00A00D2C"/>
    <w:rsid w:val="00A02094"/>
    <w:rsid w:val="00A05531"/>
    <w:rsid w:val="00A12CA4"/>
    <w:rsid w:val="00A14059"/>
    <w:rsid w:val="00A1657B"/>
    <w:rsid w:val="00A32B73"/>
    <w:rsid w:val="00A47116"/>
    <w:rsid w:val="00A5055C"/>
    <w:rsid w:val="00A51DAF"/>
    <w:rsid w:val="00A574C4"/>
    <w:rsid w:val="00A64639"/>
    <w:rsid w:val="00A7012B"/>
    <w:rsid w:val="00A72C93"/>
    <w:rsid w:val="00A76C44"/>
    <w:rsid w:val="00A7707B"/>
    <w:rsid w:val="00A8020E"/>
    <w:rsid w:val="00A808AE"/>
    <w:rsid w:val="00A8237D"/>
    <w:rsid w:val="00A86B40"/>
    <w:rsid w:val="00A9571E"/>
    <w:rsid w:val="00A9656F"/>
    <w:rsid w:val="00A96B83"/>
    <w:rsid w:val="00AA11D1"/>
    <w:rsid w:val="00AA1C06"/>
    <w:rsid w:val="00AA3286"/>
    <w:rsid w:val="00AA4614"/>
    <w:rsid w:val="00AC140E"/>
    <w:rsid w:val="00AC18B3"/>
    <w:rsid w:val="00AC4CA2"/>
    <w:rsid w:val="00AC5EAB"/>
    <w:rsid w:val="00AC7919"/>
    <w:rsid w:val="00AF5274"/>
    <w:rsid w:val="00AF6198"/>
    <w:rsid w:val="00AF6974"/>
    <w:rsid w:val="00AF7346"/>
    <w:rsid w:val="00AF74AB"/>
    <w:rsid w:val="00B0232B"/>
    <w:rsid w:val="00B10081"/>
    <w:rsid w:val="00B1325B"/>
    <w:rsid w:val="00B21188"/>
    <w:rsid w:val="00B34CD2"/>
    <w:rsid w:val="00B36A60"/>
    <w:rsid w:val="00B403A6"/>
    <w:rsid w:val="00B45DC8"/>
    <w:rsid w:val="00B50E81"/>
    <w:rsid w:val="00B52048"/>
    <w:rsid w:val="00B521AF"/>
    <w:rsid w:val="00B53029"/>
    <w:rsid w:val="00B549DD"/>
    <w:rsid w:val="00B61E4F"/>
    <w:rsid w:val="00B7303F"/>
    <w:rsid w:val="00B76EF3"/>
    <w:rsid w:val="00B83088"/>
    <w:rsid w:val="00B83D08"/>
    <w:rsid w:val="00B83ED0"/>
    <w:rsid w:val="00B9653C"/>
    <w:rsid w:val="00B97EE0"/>
    <w:rsid w:val="00BA0935"/>
    <w:rsid w:val="00BA10E6"/>
    <w:rsid w:val="00BB141B"/>
    <w:rsid w:val="00BB4329"/>
    <w:rsid w:val="00BC17AC"/>
    <w:rsid w:val="00BC413E"/>
    <w:rsid w:val="00BD345F"/>
    <w:rsid w:val="00BE3114"/>
    <w:rsid w:val="00BF12BD"/>
    <w:rsid w:val="00BF4979"/>
    <w:rsid w:val="00BF77DD"/>
    <w:rsid w:val="00C12AD2"/>
    <w:rsid w:val="00C203DD"/>
    <w:rsid w:val="00C23920"/>
    <w:rsid w:val="00C2459C"/>
    <w:rsid w:val="00C27D25"/>
    <w:rsid w:val="00C33019"/>
    <w:rsid w:val="00C358B5"/>
    <w:rsid w:val="00C37C72"/>
    <w:rsid w:val="00C4230F"/>
    <w:rsid w:val="00C4426E"/>
    <w:rsid w:val="00C449DD"/>
    <w:rsid w:val="00C45DF8"/>
    <w:rsid w:val="00C52D5E"/>
    <w:rsid w:val="00C53047"/>
    <w:rsid w:val="00C57DB1"/>
    <w:rsid w:val="00C6085A"/>
    <w:rsid w:val="00C61C99"/>
    <w:rsid w:val="00C62D4B"/>
    <w:rsid w:val="00C63725"/>
    <w:rsid w:val="00C64DCA"/>
    <w:rsid w:val="00C74DC7"/>
    <w:rsid w:val="00C77E16"/>
    <w:rsid w:val="00C8677F"/>
    <w:rsid w:val="00C87CD7"/>
    <w:rsid w:val="00C91325"/>
    <w:rsid w:val="00C97C5C"/>
    <w:rsid w:val="00CA0645"/>
    <w:rsid w:val="00CB6C97"/>
    <w:rsid w:val="00CC047A"/>
    <w:rsid w:val="00CC2642"/>
    <w:rsid w:val="00CC2B71"/>
    <w:rsid w:val="00CD00E7"/>
    <w:rsid w:val="00CE206E"/>
    <w:rsid w:val="00CE3F46"/>
    <w:rsid w:val="00CE69CE"/>
    <w:rsid w:val="00CE6F82"/>
    <w:rsid w:val="00CF284F"/>
    <w:rsid w:val="00CF4568"/>
    <w:rsid w:val="00D0189B"/>
    <w:rsid w:val="00D02961"/>
    <w:rsid w:val="00D0631F"/>
    <w:rsid w:val="00D14E71"/>
    <w:rsid w:val="00D15976"/>
    <w:rsid w:val="00D17336"/>
    <w:rsid w:val="00D17393"/>
    <w:rsid w:val="00D30314"/>
    <w:rsid w:val="00D31EEE"/>
    <w:rsid w:val="00D360E7"/>
    <w:rsid w:val="00D36783"/>
    <w:rsid w:val="00D438D7"/>
    <w:rsid w:val="00D444DC"/>
    <w:rsid w:val="00D449E0"/>
    <w:rsid w:val="00D4646A"/>
    <w:rsid w:val="00D51E25"/>
    <w:rsid w:val="00D529DC"/>
    <w:rsid w:val="00D53AF5"/>
    <w:rsid w:val="00D554FD"/>
    <w:rsid w:val="00D5635F"/>
    <w:rsid w:val="00D565BD"/>
    <w:rsid w:val="00D65356"/>
    <w:rsid w:val="00D66260"/>
    <w:rsid w:val="00D80051"/>
    <w:rsid w:val="00D833CE"/>
    <w:rsid w:val="00D87F9A"/>
    <w:rsid w:val="00D907AB"/>
    <w:rsid w:val="00D92848"/>
    <w:rsid w:val="00D9727A"/>
    <w:rsid w:val="00D97A57"/>
    <w:rsid w:val="00DB022B"/>
    <w:rsid w:val="00DC396B"/>
    <w:rsid w:val="00DC4A79"/>
    <w:rsid w:val="00DD1D4E"/>
    <w:rsid w:val="00DD6070"/>
    <w:rsid w:val="00DE3F30"/>
    <w:rsid w:val="00DE538B"/>
    <w:rsid w:val="00DF34F1"/>
    <w:rsid w:val="00DF6FB6"/>
    <w:rsid w:val="00E07194"/>
    <w:rsid w:val="00E15528"/>
    <w:rsid w:val="00E169E0"/>
    <w:rsid w:val="00E57FC7"/>
    <w:rsid w:val="00E63F84"/>
    <w:rsid w:val="00E64E86"/>
    <w:rsid w:val="00E80D85"/>
    <w:rsid w:val="00E86070"/>
    <w:rsid w:val="00E86B72"/>
    <w:rsid w:val="00E95A43"/>
    <w:rsid w:val="00E95EBA"/>
    <w:rsid w:val="00E971B9"/>
    <w:rsid w:val="00EA136E"/>
    <w:rsid w:val="00EB23B6"/>
    <w:rsid w:val="00EC052B"/>
    <w:rsid w:val="00ED1E9E"/>
    <w:rsid w:val="00ED7692"/>
    <w:rsid w:val="00EE00CD"/>
    <w:rsid w:val="00EE471F"/>
    <w:rsid w:val="00EE7449"/>
    <w:rsid w:val="00EF0C47"/>
    <w:rsid w:val="00F00C04"/>
    <w:rsid w:val="00F032AE"/>
    <w:rsid w:val="00F05A89"/>
    <w:rsid w:val="00F1492C"/>
    <w:rsid w:val="00F24A5B"/>
    <w:rsid w:val="00F40163"/>
    <w:rsid w:val="00F57324"/>
    <w:rsid w:val="00F60BCB"/>
    <w:rsid w:val="00F618C5"/>
    <w:rsid w:val="00F67651"/>
    <w:rsid w:val="00F7650A"/>
    <w:rsid w:val="00F87D77"/>
    <w:rsid w:val="00FA215C"/>
    <w:rsid w:val="00FA3DC6"/>
    <w:rsid w:val="00FA5B20"/>
    <w:rsid w:val="00FA5BD6"/>
    <w:rsid w:val="00FA7D46"/>
    <w:rsid w:val="00FB09C7"/>
    <w:rsid w:val="00FB64CD"/>
    <w:rsid w:val="00FB791B"/>
    <w:rsid w:val="00FC23A6"/>
    <w:rsid w:val="00FC3863"/>
    <w:rsid w:val="00FC4113"/>
    <w:rsid w:val="00FC577C"/>
    <w:rsid w:val="00FD549D"/>
    <w:rsid w:val="00FD5AA9"/>
    <w:rsid w:val="00FE1536"/>
    <w:rsid w:val="00FE3E94"/>
    <w:rsid w:val="00FE494A"/>
    <w:rsid w:val="00FE4CB8"/>
    <w:rsid w:val="01111F28"/>
    <w:rsid w:val="01204FE7"/>
    <w:rsid w:val="0127406E"/>
    <w:rsid w:val="01317A18"/>
    <w:rsid w:val="0137347C"/>
    <w:rsid w:val="014121B8"/>
    <w:rsid w:val="01431A4A"/>
    <w:rsid w:val="014D038D"/>
    <w:rsid w:val="014F4080"/>
    <w:rsid w:val="01640B27"/>
    <w:rsid w:val="01782C45"/>
    <w:rsid w:val="017E2A82"/>
    <w:rsid w:val="0198551C"/>
    <w:rsid w:val="01A21208"/>
    <w:rsid w:val="01BE6FB2"/>
    <w:rsid w:val="01C61DB0"/>
    <w:rsid w:val="01DA3B39"/>
    <w:rsid w:val="01E07623"/>
    <w:rsid w:val="01E675C4"/>
    <w:rsid w:val="022D7723"/>
    <w:rsid w:val="0230522D"/>
    <w:rsid w:val="024017D6"/>
    <w:rsid w:val="025120D9"/>
    <w:rsid w:val="0259098A"/>
    <w:rsid w:val="025C71AC"/>
    <w:rsid w:val="02660039"/>
    <w:rsid w:val="0283679D"/>
    <w:rsid w:val="028A5205"/>
    <w:rsid w:val="029B7D56"/>
    <w:rsid w:val="02B959B9"/>
    <w:rsid w:val="02BE2E02"/>
    <w:rsid w:val="02CC13D1"/>
    <w:rsid w:val="02CF63A2"/>
    <w:rsid w:val="02D255D8"/>
    <w:rsid w:val="02F52E81"/>
    <w:rsid w:val="031A2019"/>
    <w:rsid w:val="031B39EB"/>
    <w:rsid w:val="031B7153"/>
    <w:rsid w:val="031C2F98"/>
    <w:rsid w:val="033B70A0"/>
    <w:rsid w:val="033D7669"/>
    <w:rsid w:val="034A0A3A"/>
    <w:rsid w:val="036F0267"/>
    <w:rsid w:val="038913D3"/>
    <w:rsid w:val="0392357C"/>
    <w:rsid w:val="0396662A"/>
    <w:rsid w:val="03C70128"/>
    <w:rsid w:val="03C7694E"/>
    <w:rsid w:val="03D07C9F"/>
    <w:rsid w:val="03D8291E"/>
    <w:rsid w:val="03DC08B6"/>
    <w:rsid w:val="03F978CE"/>
    <w:rsid w:val="040A684F"/>
    <w:rsid w:val="040A73BF"/>
    <w:rsid w:val="041913BA"/>
    <w:rsid w:val="04193DE3"/>
    <w:rsid w:val="0422004B"/>
    <w:rsid w:val="042C2608"/>
    <w:rsid w:val="04530A91"/>
    <w:rsid w:val="045E2CCF"/>
    <w:rsid w:val="046F5FCC"/>
    <w:rsid w:val="04785094"/>
    <w:rsid w:val="048C5B3E"/>
    <w:rsid w:val="049218A0"/>
    <w:rsid w:val="04997412"/>
    <w:rsid w:val="049F12E1"/>
    <w:rsid w:val="04B30F5C"/>
    <w:rsid w:val="04BC0CE2"/>
    <w:rsid w:val="04D169C4"/>
    <w:rsid w:val="04F83BFE"/>
    <w:rsid w:val="0507166A"/>
    <w:rsid w:val="0523559D"/>
    <w:rsid w:val="05292379"/>
    <w:rsid w:val="05415757"/>
    <w:rsid w:val="054C4321"/>
    <w:rsid w:val="05536C4A"/>
    <w:rsid w:val="055E0A8C"/>
    <w:rsid w:val="05707C6A"/>
    <w:rsid w:val="058B593B"/>
    <w:rsid w:val="059C7480"/>
    <w:rsid w:val="05A01A27"/>
    <w:rsid w:val="05B7215E"/>
    <w:rsid w:val="05BD5396"/>
    <w:rsid w:val="05BF4D1E"/>
    <w:rsid w:val="05E37228"/>
    <w:rsid w:val="05EC2C72"/>
    <w:rsid w:val="060A2EF6"/>
    <w:rsid w:val="060E43F2"/>
    <w:rsid w:val="062C6F51"/>
    <w:rsid w:val="063475BD"/>
    <w:rsid w:val="06462DE7"/>
    <w:rsid w:val="0648625E"/>
    <w:rsid w:val="0680169B"/>
    <w:rsid w:val="069568B9"/>
    <w:rsid w:val="06990265"/>
    <w:rsid w:val="06C41333"/>
    <w:rsid w:val="06CF7C57"/>
    <w:rsid w:val="06D47F18"/>
    <w:rsid w:val="070061DC"/>
    <w:rsid w:val="071F5949"/>
    <w:rsid w:val="0728740B"/>
    <w:rsid w:val="07397E99"/>
    <w:rsid w:val="073E6FA7"/>
    <w:rsid w:val="074D5A8D"/>
    <w:rsid w:val="075860A1"/>
    <w:rsid w:val="07714F4D"/>
    <w:rsid w:val="07726403"/>
    <w:rsid w:val="07736C45"/>
    <w:rsid w:val="078D5809"/>
    <w:rsid w:val="07A76D86"/>
    <w:rsid w:val="07AC01DD"/>
    <w:rsid w:val="07FA2EFD"/>
    <w:rsid w:val="07FF244A"/>
    <w:rsid w:val="08183342"/>
    <w:rsid w:val="082F4B08"/>
    <w:rsid w:val="084D2C99"/>
    <w:rsid w:val="084E6940"/>
    <w:rsid w:val="0850455A"/>
    <w:rsid w:val="0857664A"/>
    <w:rsid w:val="087871B5"/>
    <w:rsid w:val="08802995"/>
    <w:rsid w:val="08816E02"/>
    <w:rsid w:val="088823E9"/>
    <w:rsid w:val="08891B1D"/>
    <w:rsid w:val="08A0148D"/>
    <w:rsid w:val="08AF0AD9"/>
    <w:rsid w:val="08B51B7F"/>
    <w:rsid w:val="08B84D5E"/>
    <w:rsid w:val="08F40FD3"/>
    <w:rsid w:val="08F90B02"/>
    <w:rsid w:val="09447218"/>
    <w:rsid w:val="094A76C5"/>
    <w:rsid w:val="096C2283"/>
    <w:rsid w:val="09932E85"/>
    <w:rsid w:val="09961188"/>
    <w:rsid w:val="09AB22A2"/>
    <w:rsid w:val="09BB63FF"/>
    <w:rsid w:val="09C03B5F"/>
    <w:rsid w:val="09D232AC"/>
    <w:rsid w:val="0A220AAD"/>
    <w:rsid w:val="0A26780B"/>
    <w:rsid w:val="0A321011"/>
    <w:rsid w:val="0A465541"/>
    <w:rsid w:val="0A465849"/>
    <w:rsid w:val="0A641E6E"/>
    <w:rsid w:val="0A657616"/>
    <w:rsid w:val="0A6C4ABD"/>
    <w:rsid w:val="0A6F66C7"/>
    <w:rsid w:val="0A7C1C38"/>
    <w:rsid w:val="0A7D1D93"/>
    <w:rsid w:val="0A984102"/>
    <w:rsid w:val="0A9F56FC"/>
    <w:rsid w:val="0AA728AD"/>
    <w:rsid w:val="0AA76787"/>
    <w:rsid w:val="0AB93691"/>
    <w:rsid w:val="0ABB3229"/>
    <w:rsid w:val="0ADE759A"/>
    <w:rsid w:val="0AE24EB4"/>
    <w:rsid w:val="0AEB2181"/>
    <w:rsid w:val="0AFB43DA"/>
    <w:rsid w:val="0B15789D"/>
    <w:rsid w:val="0B2527F9"/>
    <w:rsid w:val="0B2628D9"/>
    <w:rsid w:val="0B27035A"/>
    <w:rsid w:val="0B3267C8"/>
    <w:rsid w:val="0B39089A"/>
    <w:rsid w:val="0B45790A"/>
    <w:rsid w:val="0B634529"/>
    <w:rsid w:val="0B6D1086"/>
    <w:rsid w:val="0B97717C"/>
    <w:rsid w:val="0BA33907"/>
    <w:rsid w:val="0BC12BE8"/>
    <w:rsid w:val="0BE157AC"/>
    <w:rsid w:val="0C290818"/>
    <w:rsid w:val="0C3612E4"/>
    <w:rsid w:val="0C554E0F"/>
    <w:rsid w:val="0C662A91"/>
    <w:rsid w:val="0C763BF4"/>
    <w:rsid w:val="0C83149B"/>
    <w:rsid w:val="0C865500"/>
    <w:rsid w:val="0CAA3075"/>
    <w:rsid w:val="0CBD2D0F"/>
    <w:rsid w:val="0CC714C5"/>
    <w:rsid w:val="0CEE6D0E"/>
    <w:rsid w:val="0CF66F6C"/>
    <w:rsid w:val="0CF77AEC"/>
    <w:rsid w:val="0CFE7123"/>
    <w:rsid w:val="0D1179FA"/>
    <w:rsid w:val="0D132C19"/>
    <w:rsid w:val="0D7A0D22"/>
    <w:rsid w:val="0D814CB6"/>
    <w:rsid w:val="0D9844A3"/>
    <w:rsid w:val="0D9B66C4"/>
    <w:rsid w:val="0DC37368"/>
    <w:rsid w:val="0DDF545A"/>
    <w:rsid w:val="0DE04CD0"/>
    <w:rsid w:val="0E1E25B6"/>
    <w:rsid w:val="0E575EC1"/>
    <w:rsid w:val="0E664354"/>
    <w:rsid w:val="0E740EC6"/>
    <w:rsid w:val="0E9414A3"/>
    <w:rsid w:val="0ECD28A3"/>
    <w:rsid w:val="0EDC16DD"/>
    <w:rsid w:val="0EE12DA9"/>
    <w:rsid w:val="0EF636E8"/>
    <w:rsid w:val="0F016CAD"/>
    <w:rsid w:val="0F103D4E"/>
    <w:rsid w:val="0F347B80"/>
    <w:rsid w:val="0F4D2CA8"/>
    <w:rsid w:val="0F4E0971"/>
    <w:rsid w:val="0F534BB2"/>
    <w:rsid w:val="0F720638"/>
    <w:rsid w:val="0F726586"/>
    <w:rsid w:val="0FA03591"/>
    <w:rsid w:val="0FA474EE"/>
    <w:rsid w:val="0FAB08E4"/>
    <w:rsid w:val="0FC75666"/>
    <w:rsid w:val="0FCD0105"/>
    <w:rsid w:val="0FE718D5"/>
    <w:rsid w:val="1005247A"/>
    <w:rsid w:val="100904FD"/>
    <w:rsid w:val="10095575"/>
    <w:rsid w:val="101B18E5"/>
    <w:rsid w:val="10472278"/>
    <w:rsid w:val="10510EAB"/>
    <w:rsid w:val="106317C1"/>
    <w:rsid w:val="107900BF"/>
    <w:rsid w:val="10B0358F"/>
    <w:rsid w:val="10B434F4"/>
    <w:rsid w:val="10B94F69"/>
    <w:rsid w:val="10C57012"/>
    <w:rsid w:val="10E40044"/>
    <w:rsid w:val="10F8488C"/>
    <w:rsid w:val="11074059"/>
    <w:rsid w:val="110F292A"/>
    <w:rsid w:val="11170A70"/>
    <w:rsid w:val="111D54A2"/>
    <w:rsid w:val="11292A67"/>
    <w:rsid w:val="112A5284"/>
    <w:rsid w:val="115701DB"/>
    <w:rsid w:val="115B5F82"/>
    <w:rsid w:val="11797A05"/>
    <w:rsid w:val="118426D0"/>
    <w:rsid w:val="11AE6713"/>
    <w:rsid w:val="11BF420E"/>
    <w:rsid w:val="11DD4A72"/>
    <w:rsid w:val="11E526D3"/>
    <w:rsid w:val="11E74E37"/>
    <w:rsid w:val="12060D94"/>
    <w:rsid w:val="121543C9"/>
    <w:rsid w:val="122431D2"/>
    <w:rsid w:val="122C789F"/>
    <w:rsid w:val="125B2C31"/>
    <w:rsid w:val="125C74A1"/>
    <w:rsid w:val="126954EC"/>
    <w:rsid w:val="126F6E8A"/>
    <w:rsid w:val="12B44BBA"/>
    <w:rsid w:val="12E03C30"/>
    <w:rsid w:val="12E77CC7"/>
    <w:rsid w:val="12ED3A07"/>
    <w:rsid w:val="12F9640D"/>
    <w:rsid w:val="13023DB6"/>
    <w:rsid w:val="130B4B50"/>
    <w:rsid w:val="130B7EEE"/>
    <w:rsid w:val="131678CE"/>
    <w:rsid w:val="133B042C"/>
    <w:rsid w:val="134C5737"/>
    <w:rsid w:val="135A73F6"/>
    <w:rsid w:val="13644BFC"/>
    <w:rsid w:val="137A74E9"/>
    <w:rsid w:val="139C7563"/>
    <w:rsid w:val="139F6FB4"/>
    <w:rsid w:val="13AD4F56"/>
    <w:rsid w:val="13C56AE5"/>
    <w:rsid w:val="13C62EEA"/>
    <w:rsid w:val="13F30972"/>
    <w:rsid w:val="14065285"/>
    <w:rsid w:val="14193B86"/>
    <w:rsid w:val="142F6495"/>
    <w:rsid w:val="14357918"/>
    <w:rsid w:val="1443622E"/>
    <w:rsid w:val="145C14DB"/>
    <w:rsid w:val="147F7C89"/>
    <w:rsid w:val="148414CC"/>
    <w:rsid w:val="14BD2076"/>
    <w:rsid w:val="14C50647"/>
    <w:rsid w:val="14C813AD"/>
    <w:rsid w:val="14CE1631"/>
    <w:rsid w:val="15034387"/>
    <w:rsid w:val="15063ACE"/>
    <w:rsid w:val="15077561"/>
    <w:rsid w:val="150E71DA"/>
    <w:rsid w:val="151724F4"/>
    <w:rsid w:val="151944FA"/>
    <w:rsid w:val="1521478B"/>
    <w:rsid w:val="1542236E"/>
    <w:rsid w:val="154A6108"/>
    <w:rsid w:val="156E66B6"/>
    <w:rsid w:val="15802E15"/>
    <w:rsid w:val="15894CA2"/>
    <w:rsid w:val="158D6F6A"/>
    <w:rsid w:val="15B350BE"/>
    <w:rsid w:val="15B82098"/>
    <w:rsid w:val="15D00BA9"/>
    <w:rsid w:val="15D021BC"/>
    <w:rsid w:val="15EA0E30"/>
    <w:rsid w:val="161B7E2D"/>
    <w:rsid w:val="162D27B7"/>
    <w:rsid w:val="16321C77"/>
    <w:rsid w:val="164E3E51"/>
    <w:rsid w:val="16564830"/>
    <w:rsid w:val="16604D44"/>
    <w:rsid w:val="166B53A2"/>
    <w:rsid w:val="16903D5E"/>
    <w:rsid w:val="16A0261F"/>
    <w:rsid w:val="16BD5F0D"/>
    <w:rsid w:val="16CC1309"/>
    <w:rsid w:val="16DA7761"/>
    <w:rsid w:val="16E36AB1"/>
    <w:rsid w:val="16EF04D3"/>
    <w:rsid w:val="16F32A2B"/>
    <w:rsid w:val="170F104B"/>
    <w:rsid w:val="171B14C2"/>
    <w:rsid w:val="17303C01"/>
    <w:rsid w:val="17456DD8"/>
    <w:rsid w:val="1757785B"/>
    <w:rsid w:val="17605829"/>
    <w:rsid w:val="177928F2"/>
    <w:rsid w:val="17A51D3C"/>
    <w:rsid w:val="17BF0C2A"/>
    <w:rsid w:val="17C66053"/>
    <w:rsid w:val="17DA46AA"/>
    <w:rsid w:val="17ED57D0"/>
    <w:rsid w:val="17F667CF"/>
    <w:rsid w:val="180916B5"/>
    <w:rsid w:val="18116C89"/>
    <w:rsid w:val="18280D09"/>
    <w:rsid w:val="182E0191"/>
    <w:rsid w:val="183717E7"/>
    <w:rsid w:val="183A6AA7"/>
    <w:rsid w:val="183B0AC9"/>
    <w:rsid w:val="184C3F30"/>
    <w:rsid w:val="1864025A"/>
    <w:rsid w:val="18841A84"/>
    <w:rsid w:val="188E6D08"/>
    <w:rsid w:val="18957ADB"/>
    <w:rsid w:val="18CB1BBE"/>
    <w:rsid w:val="18CD6371"/>
    <w:rsid w:val="18DB61D4"/>
    <w:rsid w:val="19034DD4"/>
    <w:rsid w:val="190E58A7"/>
    <w:rsid w:val="1914027C"/>
    <w:rsid w:val="191974BC"/>
    <w:rsid w:val="19280EB1"/>
    <w:rsid w:val="194B5AAB"/>
    <w:rsid w:val="19AF1B2D"/>
    <w:rsid w:val="19B409E7"/>
    <w:rsid w:val="19BD6F4F"/>
    <w:rsid w:val="19CC0666"/>
    <w:rsid w:val="19DC4FFB"/>
    <w:rsid w:val="19F63627"/>
    <w:rsid w:val="1A010E59"/>
    <w:rsid w:val="1A4D1F8D"/>
    <w:rsid w:val="1A767027"/>
    <w:rsid w:val="1A9111C4"/>
    <w:rsid w:val="1AAF4B65"/>
    <w:rsid w:val="1AB520C8"/>
    <w:rsid w:val="1AC6787F"/>
    <w:rsid w:val="1ADC01EE"/>
    <w:rsid w:val="1ADC4B9E"/>
    <w:rsid w:val="1ADE189F"/>
    <w:rsid w:val="1AF8095D"/>
    <w:rsid w:val="1AFF47DC"/>
    <w:rsid w:val="1B0A68E7"/>
    <w:rsid w:val="1B131980"/>
    <w:rsid w:val="1B18766B"/>
    <w:rsid w:val="1B1D4699"/>
    <w:rsid w:val="1B2E4E30"/>
    <w:rsid w:val="1B4231E4"/>
    <w:rsid w:val="1B541316"/>
    <w:rsid w:val="1B7B3422"/>
    <w:rsid w:val="1B836942"/>
    <w:rsid w:val="1B9E5092"/>
    <w:rsid w:val="1BD93DF8"/>
    <w:rsid w:val="1BE70553"/>
    <w:rsid w:val="1BF1141B"/>
    <w:rsid w:val="1C264BC5"/>
    <w:rsid w:val="1C3C5A5F"/>
    <w:rsid w:val="1C3D6D64"/>
    <w:rsid w:val="1C3E0D50"/>
    <w:rsid w:val="1C60279C"/>
    <w:rsid w:val="1C6E5335"/>
    <w:rsid w:val="1C7A7730"/>
    <w:rsid w:val="1C916466"/>
    <w:rsid w:val="1C9E0082"/>
    <w:rsid w:val="1CAF58AF"/>
    <w:rsid w:val="1CB61359"/>
    <w:rsid w:val="1CE633C6"/>
    <w:rsid w:val="1CED3989"/>
    <w:rsid w:val="1D0652A6"/>
    <w:rsid w:val="1D266CE1"/>
    <w:rsid w:val="1D39247F"/>
    <w:rsid w:val="1D5204E6"/>
    <w:rsid w:val="1D555A83"/>
    <w:rsid w:val="1D5A78C6"/>
    <w:rsid w:val="1D6154CE"/>
    <w:rsid w:val="1D686ACF"/>
    <w:rsid w:val="1D6C3D42"/>
    <w:rsid w:val="1D89537E"/>
    <w:rsid w:val="1D944952"/>
    <w:rsid w:val="1DB530CD"/>
    <w:rsid w:val="1DB55626"/>
    <w:rsid w:val="1DCE2972"/>
    <w:rsid w:val="1E335185"/>
    <w:rsid w:val="1E42545B"/>
    <w:rsid w:val="1E587107"/>
    <w:rsid w:val="1E5B4B4F"/>
    <w:rsid w:val="1E645E97"/>
    <w:rsid w:val="1E6D62D0"/>
    <w:rsid w:val="1E761E86"/>
    <w:rsid w:val="1E81179D"/>
    <w:rsid w:val="1E84033E"/>
    <w:rsid w:val="1E8659A4"/>
    <w:rsid w:val="1E8E606D"/>
    <w:rsid w:val="1EAD32B9"/>
    <w:rsid w:val="1EB77133"/>
    <w:rsid w:val="1ECB7703"/>
    <w:rsid w:val="1ED53BE7"/>
    <w:rsid w:val="1EE556BF"/>
    <w:rsid w:val="1EF14880"/>
    <w:rsid w:val="1F0531F2"/>
    <w:rsid w:val="1F116877"/>
    <w:rsid w:val="1F26574E"/>
    <w:rsid w:val="1F6E07CB"/>
    <w:rsid w:val="1FA25B92"/>
    <w:rsid w:val="1FB816AF"/>
    <w:rsid w:val="1FC05416"/>
    <w:rsid w:val="1FCB451C"/>
    <w:rsid w:val="1FEC076E"/>
    <w:rsid w:val="1FFA55A0"/>
    <w:rsid w:val="20502BBB"/>
    <w:rsid w:val="2055014D"/>
    <w:rsid w:val="205A422E"/>
    <w:rsid w:val="205F686A"/>
    <w:rsid w:val="206E2EDB"/>
    <w:rsid w:val="2079747B"/>
    <w:rsid w:val="207F0CDF"/>
    <w:rsid w:val="208470DB"/>
    <w:rsid w:val="20887844"/>
    <w:rsid w:val="208969C5"/>
    <w:rsid w:val="20DC27D1"/>
    <w:rsid w:val="20E20FFF"/>
    <w:rsid w:val="20ED17CC"/>
    <w:rsid w:val="20F2001C"/>
    <w:rsid w:val="20F75336"/>
    <w:rsid w:val="20F84D00"/>
    <w:rsid w:val="210252C2"/>
    <w:rsid w:val="210A03DB"/>
    <w:rsid w:val="210A57AE"/>
    <w:rsid w:val="2144119B"/>
    <w:rsid w:val="214D3262"/>
    <w:rsid w:val="21662DC4"/>
    <w:rsid w:val="216B3E72"/>
    <w:rsid w:val="216D3B19"/>
    <w:rsid w:val="21754D72"/>
    <w:rsid w:val="217D7692"/>
    <w:rsid w:val="21A11ADC"/>
    <w:rsid w:val="21C35BB2"/>
    <w:rsid w:val="21D63B12"/>
    <w:rsid w:val="21EB2B34"/>
    <w:rsid w:val="21FE179E"/>
    <w:rsid w:val="22136F38"/>
    <w:rsid w:val="22233C11"/>
    <w:rsid w:val="22331A2F"/>
    <w:rsid w:val="223752F0"/>
    <w:rsid w:val="224068B8"/>
    <w:rsid w:val="22447ED7"/>
    <w:rsid w:val="224E2961"/>
    <w:rsid w:val="225572E6"/>
    <w:rsid w:val="22584918"/>
    <w:rsid w:val="225A05C0"/>
    <w:rsid w:val="225A1705"/>
    <w:rsid w:val="2260315B"/>
    <w:rsid w:val="22716BDF"/>
    <w:rsid w:val="2273192B"/>
    <w:rsid w:val="22AC1736"/>
    <w:rsid w:val="22C335C8"/>
    <w:rsid w:val="22CB7A9A"/>
    <w:rsid w:val="22D65EC8"/>
    <w:rsid w:val="22EE106C"/>
    <w:rsid w:val="22FE7F78"/>
    <w:rsid w:val="231968B5"/>
    <w:rsid w:val="231B2998"/>
    <w:rsid w:val="23283A3B"/>
    <w:rsid w:val="233B46DE"/>
    <w:rsid w:val="233D5A3D"/>
    <w:rsid w:val="23480F14"/>
    <w:rsid w:val="23711335"/>
    <w:rsid w:val="237E6933"/>
    <w:rsid w:val="238774B8"/>
    <w:rsid w:val="23964A5E"/>
    <w:rsid w:val="23A14D0D"/>
    <w:rsid w:val="23A777BF"/>
    <w:rsid w:val="23A9348D"/>
    <w:rsid w:val="23B665A6"/>
    <w:rsid w:val="23EF72AD"/>
    <w:rsid w:val="24022ED8"/>
    <w:rsid w:val="24055A4E"/>
    <w:rsid w:val="240841FA"/>
    <w:rsid w:val="24111F85"/>
    <w:rsid w:val="241A564E"/>
    <w:rsid w:val="24241DC0"/>
    <w:rsid w:val="24534C23"/>
    <w:rsid w:val="24661D6A"/>
    <w:rsid w:val="246F2717"/>
    <w:rsid w:val="24800E37"/>
    <w:rsid w:val="24BD0F35"/>
    <w:rsid w:val="24C20F41"/>
    <w:rsid w:val="24C45003"/>
    <w:rsid w:val="24C476D0"/>
    <w:rsid w:val="24C86AB9"/>
    <w:rsid w:val="24C97C8C"/>
    <w:rsid w:val="24CE3DB4"/>
    <w:rsid w:val="24D9609E"/>
    <w:rsid w:val="24E00CF9"/>
    <w:rsid w:val="24E530A4"/>
    <w:rsid w:val="24F44399"/>
    <w:rsid w:val="24F475FE"/>
    <w:rsid w:val="25143F64"/>
    <w:rsid w:val="25230CFB"/>
    <w:rsid w:val="25664C67"/>
    <w:rsid w:val="256F6759"/>
    <w:rsid w:val="258745D9"/>
    <w:rsid w:val="25A355D2"/>
    <w:rsid w:val="25C10108"/>
    <w:rsid w:val="25C3726C"/>
    <w:rsid w:val="25DB63DF"/>
    <w:rsid w:val="260F458C"/>
    <w:rsid w:val="26143B06"/>
    <w:rsid w:val="26296FA1"/>
    <w:rsid w:val="266421FC"/>
    <w:rsid w:val="26655AFD"/>
    <w:rsid w:val="26785DA9"/>
    <w:rsid w:val="26997D1F"/>
    <w:rsid w:val="269D0B59"/>
    <w:rsid w:val="269F5C69"/>
    <w:rsid w:val="269F608B"/>
    <w:rsid w:val="26A71933"/>
    <w:rsid w:val="26AB78AC"/>
    <w:rsid w:val="26B97F35"/>
    <w:rsid w:val="26DE189D"/>
    <w:rsid w:val="26E96E1D"/>
    <w:rsid w:val="26EB3B6A"/>
    <w:rsid w:val="26EC0AAF"/>
    <w:rsid w:val="27054714"/>
    <w:rsid w:val="27093337"/>
    <w:rsid w:val="270C4509"/>
    <w:rsid w:val="270F03EB"/>
    <w:rsid w:val="273534BD"/>
    <w:rsid w:val="274240A3"/>
    <w:rsid w:val="276521AF"/>
    <w:rsid w:val="27672808"/>
    <w:rsid w:val="27691F03"/>
    <w:rsid w:val="277974D4"/>
    <w:rsid w:val="27871D01"/>
    <w:rsid w:val="279446B3"/>
    <w:rsid w:val="27A17B98"/>
    <w:rsid w:val="27A7649B"/>
    <w:rsid w:val="27A91D58"/>
    <w:rsid w:val="27B97A3A"/>
    <w:rsid w:val="27BC4905"/>
    <w:rsid w:val="27C07D38"/>
    <w:rsid w:val="27C55525"/>
    <w:rsid w:val="27E32A7D"/>
    <w:rsid w:val="27F94D36"/>
    <w:rsid w:val="27FB0808"/>
    <w:rsid w:val="28012099"/>
    <w:rsid w:val="28065696"/>
    <w:rsid w:val="281C3EDC"/>
    <w:rsid w:val="28485AB3"/>
    <w:rsid w:val="285A2221"/>
    <w:rsid w:val="285C7EE3"/>
    <w:rsid w:val="2873585C"/>
    <w:rsid w:val="287967F4"/>
    <w:rsid w:val="287E31E4"/>
    <w:rsid w:val="288803DE"/>
    <w:rsid w:val="28A63E40"/>
    <w:rsid w:val="28A81EDF"/>
    <w:rsid w:val="28AB4CC5"/>
    <w:rsid w:val="28BF6E9E"/>
    <w:rsid w:val="28C013B8"/>
    <w:rsid w:val="28C65764"/>
    <w:rsid w:val="28CB3B65"/>
    <w:rsid w:val="28EB612E"/>
    <w:rsid w:val="28F151C3"/>
    <w:rsid w:val="28FC581A"/>
    <w:rsid w:val="28FD0FCB"/>
    <w:rsid w:val="29024447"/>
    <w:rsid w:val="290417EC"/>
    <w:rsid w:val="29122A8A"/>
    <w:rsid w:val="2916341D"/>
    <w:rsid w:val="291E1686"/>
    <w:rsid w:val="2929178A"/>
    <w:rsid w:val="29344DBD"/>
    <w:rsid w:val="29400E7C"/>
    <w:rsid w:val="294F1C6A"/>
    <w:rsid w:val="29516A38"/>
    <w:rsid w:val="2956295F"/>
    <w:rsid w:val="296576F6"/>
    <w:rsid w:val="296E6677"/>
    <w:rsid w:val="298217FC"/>
    <w:rsid w:val="298E0E22"/>
    <w:rsid w:val="29A901D7"/>
    <w:rsid w:val="29CB0FDD"/>
    <w:rsid w:val="29D37D2A"/>
    <w:rsid w:val="2A0B0B30"/>
    <w:rsid w:val="2A155B74"/>
    <w:rsid w:val="2A441EFD"/>
    <w:rsid w:val="2A632133"/>
    <w:rsid w:val="2A65307A"/>
    <w:rsid w:val="2A6B7B8D"/>
    <w:rsid w:val="2A7570A5"/>
    <w:rsid w:val="2AA07CCA"/>
    <w:rsid w:val="2AD17ECB"/>
    <w:rsid w:val="2AE10876"/>
    <w:rsid w:val="2AF23A05"/>
    <w:rsid w:val="2AF63F21"/>
    <w:rsid w:val="2B216AA5"/>
    <w:rsid w:val="2B2A19C5"/>
    <w:rsid w:val="2B2F4E27"/>
    <w:rsid w:val="2B402537"/>
    <w:rsid w:val="2B451103"/>
    <w:rsid w:val="2B5235D1"/>
    <w:rsid w:val="2B6713E9"/>
    <w:rsid w:val="2B6C048C"/>
    <w:rsid w:val="2B837134"/>
    <w:rsid w:val="2B8B2CD0"/>
    <w:rsid w:val="2B8F1CCA"/>
    <w:rsid w:val="2B9D0603"/>
    <w:rsid w:val="2BA751F2"/>
    <w:rsid w:val="2BAB2C91"/>
    <w:rsid w:val="2BAB5438"/>
    <w:rsid w:val="2BBF2AD9"/>
    <w:rsid w:val="2BC06A28"/>
    <w:rsid w:val="2BCA23E3"/>
    <w:rsid w:val="2BF10599"/>
    <w:rsid w:val="2C113495"/>
    <w:rsid w:val="2C1B4A12"/>
    <w:rsid w:val="2C2422F5"/>
    <w:rsid w:val="2C24594C"/>
    <w:rsid w:val="2C250D85"/>
    <w:rsid w:val="2C2D286F"/>
    <w:rsid w:val="2C4F6925"/>
    <w:rsid w:val="2C576186"/>
    <w:rsid w:val="2C682469"/>
    <w:rsid w:val="2C692CE9"/>
    <w:rsid w:val="2C696F74"/>
    <w:rsid w:val="2C840015"/>
    <w:rsid w:val="2C8F0CA4"/>
    <w:rsid w:val="2C9A26EC"/>
    <w:rsid w:val="2CBC197B"/>
    <w:rsid w:val="2CCA39A5"/>
    <w:rsid w:val="2D064F53"/>
    <w:rsid w:val="2D0E2279"/>
    <w:rsid w:val="2D16324A"/>
    <w:rsid w:val="2D281818"/>
    <w:rsid w:val="2D6137F9"/>
    <w:rsid w:val="2D971735"/>
    <w:rsid w:val="2D974E90"/>
    <w:rsid w:val="2D99651B"/>
    <w:rsid w:val="2DC77E73"/>
    <w:rsid w:val="2DEF1ECE"/>
    <w:rsid w:val="2DF668A7"/>
    <w:rsid w:val="2E1C52CB"/>
    <w:rsid w:val="2E1D2BB4"/>
    <w:rsid w:val="2E2D22DA"/>
    <w:rsid w:val="2E330C74"/>
    <w:rsid w:val="2E424A2E"/>
    <w:rsid w:val="2E470E0B"/>
    <w:rsid w:val="2E4B7628"/>
    <w:rsid w:val="2E5C4E62"/>
    <w:rsid w:val="2E6103A6"/>
    <w:rsid w:val="2E644DE8"/>
    <w:rsid w:val="2E6F2F9F"/>
    <w:rsid w:val="2E6F5A70"/>
    <w:rsid w:val="2E7C2325"/>
    <w:rsid w:val="2E9370AB"/>
    <w:rsid w:val="2E974C38"/>
    <w:rsid w:val="2E9D638E"/>
    <w:rsid w:val="2EB93809"/>
    <w:rsid w:val="2EC2687C"/>
    <w:rsid w:val="2EC53878"/>
    <w:rsid w:val="2ECC3CD5"/>
    <w:rsid w:val="2EE94FED"/>
    <w:rsid w:val="2EFA5A9E"/>
    <w:rsid w:val="2F26688E"/>
    <w:rsid w:val="2F5C2208"/>
    <w:rsid w:val="2F5D75B9"/>
    <w:rsid w:val="2F990FE2"/>
    <w:rsid w:val="2F997096"/>
    <w:rsid w:val="2F9D69F5"/>
    <w:rsid w:val="2FA84985"/>
    <w:rsid w:val="2FBD77E3"/>
    <w:rsid w:val="2FC7073B"/>
    <w:rsid w:val="2FD549A8"/>
    <w:rsid w:val="2FE6301A"/>
    <w:rsid w:val="300F5F9E"/>
    <w:rsid w:val="301931D4"/>
    <w:rsid w:val="302263B4"/>
    <w:rsid w:val="303C1EB1"/>
    <w:rsid w:val="305E5A56"/>
    <w:rsid w:val="306B50CC"/>
    <w:rsid w:val="30801BA9"/>
    <w:rsid w:val="308508D2"/>
    <w:rsid w:val="30955359"/>
    <w:rsid w:val="30960D42"/>
    <w:rsid w:val="30CB0E84"/>
    <w:rsid w:val="30D52804"/>
    <w:rsid w:val="30D90E11"/>
    <w:rsid w:val="30D94D57"/>
    <w:rsid w:val="30F33C31"/>
    <w:rsid w:val="31037178"/>
    <w:rsid w:val="310A4EEE"/>
    <w:rsid w:val="312455A8"/>
    <w:rsid w:val="313E3132"/>
    <w:rsid w:val="314606C9"/>
    <w:rsid w:val="314743E9"/>
    <w:rsid w:val="314F449E"/>
    <w:rsid w:val="3170385D"/>
    <w:rsid w:val="31766816"/>
    <w:rsid w:val="317B6EDD"/>
    <w:rsid w:val="319C4EB9"/>
    <w:rsid w:val="31A85C9E"/>
    <w:rsid w:val="31C94725"/>
    <w:rsid w:val="31CD0D39"/>
    <w:rsid w:val="320026C4"/>
    <w:rsid w:val="32091805"/>
    <w:rsid w:val="322D18BE"/>
    <w:rsid w:val="323F65A8"/>
    <w:rsid w:val="3247363D"/>
    <w:rsid w:val="32476247"/>
    <w:rsid w:val="32526AE3"/>
    <w:rsid w:val="325C38DA"/>
    <w:rsid w:val="32785075"/>
    <w:rsid w:val="328A70A6"/>
    <w:rsid w:val="3295408B"/>
    <w:rsid w:val="32A2505C"/>
    <w:rsid w:val="32D51186"/>
    <w:rsid w:val="32E31C0C"/>
    <w:rsid w:val="32E76922"/>
    <w:rsid w:val="3307577D"/>
    <w:rsid w:val="334F2E99"/>
    <w:rsid w:val="335A5B16"/>
    <w:rsid w:val="335D70EC"/>
    <w:rsid w:val="33682F4B"/>
    <w:rsid w:val="33744582"/>
    <w:rsid w:val="337B459B"/>
    <w:rsid w:val="33996EEE"/>
    <w:rsid w:val="33B556FB"/>
    <w:rsid w:val="33BA5533"/>
    <w:rsid w:val="33BE030C"/>
    <w:rsid w:val="33C43935"/>
    <w:rsid w:val="33C63E0A"/>
    <w:rsid w:val="33CC048E"/>
    <w:rsid w:val="33D945BC"/>
    <w:rsid w:val="33EF4AE7"/>
    <w:rsid w:val="34026477"/>
    <w:rsid w:val="34160D04"/>
    <w:rsid w:val="342A4220"/>
    <w:rsid w:val="343D3341"/>
    <w:rsid w:val="3457176D"/>
    <w:rsid w:val="345A26F2"/>
    <w:rsid w:val="34610890"/>
    <w:rsid w:val="3491015A"/>
    <w:rsid w:val="34A51362"/>
    <w:rsid w:val="34BF2DC9"/>
    <w:rsid w:val="34D82FC0"/>
    <w:rsid w:val="34DE7A38"/>
    <w:rsid w:val="34DF14AF"/>
    <w:rsid w:val="34FA40B3"/>
    <w:rsid w:val="350028FF"/>
    <w:rsid w:val="35052B8B"/>
    <w:rsid w:val="350619E7"/>
    <w:rsid w:val="351C625F"/>
    <w:rsid w:val="354662B6"/>
    <w:rsid w:val="3551729B"/>
    <w:rsid w:val="35550F4F"/>
    <w:rsid w:val="35561AAC"/>
    <w:rsid w:val="356F4E26"/>
    <w:rsid w:val="357566C2"/>
    <w:rsid w:val="357C2A23"/>
    <w:rsid w:val="35894A74"/>
    <w:rsid w:val="35A36B5A"/>
    <w:rsid w:val="35B1146C"/>
    <w:rsid w:val="35B74FD1"/>
    <w:rsid w:val="35CD4CB1"/>
    <w:rsid w:val="35D82C37"/>
    <w:rsid w:val="35EA3174"/>
    <w:rsid w:val="360B7EBA"/>
    <w:rsid w:val="361A4FF4"/>
    <w:rsid w:val="36203B2D"/>
    <w:rsid w:val="36614AE6"/>
    <w:rsid w:val="366C3030"/>
    <w:rsid w:val="366F2FCA"/>
    <w:rsid w:val="36774FEB"/>
    <w:rsid w:val="368B3BA1"/>
    <w:rsid w:val="36987A82"/>
    <w:rsid w:val="36A43530"/>
    <w:rsid w:val="36BD2449"/>
    <w:rsid w:val="36F60B53"/>
    <w:rsid w:val="36F909D9"/>
    <w:rsid w:val="37053F9A"/>
    <w:rsid w:val="3715036C"/>
    <w:rsid w:val="372B6F50"/>
    <w:rsid w:val="3752481E"/>
    <w:rsid w:val="37591D5A"/>
    <w:rsid w:val="375B0B85"/>
    <w:rsid w:val="37682747"/>
    <w:rsid w:val="376E5F8C"/>
    <w:rsid w:val="37785CF5"/>
    <w:rsid w:val="37791520"/>
    <w:rsid w:val="378A0161"/>
    <w:rsid w:val="37AA4A5F"/>
    <w:rsid w:val="37AB4214"/>
    <w:rsid w:val="37B47103"/>
    <w:rsid w:val="37B84CF6"/>
    <w:rsid w:val="37BC3FFD"/>
    <w:rsid w:val="37E17E47"/>
    <w:rsid w:val="38010C3B"/>
    <w:rsid w:val="380525EC"/>
    <w:rsid w:val="380C1DA2"/>
    <w:rsid w:val="380F08D0"/>
    <w:rsid w:val="382212CA"/>
    <w:rsid w:val="38251F4C"/>
    <w:rsid w:val="382C3278"/>
    <w:rsid w:val="38341A0A"/>
    <w:rsid w:val="384122F4"/>
    <w:rsid w:val="384C027C"/>
    <w:rsid w:val="384D38EC"/>
    <w:rsid w:val="38604B0B"/>
    <w:rsid w:val="38623388"/>
    <w:rsid w:val="38762532"/>
    <w:rsid w:val="38774289"/>
    <w:rsid w:val="388C56B6"/>
    <w:rsid w:val="38A34D13"/>
    <w:rsid w:val="38A61D28"/>
    <w:rsid w:val="38AE2A6A"/>
    <w:rsid w:val="38CD489F"/>
    <w:rsid w:val="38D80519"/>
    <w:rsid w:val="38E4489E"/>
    <w:rsid w:val="38F06979"/>
    <w:rsid w:val="39065BCA"/>
    <w:rsid w:val="39081823"/>
    <w:rsid w:val="390D1169"/>
    <w:rsid w:val="39263FD2"/>
    <w:rsid w:val="394D5FA5"/>
    <w:rsid w:val="395203B3"/>
    <w:rsid w:val="39586A32"/>
    <w:rsid w:val="397644A1"/>
    <w:rsid w:val="39790A07"/>
    <w:rsid w:val="39826EFA"/>
    <w:rsid w:val="398460E8"/>
    <w:rsid w:val="399F7A16"/>
    <w:rsid w:val="39B62584"/>
    <w:rsid w:val="39CB1010"/>
    <w:rsid w:val="39E27966"/>
    <w:rsid w:val="39E85A14"/>
    <w:rsid w:val="39F80A2E"/>
    <w:rsid w:val="39FE61A6"/>
    <w:rsid w:val="3A005924"/>
    <w:rsid w:val="3A066B61"/>
    <w:rsid w:val="3A1F7C5B"/>
    <w:rsid w:val="3A2F0AF3"/>
    <w:rsid w:val="3A3A19C2"/>
    <w:rsid w:val="3A706363"/>
    <w:rsid w:val="3A77410F"/>
    <w:rsid w:val="3A945EB5"/>
    <w:rsid w:val="3AC16889"/>
    <w:rsid w:val="3AC21656"/>
    <w:rsid w:val="3AC95FCD"/>
    <w:rsid w:val="3ACA6741"/>
    <w:rsid w:val="3ADC260E"/>
    <w:rsid w:val="3AEC1AFA"/>
    <w:rsid w:val="3B1B16BC"/>
    <w:rsid w:val="3B1F371C"/>
    <w:rsid w:val="3B1F6E73"/>
    <w:rsid w:val="3B292DA0"/>
    <w:rsid w:val="3B340955"/>
    <w:rsid w:val="3B3E23C6"/>
    <w:rsid w:val="3B7813C0"/>
    <w:rsid w:val="3B925074"/>
    <w:rsid w:val="3B9622F7"/>
    <w:rsid w:val="3BA70733"/>
    <w:rsid w:val="3BA74E76"/>
    <w:rsid w:val="3BBC450D"/>
    <w:rsid w:val="3BCA3C4D"/>
    <w:rsid w:val="3BDC1DF0"/>
    <w:rsid w:val="3BF34D89"/>
    <w:rsid w:val="3C1F6FF8"/>
    <w:rsid w:val="3C2B065C"/>
    <w:rsid w:val="3C2F75FE"/>
    <w:rsid w:val="3C38790F"/>
    <w:rsid w:val="3C3A2AB4"/>
    <w:rsid w:val="3C3E10E1"/>
    <w:rsid w:val="3C412D6A"/>
    <w:rsid w:val="3C5015E2"/>
    <w:rsid w:val="3C925D15"/>
    <w:rsid w:val="3C941B75"/>
    <w:rsid w:val="3C9C64D1"/>
    <w:rsid w:val="3CA67D65"/>
    <w:rsid w:val="3CA80C93"/>
    <w:rsid w:val="3CCB3E6D"/>
    <w:rsid w:val="3CD82228"/>
    <w:rsid w:val="3CDD148D"/>
    <w:rsid w:val="3CE31D71"/>
    <w:rsid w:val="3CE662B0"/>
    <w:rsid w:val="3CE66F7E"/>
    <w:rsid w:val="3D226DDD"/>
    <w:rsid w:val="3D2D19BE"/>
    <w:rsid w:val="3D3C744D"/>
    <w:rsid w:val="3D3D043C"/>
    <w:rsid w:val="3D481931"/>
    <w:rsid w:val="3D533D45"/>
    <w:rsid w:val="3D5D5B33"/>
    <w:rsid w:val="3D697CC1"/>
    <w:rsid w:val="3D6D1232"/>
    <w:rsid w:val="3D7738E8"/>
    <w:rsid w:val="3D7C5EDB"/>
    <w:rsid w:val="3D9D1099"/>
    <w:rsid w:val="3DA104B8"/>
    <w:rsid w:val="3DD26B55"/>
    <w:rsid w:val="3DD90697"/>
    <w:rsid w:val="3DFD2056"/>
    <w:rsid w:val="3E000016"/>
    <w:rsid w:val="3E10708B"/>
    <w:rsid w:val="3E121833"/>
    <w:rsid w:val="3E182321"/>
    <w:rsid w:val="3E1E0DAE"/>
    <w:rsid w:val="3E322D18"/>
    <w:rsid w:val="3E4A6B86"/>
    <w:rsid w:val="3E5A1CA5"/>
    <w:rsid w:val="3E69348E"/>
    <w:rsid w:val="3E7358B1"/>
    <w:rsid w:val="3E78202C"/>
    <w:rsid w:val="3E9165B5"/>
    <w:rsid w:val="3E962A3C"/>
    <w:rsid w:val="3E9A7D37"/>
    <w:rsid w:val="3EAD7320"/>
    <w:rsid w:val="3EDA4267"/>
    <w:rsid w:val="3EF618CF"/>
    <w:rsid w:val="3F275F2C"/>
    <w:rsid w:val="3F575325"/>
    <w:rsid w:val="3F607D18"/>
    <w:rsid w:val="3F815E4C"/>
    <w:rsid w:val="3F865BC8"/>
    <w:rsid w:val="3FA5067B"/>
    <w:rsid w:val="3FE8126D"/>
    <w:rsid w:val="3FF505BD"/>
    <w:rsid w:val="3FF55798"/>
    <w:rsid w:val="40013AD8"/>
    <w:rsid w:val="40125AB1"/>
    <w:rsid w:val="402F4A4F"/>
    <w:rsid w:val="40450FFD"/>
    <w:rsid w:val="40484B9D"/>
    <w:rsid w:val="4086576B"/>
    <w:rsid w:val="409B2D04"/>
    <w:rsid w:val="40AE2C31"/>
    <w:rsid w:val="40BA77DD"/>
    <w:rsid w:val="40BE0D98"/>
    <w:rsid w:val="40C21338"/>
    <w:rsid w:val="40DE15F9"/>
    <w:rsid w:val="40E733AA"/>
    <w:rsid w:val="40F77B61"/>
    <w:rsid w:val="410572D4"/>
    <w:rsid w:val="41273735"/>
    <w:rsid w:val="41281AE7"/>
    <w:rsid w:val="412874F2"/>
    <w:rsid w:val="41335D52"/>
    <w:rsid w:val="413A3B1D"/>
    <w:rsid w:val="414B7E76"/>
    <w:rsid w:val="415B1EBD"/>
    <w:rsid w:val="41692D8E"/>
    <w:rsid w:val="416A18CC"/>
    <w:rsid w:val="416B0894"/>
    <w:rsid w:val="417816AA"/>
    <w:rsid w:val="417D7316"/>
    <w:rsid w:val="41A22F7F"/>
    <w:rsid w:val="41A57C74"/>
    <w:rsid w:val="41AB7285"/>
    <w:rsid w:val="41BB3E2C"/>
    <w:rsid w:val="41EA5CE3"/>
    <w:rsid w:val="41EF29F4"/>
    <w:rsid w:val="42156558"/>
    <w:rsid w:val="4237631B"/>
    <w:rsid w:val="423F173F"/>
    <w:rsid w:val="42535A21"/>
    <w:rsid w:val="425D1AEE"/>
    <w:rsid w:val="426E4414"/>
    <w:rsid w:val="427662D8"/>
    <w:rsid w:val="428261F2"/>
    <w:rsid w:val="42903DE8"/>
    <w:rsid w:val="429E5DDA"/>
    <w:rsid w:val="42B3259F"/>
    <w:rsid w:val="42B615F0"/>
    <w:rsid w:val="42BC1FCE"/>
    <w:rsid w:val="42D805B3"/>
    <w:rsid w:val="42DD0C07"/>
    <w:rsid w:val="42E47131"/>
    <w:rsid w:val="42E67537"/>
    <w:rsid w:val="431E0128"/>
    <w:rsid w:val="432741F8"/>
    <w:rsid w:val="4346156B"/>
    <w:rsid w:val="434A7B37"/>
    <w:rsid w:val="43552086"/>
    <w:rsid w:val="437254C5"/>
    <w:rsid w:val="43792C1D"/>
    <w:rsid w:val="437F0B2D"/>
    <w:rsid w:val="438144EC"/>
    <w:rsid w:val="43845FED"/>
    <w:rsid w:val="43A4541D"/>
    <w:rsid w:val="43B976D6"/>
    <w:rsid w:val="43BF2BD7"/>
    <w:rsid w:val="43C057D1"/>
    <w:rsid w:val="43C8227E"/>
    <w:rsid w:val="43C87299"/>
    <w:rsid w:val="43CB5548"/>
    <w:rsid w:val="43CC2FC9"/>
    <w:rsid w:val="43E63567"/>
    <w:rsid w:val="43FA6097"/>
    <w:rsid w:val="4432699E"/>
    <w:rsid w:val="44603A00"/>
    <w:rsid w:val="44606C59"/>
    <w:rsid w:val="446C705D"/>
    <w:rsid w:val="447445EF"/>
    <w:rsid w:val="448C5CC4"/>
    <w:rsid w:val="449103D3"/>
    <w:rsid w:val="449F21F3"/>
    <w:rsid w:val="44A4522B"/>
    <w:rsid w:val="44A761AF"/>
    <w:rsid w:val="44B525FC"/>
    <w:rsid w:val="44D07B86"/>
    <w:rsid w:val="44D36EE9"/>
    <w:rsid w:val="44DB0969"/>
    <w:rsid w:val="44DB7026"/>
    <w:rsid w:val="44DC144F"/>
    <w:rsid w:val="44DC73CA"/>
    <w:rsid w:val="45287401"/>
    <w:rsid w:val="452E5366"/>
    <w:rsid w:val="453C0A43"/>
    <w:rsid w:val="45616ED2"/>
    <w:rsid w:val="45794205"/>
    <w:rsid w:val="45A81449"/>
    <w:rsid w:val="45E14E24"/>
    <w:rsid w:val="45EA0494"/>
    <w:rsid w:val="460C5FB2"/>
    <w:rsid w:val="460D0F7A"/>
    <w:rsid w:val="46111934"/>
    <w:rsid w:val="461865CE"/>
    <w:rsid w:val="4638087C"/>
    <w:rsid w:val="46400F47"/>
    <w:rsid w:val="46553632"/>
    <w:rsid w:val="4669336E"/>
    <w:rsid w:val="468661F2"/>
    <w:rsid w:val="469344A0"/>
    <w:rsid w:val="46A47EC4"/>
    <w:rsid w:val="46C2653A"/>
    <w:rsid w:val="46D75644"/>
    <w:rsid w:val="46D76E6B"/>
    <w:rsid w:val="46EF3B6B"/>
    <w:rsid w:val="46F40706"/>
    <w:rsid w:val="46FD071C"/>
    <w:rsid w:val="46FF1807"/>
    <w:rsid w:val="4718163A"/>
    <w:rsid w:val="471F3B23"/>
    <w:rsid w:val="472B3950"/>
    <w:rsid w:val="472E0158"/>
    <w:rsid w:val="473110DC"/>
    <w:rsid w:val="4745530C"/>
    <w:rsid w:val="474F288B"/>
    <w:rsid w:val="476422B6"/>
    <w:rsid w:val="476F5237"/>
    <w:rsid w:val="477C2455"/>
    <w:rsid w:val="47814EF1"/>
    <w:rsid w:val="478261A8"/>
    <w:rsid w:val="479D2F8C"/>
    <w:rsid w:val="47B368AD"/>
    <w:rsid w:val="47C42E4E"/>
    <w:rsid w:val="47C67E7A"/>
    <w:rsid w:val="47CC34D9"/>
    <w:rsid w:val="47F2624B"/>
    <w:rsid w:val="48320F41"/>
    <w:rsid w:val="484D3044"/>
    <w:rsid w:val="484E6EEF"/>
    <w:rsid w:val="48557253"/>
    <w:rsid w:val="48592BBA"/>
    <w:rsid w:val="485C5346"/>
    <w:rsid w:val="4877233F"/>
    <w:rsid w:val="487E3BB9"/>
    <w:rsid w:val="48C43CA0"/>
    <w:rsid w:val="48C9234E"/>
    <w:rsid w:val="48C94DF9"/>
    <w:rsid w:val="48CF4546"/>
    <w:rsid w:val="48D24FF3"/>
    <w:rsid w:val="48D32C81"/>
    <w:rsid w:val="48DA4A8F"/>
    <w:rsid w:val="48DC7648"/>
    <w:rsid w:val="49107691"/>
    <w:rsid w:val="49107C9C"/>
    <w:rsid w:val="491E2E86"/>
    <w:rsid w:val="4925210F"/>
    <w:rsid w:val="49352AAB"/>
    <w:rsid w:val="49361765"/>
    <w:rsid w:val="493907F2"/>
    <w:rsid w:val="493B675B"/>
    <w:rsid w:val="494A5335"/>
    <w:rsid w:val="495245DA"/>
    <w:rsid w:val="495E5BA5"/>
    <w:rsid w:val="49641D68"/>
    <w:rsid w:val="497B0692"/>
    <w:rsid w:val="497E09BE"/>
    <w:rsid w:val="498A0E25"/>
    <w:rsid w:val="49AF1AD5"/>
    <w:rsid w:val="49B645F8"/>
    <w:rsid w:val="49CA029D"/>
    <w:rsid w:val="49D05E65"/>
    <w:rsid w:val="49D12528"/>
    <w:rsid w:val="49E64D85"/>
    <w:rsid w:val="49ED4347"/>
    <w:rsid w:val="49F0795B"/>
    <w:rsid w:val="4A0A08A2"/>
    <w:rsid w:val="4A1B0770"/>
    <w:rsid w:val="4A3332C2"/>
    <w:rsid w:val="4A680676"/>
    <w:rsid w:val="4A6C1218"/>
    <w:rsid w:val="4A70357C"/>
    <w:rsid w:val="4AA34F53"/>
    <w:rsid w:val="4AA41931"/>
    <w:rsid w:val="4ABF33EF"/>
    <w:rsid w:val="4AC46D25"/>
    <w:rsid w:val="4AD73E9A"/>
    <w:rsid w:val="4ADC37DC"/>
    <w:rsid w:val="4ADF71D7"/>
    <w:rsid w:val="4AF76C72"/>
    <w:rsid w:val="4B01301B"/>
    <w:rsid w:val="4B050E00"/>
    <w:rsid w:val="4B0D0EE9"/>
    <w:rsid w:val="4B3E382E"/>
    <w:rsid w:val="4B420C5D"/>
    <w:rsid w:val="4B4B685E"/>
    <w:rsid w:val="4B4C358F"/>
    <w:rsid w:val="4B5338F8"/>
    <w:rsid w:val="4B562792"/>
    <w:rsid w:val="4B657A75"/>
    <w:rsid w:val="4B76631D"/>
    <w:rsid w:val="4B8234E8"/>
    <w:rsid w:val="4BAD3FE6"/>
    <w:rsid w:val="4BB225EC"/>
    <w:rsid w:val="4BB5041C"/>
    <w:rsid w:val="4BC25D07"/>
    <w:rsid w:val="4BD906F1"/>
    <w:rsid w:val="4BEE199F"/>
    <w:rsid w:val="4C0D2019"/>
    <w:rsid w:val="4C2A6665"/>
    <w:rsid w:val="4C324227"/>
    <w:rsid w:val="4C354B64"/>
    <w:rsid w:val="4C54044A"/>
    <w:rsid w:val="4C5A69E3"/>
    <w:rsid w:val="4C656055"/>
    <w:rsid w:val="4C7C755B"/>
    <w:rsid w:val="4C7D6CC5"/>
    <w:rsid w:val="4C7F348C"/>
    <w:rsid w:val="4C862E17"/>
    <w:rsid w:val="4C8D321B"/>
    <w:rsid w:val="4C931A90"/>
    <w:rsid w:val="4C966D05"/>
    <w:rsid w:val="4CE52A79"/>
    <w:rsid w:val="4CEA19C3"/>
    <w:rsid w:val="4D063A9B"/>
    <w:rsid w:val="4D195EB1"/>
    <w:rsid w:val="4D1F08EE"/>
    <w:rsid w:val="4D291BDB"/>
    <w:rsid w:val="4D3B1641"/>
    <w:rsid w:val="4D81379B"/>
    <w:rsid w:val="4D87061B"/>
    <w:rsid w:val="4D92171C"/>
    <w:rsid w:val="4DD43436"/>
    <w:rsid w:val="4DF02380"/>
    <w:rsid w:val="4E0C5DD8"/>
    <w:rsid w:val="4E396F28"/>
    <w:rsid w:val="4E402B66"/>
    <w:rsid w:val="4E424C77"/>
    <w:rsid w:val="4E7664F7"/>
    <w:rsid w:val="4EA41D8A"/>
    <w:rsid w:val="4EB244E8"/>
    <w:rsid w:val="4EB379C8"/>
    <w:rsid w:val="4EC3057A"/>
    <w:rsid w:val="4ECC4282"/>
    <w:rsid w:val="4ECE2422"/>
    <w:rsid w:val="4ED85F68"/>
    <w:rsid w:val="4EE644CF"/>
    <w:rsid w:val="4F0755C3"/>
    <w:rsid w:val="4F2B348F"/>
    <w:rsid w:val="4F2B7BF3"/>
    <w:rsid w:val="4F2C52CC"/>
    <w:rsid w:val="4F945A9D"/>
    <w:rsid w:val="4F9A22E9"/>
    <w:rsid w:val="4F9B5B23"/>
    <w:rsid w:val="4FBE2EA5"/>
    <w:rsid w:val="4FCD667C"/>
    <w:rsid w:val="4FD16EF4"/>
    <w:rsid w:val="4FE95FBE"/>
    <w:rsid w:val="4FEF7931"/>
    <w:rsid w:val="500A4C44"/>
    <w:rsid w:val="501F0DA9"/>
    <w:rsid w:val="5023288A"/>
    <w:rsid w:val="50242FC4"/>
    <w:rsid w:val="50362CDE"/>
    <w:rsid w:val="50422C61"/>
    <w:rsid w:val="50604990"/>
    <w:rsid w:val="50642410"/>
    <w:rsid w:val="50A879D4"/>
    <w:rsid w:val="50BF4786"/>
    <w:rsid w:val="50C746A9"/>
    <w:rsid w:val="50D23577"/>
    <w:rsid w:val="50E21C1C"/>
    <w:rsid w:val="510D2307"/>
    <w:rsid w:val="510D342C"/>
    <w:rsid w:val="51171FA7"/>
    <w:rsid w:val="513529D9"/>
    <w:rsid w:val="513813F4"/>
    <w:rsid w:val="51386AC9"/>
    <w:rsid w:val="513D4CBA"/>
    <w:rsid w:val="513E4952"/>
    <w:rsid w:val="51464C35"/>
    <w:rsid w:val="515856EF"/>
    <w:rsid w:val="515F70AD"/>
    <w:rsid w:val="51601CE0"/>
    <w:rsid w:val="5180763E"/>
    <w:rsid w:val="518A5153"/>
    <w:rsid w:val="518E1827"/>
    <w:rsid w:val="519647E9"/>
    <w:rsid w:val="519F17C6"/>
    <w:rsid w:val="51A97EA5"/>
    <w:rsid w:val="51CD0DFC"/>
    <w:rsid w:val="51E33769"/>
    <w:rsid w:val="51EE7E35"/>
    <w:rsid w:val="51FA4C3D"/>
    <w:rsid w:val="52114133"/>
    <w:rsid w:val="52136DDF"/>
    <w:rsid w:val="52181E87"/>
    <w:rsid w:val="522A7FA2"/>
    <w:rsid w:val="523E49CB"/>
    <w:rsid w:val="5248680B"/>
    <w:rsid w:val="52636E23"/>
    <w:rsid w:val="526C74C3"/>
    <w:rsid w:val="52776862"/>
    <w:rsid w:val="527D47C7"/>
    <w:rsid w:val="527E0EE4"/>
    <w:rsid w:val="528F160A"/>
    <w:rsid w:val="529A18EC"/>
    <w:rsid w:val="529B7FFB"/>
    <w:rsid w:val="529C1848"/>
    <w:rsid w:val="52AB2D37"/>
    <w:rsid w:val="52D64344"/>
    <w:rsid w:val="52D81AC8"/>
    <w:rsid w:val="52D907F5"/>
    <w:rsid w:val="52E60429"/>
    <w:rsid w:val="52F777D3"/>
    <w:rsid w:val="533575BC"/>
    <w:rsid w:val="53450CAD"/>
    <w:rsid w:val="53593D65"/>
    <w:rsid w:val="5362532D"/>
    <w:rsid w:val="53804DC3"/>
    <w:rsid w:val="53AB50FB"/>
    <w:rsid w:val="53B556BD"/>
    <w:rsid w:val="53C271D4"/>
    <w:rsid w:val="53DA3011"/>
    <w:rsid w:val="53EF4B81"/>
    <w:rsid w:val="54163583"/>
    <w:rsid w:val="543534D1"/>
    <w:rsid w:val="543A733F"/>
    <w:rsid w:val="543A7BC4"/>
    <w:rsid w:val="54684287"/>
    <w:rsid w:val="549C3D80"/>
    <w:rsid w:val="54D7435D"/>
    <w:rsid w:val="54DA4317"/>
    <w:rsid w:val="54E71650"/>
    <w:rsid w:val="55381663"/>
    <w:rsid w:val="55633225"/>
    <w:rsid w:val="55781142"/>
    <w:rsid w:val="55845FC9"/>
    <w:rsid w:val="55847866"/>
    <w:rsid w:val="55995345"/>
    <w:rsid w:val="559D729A"/>
    <w:rsid w:val="55A737D5"/>
    <w:rsid w:val="55BE0C33"/>
    <w:rsid w:val="55D427B5"/>
    <w:rsid w:val="55D7217E"/>
    <w:rsid w:val="55D97F1B"/>
    <w:rsid w:val="55DC7E06"/>
    <w:rsid w:val="55E26E38"/>
    <w:rsid w:val="55F22166"/>
    <w:rsid w:val="55FD211F"/>
    <w:rsid w:val="56132DBB"/>
    <w:rsid w:val="562820DF"/>
    <w:rsid w:val="56304E88"/>
    <w:rsid w:val="5642431C"/>
    <w:rsid w:val="568362D6"/>
    <w:rsid w:val="56884DAF"/>
    <w:rsid w:val="56936944"/>
    <w:rsid w:val="56A41569"/>
    <w:rsid w:val="56CF7EF9"/>
    <w:rsid w:val="56D16785"/>
    <w:rsid w:val="56DB26D9"/>
    <w:rsid w:val="57144B90"/>
    <w:rsid w:val="572E4C5C"/>
    <w:rsid w:val="57572BFF"/>
    <w:rsid w:val="5762032B"/>
    <w:rsid w:val="578825CF"/>
    <w:rsid w:val="578D0558"/>
    <w:rsid w:val="57967CC2"/>
    <w:rsid w:val="57995268"/>
    <w:rsid w:val="579C6348"/>
    <w:rsid w:val="57A137DB"/>
    <w:rsid w:val="57A6661E"/>
    <w:rsid w:val="57CA5D81"/>
    <w:rsid w:val="57DD2635"/>
    <w:rsid w:val="57E043E8"/>
    <w:rsid w:val="57ED1062"/>
    <w:rsid w:val="57F22B46"/>
    <w:rsid w:val="580B2009"/>
    <w:rsid w:val="58150BFE"/>
    <w:rsid w:val="58320732"/>
    <w:rsid w:val="58342AEA"/>
    <w:rsid w:val="583B6BEB"/>
    <w:rsid w:val="5854137A"/>
    <w:rsid w:val="5860518C"/>
    <w:rsid w:val="586405DE"/>
    <w:rsid w:val="58653C61"/>
    <w:rsid w:val="588108DB"/>
    <w:rsid w:val="588834ED"/>
    <w:rsid w:val="588C10E0"/>
    <w:rsid w:val="58940BE6"/>
    <w:rsid w:val="58D60712"/>
    <w:rsid w:val="59001BC9"/>
    <w:rsid w:val="5903310E"/>
    <w:rsid w:val="59053A66"/>
    <w:rsid w:val="59127094"/>
    <w:rsid w:val="591271AE"/>
    <w:rsid w:val="594909A4"/>
    <w:rsid w:val="594F351E"/>
    <w:rsid w:val="598A4148"/>
    <w:rsid w:val="598B3C93"/>
    <w:rsid w:val="59926803"/>
    <w:rsid w:val="599E0955"/>
    <w:rsid w:val="599E68FA"/>
    <w:rsid w:val="599E7993"/>
    <w:rsid w:val="59A766B4"/>
    <w:rsid w:val="59AF5107"/>
    <w:rsid w:val="59B150D5"/>
    <w:rsid w:val="59BA7AF3"/>
    <w:rsid w:val="59E35295"/>
    <w:rsid w:val="59F012F8"/>
    <w:rsid w:val="59F467F4"/>
    <w:rsid w:val="59FF35B4"/>
    <w:rsid w:val="5A075B61"/>
    <w:rsid w:val="5A0D6B32"/>
    <w:rsid w:val="5A354559"/>
    <w:rsid w:val="5A453042"/>
    <w:rsid w:val="5A48746F"/>
    <w:rsid w:val="5A7878C4"/>
    <w:rsid w:val="5A7C097F"/>
    <w:rsid w:val="5A98576A"/>
    <w:rsid w:val="5AA53D86"/>
    <w:rsid w:val="5AD03FD7"/>
    <w:rsid w:val="5ADC36F0"/>
    <w:rsid w:val="5AFD24EA"/>
    <w:rsid w:val="5B1B13F5"/>
    <w:rsid w:val="5B266C8C"/>
    <w:rsid w:val="5B2848B2"/>
    <w:rsid w:val="5B3428AA"/>
    <w:rsid w:val="5B4C02D9"/>
    <w:rsid w:val="5B4F589F"/>
    <w:rsid w:val="5B595ED0"/>
    <w:rsid w:val="5B6355E7"/>
    <w:rsid w:val="5B673C8D"/>
    <w:rsid w:val="5B6B000D"/>
    <w:rsid w:val="5B7B5519"/>
    <w:rsid w:val="5B8027F4"/>
    <w:rsid w:val="5B98317F"/>
    <w:rsid w:val="5BA1598A"/>
    <w:rsid w:val="5BA44115"/>
    <w:rsid w:val="5BA506CF"/>
    <w:rsid w:val="5BCD47A7"/>
    <w:rsid w:val="5BD02D55"/>
    <w:rsid w:val="5BD05957"/>
    <w:rsid w:val="5BD7618C"/>
    <w:rsid w:val="5BEC2F59"/>
    <w:rsid w:val="5BF55FED"/>
    <w:rsid w:val="5C053DA0"/>
    <w:rsid w:val="5C172F39"/>
    <w:rsid w:val="5C1C76A9"/>
    <w:rsid w:val="5C367EE8"/>
    <w:rsid w:val="5C392FA9"/>
    <w:rsid w:val="5C3E2DA5"/>
    <w:rsid w:val="5C4250C6"/>
    <w:rsid w:val="5C4D5348"/>
    <w:rsid w:val="5C653371"/>
    <w:rsid w:val="5C6A4912"/>
    <w:rsid w:val="5C6D0C8A"/>
    <w:rsid w:val="5C6D112F"/>
    <w:rsid w:val="5C781C6C"/>
    <w:rsid w:val="5C7C2085"/>
    <w:rsid w:val="5C8F08F0"/>
    <w:rsid w:val="5CA16CEB"/>
    <w:rsid w:val="5CAC6214"/>
    <w:rsid w:val="5CAC660F"/>
    <w:rsid w:val="5CBD78E9"/>
    <w:rsid w:val="5CC40370"/>
    <w:rsid w:val="5CCE1368"/>
    <w:rsid w:val="5CE60DF9"/>
    <w:rsid w:val="5CEF6758"/>
    <w:rsid w:val="5CF526CE"/>
    <w:rsid w:val="5D124FC9"/>
    <w:rsid w:val="5D201540"/>
    <w:rsid w:val="5D2D376B"/>
    <w:rsid w:val="5D924A61"/>
    <w:rsid w:val="5D965719"/>
    <w:rsid w:val="5D9F1247"/>
    <w:rsid w:val="5D9F27A5"/>
    <w:rsid w:val="5DA5196F"/>
    <w:rsid w:val="5DC620FD"/>
    <w:rsid w:val="5DD1780F"/>
    <w:rsid w:val="5DE43DA0"/>
    <w:rsid w:val="5DF62D58"/>
    <w:rsid w:val="5DFC0941"/>
    <w:rsid w:val="5E242DDC"/>
    <w:rsid w:val="5E5163FD"/>
    <w:rsid w:val="5E770AF1"/>
    <w:rsid w:val="5E950A8A"/>
    <w:rsid w:val="5EAD4EE1"/>
    <w:rsid w:val="5EB121D1"/>
    <w:rsid w:val="5EB21E29"/>
    <w:rsid w:val="5EB5058F"/>
    <w:rsid w:val="5EB6477F"/>
    <w:rsid w:val="5EDD2AFF"/>
    <w:rsid w:val="5F015F4F"/>
    <w:rsid w:val="5F125B8C"/>
    <w:rsid w:val="5F21160F"/>
    <w:rsid w:val="5F34063D"/>
    <w:rsid w:val="5F3833E6"/>
    <w:rsid w:val="5F3B168B"/>
    <w:rsid w:val="5F6E56EE"/>
    <w:rsid w:val="5F9464DB"/>
    <w:rsid w:val="5FB476EE"/>
    <w:rsid w:val="5FC23B38"/>
    <w:rsid w:val="5FC6687A"/>
    <w:rsid w:val="5FC70B19"/>
    <w:rsid w:val="5FED5643"/>
    <w:rsid w:val="5FF5600D"/>
    <w:rsid w:val="600A59BE"/>
    <w:rsid w:val="601141F6"/>
    <w:rsid w:val="60237B30"/>
    <w:rsid w:val="602D747F"/>
    <w:rsid w:val="6036401A"/>
    <w:rsid w:val="60671922"/>
    <w:rsid w:val="606D2E02"/>
    <w:rsid w:val="607879F9"/>
    <w:rsid w:val="607A3B39"/>
    <w:rsid w:val="60822E38"/>
    <w:rsid w:val="60910C7D"/>
    <w:rsid w:val="60A81B39"/>
    <w:rsid w:val="60AB4B0A"/>
    <w:rsid w:val="60C1494C"/>
    <w:rsid w:val="60D35641"/>
    <w:rsid w:val="6148338A"/>
    <w:rsid w:val="6152685E"/>
    <w:rsid w:val="61530F64"/>
    <w:rsid w:val="616B6F17"/>
    <w:rsid w:val="61843AB2"/>
    <w:rsid w:val="619926EF"/>
    <w:rsid w:val="61CC2C5B"/>
    <w:rsid w:val="61D31F60"/>
    <w:rsid w:val="61D32501"/>
    <w:rsid w:val="61F26404"/>
    <w:rsid w:val="61FD31AE"/>
    <w:rsid w:val="62475A4D"/>
    <w:rsid w:val="62617033"/>
    <w:rsid w:val="626D4C2F"/>
    <w:rsid w:val="6278674C"/>
    <w:rsid w:val="629C2F58"/>
    <w:rsid w:val="62A05DC3"/>
    <w:rsid w:val="62AD7C47"/>
    <w:rsid w:val="62C9562A"/>
    <w:rsid w:val="62DC605B"/>
    <w:rsid w:val="62F86C06"/>
    <w:rsid w:val="630123F3"/>
    <w:rsid w:val="63270BBD"/>
    <w:rsid w:val="632B2BEE"/>
    <w:rsid w:val="63483071"/>
    <w:rsid w:val="63604CB9"/>
    <w:rsid w:val="63621200"/>
    <w:rsid w:val="63856DFA"/>
    <w:rsid w:val="6386783F"/>
    <w:rsid w:val="638A735E"/>
    <w:rsid w:val="63A56A69"/>
    <w:rsid w:val="63B079EF"/>
    <w:rsid w:val="63BE2FB1"/>
    <w:rsid w:val="63CC17FF"/>
    <w:rsid w:val="64033FC2"/>
    <w:rsid w:val="640459A3"/>
    <w:rsid w:val="64064729"/>
    <w:rsid w:val="64174C74"/>
    <w:rsid w:val="64397B69"/>
    <w:rsid w:val="644518CE"/>
    <w:rsid w:val="64614CAC"/>
    <w:rsid w:val="646621C4"/>
    <w:rsid w:val="647378CF"/>
    <w:rsid w:val="648849FF"/>
    <w:rsid w:val="64A45A0E"/>
    <w:rsid w:val="64B90FC1"/>
    <w:rsid w:val="64B95D9B"/>
    <w:rsid w:val="64D7371D"/>
    <w:rsid w:val="64DF0860"/>
    <w:rsid w:val="64E1561B"/>
    <w:rsid w:val="64FE27B1"/>
    <w:rsid w:val="65071D4D"/>
    <w:rsid w:val="65253592"/>
    <w:rsid w:val="6525749B"/>
    <w:rsid w:val="65566374"/>
    <w:rsid w:val="655E4344"/>
    <w:rsid w:val="655E5E6E"/>
    <w:rsid w:val="65727C4B"/>
    <w:rsid w:val="657D35BB"/>
    <w:rsid w:val="65843262"/>
    <w:rsid w:val="65C32958"/>
    <w:rsid w:val="65CD15AA"/>
    <w:rsid w:val="65CF3076"/>
    <w:rsid w:val="65EB2F60"/>
    <w:rsid w:val="65EB474F"/>
    <w:rsid w:val="65F14E0A"/>
    <w:rsid w:val="66182C8A"/>
    <w:rsid w:val="661F59FD"/>
    <w:rsid w:val="66404FE3"/>
    <w:rsid w:val="6651168E"/>
    <w:rsid w:val="66577643"/>
    <w:rsid w:val="66603687"/>
    <w:rsid w:val="666B398F"/>
    <w:rsid w:val="66794A10"/>
    <w:rsid w:val="667E6688"/>
    <w:rsid w:val="668D1863"/>
    <w:rsid w:val="66BA352D"/>
    <w:rsid w:val="66CE5E36"/>
    <w:rsid w:val="66D50E9F"/>
    <w:rsid w:val="66D95300"/>
    <w:rsid w:val="66F60AE0"/>
    <w:rsid w:val="66FB4EAD"/>
    <w:rsid w:val="670839BF"/>
    <w:rsid w:val="671F424D"/>
    <w:rsid w:val="672243A9"/>
    <w:rsid w:val="674E6CAD"/>
    <w:rsid w:val="674F64CF"/>
    <w:rsid w:val="678B1B64"/>
    <w:rsid w:val="67AB1303"/>
    <w:rsid w:val="67B265B6"/>
    <w:rsid w:val="67B608EA"/>
    <w:rsid w:val="67C87610"/>
    <w:rsid w:val="67D30A98"/>
    <w:rsid w:val="67D4300F"/>
    <w:rsid w:val="67D94F9B"/>
    <w:rsid w:val="67DD2DC8"/>
    <w:rsid w:val="67EA2B5D"/>
    <w:rsid w:val="67F442FD"/>
    <w:rsid w:val="67F51D1D"/>
    <w:rsid w:val="68095FB7"/>
    <w:rsid w:val="682D1976"/>
    <w:rsid w:val="68383DAF"/>
    <w:rsid w:val="68494182"/>
    <w:rsid w:val="685C60FA"/>
    <w:rsid w:val="687264E6"/>
    <w:rsid w:val="68763279"/>
    <w:rsid w:val="688700FB"/>
    <w:rsid w:val="689F3AE5"/>
    <w:rsid w:val="68A80B62"/>
    <w:rsid w:val="68D134F8"/>
    <w:rsid w:val="68D608D1"/>
    <w:rsid w:val="68DE5CB0"/>
    <w:rsid w:val="69054339"/>
    <w:rsid w:val="69097331"/>
    <w:rsid w:val="69143B1F"/>
    <w:rsid w:val="691F6C2B"/>
    <w:rsid w:val="69235270"/>
    <w:rsid w:val="692541BA"/>
    <w:rsid w:val="6944761B"/>
    <w:rsid w:val="694D1073"/>
    <w:rsid w:val="695A501D"/>
    <w:rsid w:val="695C56D5"/>
    <w:rsid w:val="696D5485"/>
    <w:rsid w:val="69706409"/>
    <w:rsid w:val="69861A05"/>
    <w:rsid w:val="69AE0E0B"/>
    <w:rsid w:val="69B3530D"/>
    <w:rsid w:val="69BC25E3"/>
    <w:rsid w:val="69BE1129"/>
    <w:rsid w:val="69CA3620"/>
    <w:rsid w:val="69CE19FE"/>
    <w:rsid w:val="69FD33D6"/>
    <w:rsid w:val="69FD6E30"/>
    <w:rsid w:val="6A1E09C2"/>
    <w:rsid w:val="6A2F5543"/>
    <w:rsid w:val="6A2F7A10"/>
    <w:rsid w:val="6A37294F"/>
    <w:rsid w:val="6A392DD7"/>
    <w:rsid w:val="6A3D1686"/>
    <w:rsid w:val="6A4B221F"/>
    <w:rsid w:val="6A4D6715"/>
    <w:rsid w:val="6A52142A"/>
    <w:rsid w:val="6A6005CB"/>
    <w:rsid w:val="6A6032F2"/>
    <w:rsid w:val="6A637B7D"/>
    <w:rsid w:val="6A696CFF"/>
    <w:rsid w:val="6A6E75D0"/>
    <w:rsid w:val="6A72235B"/>
    <w:rsid w:val="6A77015B"/>
    <w:rsid w:val="6A780015"/>
    <w:rsid w:val="6A7D7930"/>
    <w:rsid w:val="6A7F78A2"/>
    <w:rsid w:val="6A845D5D"/>
    <w:rsid w:val="6AA42130"/>
    <w:rsid w:val="6ABC4258"/>
    <w:rsid w:val="6ABE7948"/>
    <w:rsid w:val="6AFD2C22"/>
    <w:rsid w:val="6B0F74AB"/>
    <w:rsid w:val="6B3B2BCF"/>
    <w:rsid w:val="6B3B6111"/>
    <w:rsid w:val="6B461D2E"/>
    <w:rsid w:val="6B6E044D"/>
    <w:rsid w:val="6B736E08"/>
    <w:rsid w:val="6B7A0C5E"/>
    <w:rsid w:val="6B7C0A68"/>
    <w:rsid w:val="6B931D5B"/>
    <w:rsid w:val="6B996D13"/>
    <w:rsid w:val="6BB441CA"/>
    <w:rsid w:val="6BC359AB"/>
    <w:rsid w:val="6BD431E6"/>
    <w:rsid w:val="6BE07F1A"/>
    <w:rsid w:val="6BE259A9"/>
    <w:rsid w:val="6BFC5329"/>
    <w:rsid w:val="6C2A41F5"/>
    <w:rsid w:val="6C776910"/>
    <w:rsid w:val="6C7B6BC2"/>
    <w:rsid w:val="6C7D629A"/>
    <w:rsid w:val="6C866827"/>
    <w:rsid w:val="6C87426E"/>
    <w:rsid w:val="6CD97FBA"/>
    <w:rsid w:val="6D111104"/>
    <w:rsid w:val="6D137D60"/>
    <w:rsid w:val="6D166748"/>
    <w:rsid w:val="6D2C7D26"/>
    <w:rsid w:val="6D3D578E"/>
    <w:rsid w:val="6D3F1173"/>
    <w:rsid w:val="6D525336"/>
    <w:rsid w:val="6D793E60"/>
    <w:rsid w:val="6D7C4367"/>
    <w:rsid w:val="6D883FC0"/>
    <w:rsid w:val="6DA64EC1"/>
    <w:rsid w:val="6DC31C54"/>
    <w:rsid w:val="6DEE4EB4"/>
    <w:rsid w:val="6DF92547"/>
    <w:rsid w:val="6E0608D1"/>
    <w:rsid w:val="6E1164A3"/>
    <w:rsid w:val="6E1D6A43"/>
    <w:rsid w:val="6E2520BB"/>
    <w:rsid w:val="6E483C86"/>
    <w:rsid w:val="6E4C1460"/>
    <w:rsid w:val="6E5825F4"/>
    <w:rsid w:val="6E8A7499"/>
    <w:rsid w:val="6E903531"/>
    <w:rsid w:val="6EAF0766"/>
    <w:rsid w:val="6EC73688"/>
    <w:rsid w:val="6ED92075"/>
    <w:rsid w:val="6EDB13EF"/>
    <w:rsid w:val="6EE80868"/>
    <w:rsid w:val="6EFD73A5"/>
    <w:rsid w:val="6F0778FD"/>
    <w:rsid w:val="6F2F6D32"/>
    <w:rsid w:val="6F331C61"/>
    <w:rsid w:val="6F354298"/>
    <w:rsid w:val="6F3908C1"/>
    <w:rsid w:val="6F392389"/>
    <w:rsid w:val="6F4E5EAA"/>
    <w:rsid w:val="6F871B7A"/>
    <w:rsid w:val="6F88240C"/>
    <w:rsid w:val="6FA2163C"/>
    <w:rsid w:val="6FD310A3"/>
    <w:rsid w:val="6FDB0851"/>
    <w:rsid w:val="6FE704EA"/>
    <w:rsid w:val="6FF1412A"/>
    <w:rsid w:val="6FFB7839"/>
    <w:rsid w:val="6FFD6F48"/>
    <w:rsid w:val="6FFE2BCB"/>
    <w:rsid w:val="7000345B"/>
    <w:rsid w:val="700419C5"/>
    <w:rsid w:val="70352BCB"/>
    <w:rsid w:val="703C7710"/>
    <w:rsid w:val="70416737"/>
    <w:rsid w:val="705D0CBC"/>
    <w:rsid w:val="706914EA"/>
    <w:rsid w:val="706F1805"/>
    <w:rsid w:val="70705130"/>
    <w:rsid w:val="709366CE"/>
    <w:rsid w:val="70A36AB6"/>
    <w:rsid w:val="70BC5A8A"/>
    <w:rsid w:val="70C053DC"/>
    <w:rsid w:val="70DE758C"/>
    <w:rsid w:val="70E31CAD"/>
    <w:rsid w:val="70EC5F08"/>
    <w:rsid w:val="71012CF5"/>
    <w:rsid w:val="71265294"/>
    <w:rsid w:val="712A6E97"/>
    <w:rsid w:val="713F7422"/>
    <w:rsid w:val="7158591D"/>
    <w:rsid w:val="715E01FF"/>
    <w:rsid w:val="716167CC"/>
    <w:rsid w:val="71A51E80"/>
    <w:rsid w:val="71AC5DFF"/>
    <w:rsid w:val="71B3083C"/>
    <w:rsid w:val="71CD1CAB"/>
    <w:rsid w:val="71D01F36"/>
    <w:rsid w:val="71E26C8C"/>
    <w:rsid w:val="71F42AD6"/>
    <w:rsid w:val="723A462A"/>
    <w:rsid w:val="723A4FEA"/>
    <w:rsid w:val="724B6D28"/>
    <w:rsid w:val="72576A63"/>
    <w:rsid w:val="726A5336"/>
    <w:rsid w:val="727A7894"/>
    <w:rsid w:val="729B6221"/>
    <w:rsid w:val="72BE76D3"/>
    <w:rsid w:val="72C64227"/>
    <w:rsid w:val="72E4478C"/>
    <w:rsid w:val="72E67C90"/>
    <w:rsid w:val="73265C65"/>
    <w:rsid w:val="733A7EED"/>
    <w:rsid w:val="733B519B"/>
    <w:rsid w:val="73493046"/>
    <w:rsid w:val="73654C2C"/>
    <w:rsid w:val="73737F64"/>
    <w:rsid w:val="73750209"/>
    <w:rsid w:val="73782778"/>
    <w:rsid w:val="73790DE1"/>
    <w:rsid w:val="737E498B"/>
    <w:rsid w:val="73930BC9"/>
    <w:rsid w:val="73BD521E"/>
    <w:rsid w:val="73BE08F5"/>
    <w:rsid w:val="73C95C48"/>
    <w:rsid w:val="73D04B92"/>
    <w:rsid w:val="73DC0F4B"/>
    <w:rsid w:val="73F11447"/>
    <w:rsid w:val="74080869"/>
    <w:rsid w:val="7412074B"/>
    <w:rsid w:val="741D2F23"/>
    <w:rsid w:val="742864BE"/>
    <w:rsid w:val="742873A2"/>
    <w:rsid w:val="74350618"/>
    <w:rsid w:val="744C19F6"/>
    <w:rsid w:val="744F3C40"/>
    <w:rsid w:val="74571E6E"/>
    <w:rsid w:val="746A588D"/>
    <w:rsid w:val="748E7A7C"/>
    <w:rsid w:val="749E1D10"/>
    <w:rsid w:val="74A62FC9"/>
    <w:rsid w:val="74A756F2"/>
    <w:rsid w:val="74BB0B0F"/>
    <w:rsid w:val="74BE5317"/>
    <w:rsid w:val="74DA5B41"/>
    <w:rsid w:val="74E84A2B"/>
    <w:rsid w:val="74F0674E"/>
    <w:rsid w:val="74F16F36"/>
    <w:rsid w:val="74FF405F"/>
    <w:rsid w:val="751E18AC"/>
    <w:rsid w:val="75367120"/>
    <w:rsid w:val="75370634"/>
    <w:rsid w:val="753D22B7"/>
    <w:rsid w:val="75533C8B"/>
    <w:rsid w:val="75555A8B"/>
    <w:rsid w:val="75647B92"/>
    <w:rsid w:val="75676346"/>
    <w:rsid w:val="75794A95"/>
    <w:rsid w:val="75823313"/>
    <w:rsid w:val="758B5965"/>
    <w:rsid w:val="759215EF"/>
    <w:rsid w:val="759B2C9F"/>
    <w:rsid w:val="75B73E1E"/>
    <w:rsid w:val="75C17C5C"/>
    <w:rsid w:val="75DE6D13"/>
    <w:rsid w:val="75F95F98"/>
    <w:rsid w:val="7600237C"/>
    <w:rsid w:val="76334335"/>
    <w:rsid w:val="76356EFB"/>
    <w:rsid w:val="76643A35"/>
    <w:rsid w:val="76CF7A75"/>
    <w:rsid w:val="76D67F05"/>
    <w:rsid w:val="77257B50"/>
    <w:rsid w:val="772E3E17"/>
    <w:rsid w:val="773D2599"/>
    <w:rsid w:val="77B943F3"/>
    <w:rsid w:val="77BB4EA1"/>
    <w:rsid w:val="77C55496"/>
    <w:rsid w:val="77F40863"/>
    <w:rsid w:val="77FB4464"/>
    <w:rsid w:val="781F6A99"/>
    <w:rsid w:val="782156C9"/>
    <w:rsid w:val="78287713"/>
    <w:rsid w:val="782C70C3"/>
    <w:rsid w:val="782E5C06"/>
    <w:rsid w:val="78351146"/>
    <w:rsid w:val="783E1A56"/>
    <w:rsid w:val="785229DA"/>
    <w:rsid w:val="786270D3"/>
    <w:rsid w:val="786541B6"/>
    <w:rsid w:val="786A7D0C"/>
    <w:rsid w:val="787119EB"/>
    <w:rsid w:val="789D6935"/>
    <w:rsid w:val="78A14975"/>
    <w:rsid w:val="78BF20AF"/>
    <w:rsid w:val="78D76B5C"/>
    <w:rsid w:val="78E20CFA"/>
    <w:rsid w:val="78EF691A"/>
    <w:rsid w:val="78FC3E90"/>
    <w:rsid w:val="79063848"/>
    <w:rsid w:val="7914370B"/>
    <w:rsid w:val="791B6FCC"/>
    <w:rsid w:val="792F039E"/>
    <w:rsid w:val="79326E9D"/>
    <w:rsid w:val="7933557B"/>
    <w:rsid w:val="794E79D3"/>
    <w:rsid w:val="794F45E2"/>
    <w:rsid w:val="79923B6B"/>
    <w:rsid w:val="79B67F9F"/>
    <w:rsid w:val="79C07DB7"/>
    <w:rsid w:val="79CD354B"/>
    <w:rsid w:val="79D0367C"/>
    <w:rsid w:val="79E93811"/>
    <w:rsid w:val="79FB5EF2"/>
    <w:rsid w:val="79FD684D"/>
    <w:rsid w:val="7A032B5F"/>
    <w:rsid w:val="7A1C171D"/>
    <w:rsid w:val="7A412357"/>
    <w:rsid w:val="7A4464C2"/>
    <w:rsid w:val="7A5A4006"/>
    <w:rsid w:val="7A752921"/>
    <w:rsid w:val="7A777B47"/>
    <w:rsid w:val="7A7E7738"/>
    <w:rsid w:val="7A814EDA"/>
    <w:rsid w:val="7A882D67"/>
    <w:rsid w:val="7A893B99"/>
    <w:rsid w:val="7A8A161B"/>
    <w:rsid w:val="7AA159BD"/>
    <w:rsid w:val="7ABA0AE5"/>
    <w:rsid w:val="7ACA5E74"/>
    <w:rsid w:val="7AF62D16"/>
    <w:rsid w:val="7AF669AA"/>
    <w:rsid w:val="7AF843FE"/>
    <w:rsid w:val="7B013342"/>
    <w:rsid w:val="7B0E437B"/>
    <w:rsid w:val="7B271119"/>
    <w:rsid w:val="7B2F1D9A"/>
    <w:rsid w:val="7B3B08B4"/>
    <w:rsid w:val="7B4D4087"/>
    <w:rsid w:val="7B4F17F9"/>
    <w:rsid w:val="7B5476D2"/>
    <w:rsid w:val="7B7611F2"/>
    <w:rsid w:val="7B7B77B1"/>
    <w:rsid w:val="7B882437"/>
    <w:rsid w:val="7BA602C8"/>
    <w:rsid w:val="7BC83D6D"/>
    <w:rsid w:val="7BE4337B"/>
    <w:rsid w:val="7C0102E1"/>
    <w:rsid w:val="7C1040DB"/>
    <w:rsid w:val="7C57180B"/>
    <w:rsid w:val="7C9A0308"/>
    <w:rsid w:val="7CBD02B6"/>
    <w:rsid w:val="7CC235FF"/>
    <w:rsid w:val="7CEE5B85"/>
    <w:rsid w:val="7CF2472A"/>
    <w:rsid w:val="7CF67322"/>
    <w:rsid w:val="7D0D6835"/>
    <w:rsid w:val="7D176A41"/>
    <w:rsid w:val="7D5B3227"/>
    <w:rsid w:val="7D5F73F4"/>
    <w:rsid w:val="7D607ABF"/>
    <w:rsid w:val="7D6E764A"/>
    <w:rsid w:val="7D7C3B6C"/>
    <w:rsid w:val="7D7E6ECE"/>
    <w:rsid w:val="7DA765A1"/>
    <w:rsid w:val="7DAB38C7"/>
    <w:rsid w:val="7DAD6F3A"/>
    <w:rsid w:val="7DB025F5"/>
    <w:rsid w:val="7DB27C7B"/>
    <w:rsid w:val="7DB62673"/>
    <w:rsid w:val="7DBA15E6"/>
    <w:rsid w:val="7DBF3283"/>
    <w:rsid w:val="7DC91C2A"/>
    <w:rsid w:val="7DF32900"/>
    <w:rsid w:val="7DF969B8"/>
    <w:rsid w:val="7DFC31C0"/>
    <w:rsid w:val="7E126B05"/>
    <w:rsid w:val="7E3A6980"/>
    <w:rsid w:val="7E436344"/>
    <w:rsid w:val="7E500872"/>
    <w:rsid w:val="7E5A7B52"/>
    <w:rsid w:val="7E8678A1"/>
    <w:rsid w:val="7E9775E8"/>
    <w:rsid w:val="7EB5619A"/>
    <w:rsid w:val="7ECA42C0"/>
    <w:rsid w:val="7ED10C73"/>
    <w:rsid w:val="7F2D6DB5"/>
    <w:rsid w:val="7F4B466A"/>
    <w:rsid w:val="7F7571AA"/>
    <w:rsid w:val="7F7B6D3E"/>
    <w:rsid w:val="7FA97DA5"/>
    <w:rsid w:val="7FBE6A37"/>
    <w:rsid w:val="7FC6446B"/>
    <w:rsid w:val="7FDC55E0"/>
    <w:rsid w:val="7FF13411"/>
    <w:rsid w:val="7FF6189A"/>
    <w:rsid w:val="7FF902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ocked="1"/>
    <w:lsdException w:qFormat="1" w:unhideWhenUsed="0" w:uiPriority="9" w:semiHidden="0" w:name="heading 4" w:locked="1"/>
    <w:lsdException w:qFormat="1" w:unhideWhenUsed="0" w:uiPriority="9" w:semiHidden="0" w:name="heading 5" w:locked="1"/>
    <w:lsdException w:qFormat="1" w:unhideWhenUsed="0" w:uiPriority="9" w:semiHidden="0" w:name="heading 6" w:locked="1"/>
    <w:lsdException w:qFormat="1" w:unhideWhenUsed="0" w:uiPriority="9" w:semiHidden="0" w:name="heading 7" w:locked="1"/>
    <w:lsdException w:qFormat="1" w:unhideWhenUsed="0" w:uiPriority="9" w:semiHidden="0" w:name="heading 8" w:locked="1"/>
    <w:lsdException w:qFormat="1" w:unhideWhenUsed="0" w:uiPriority="9" w:semiHidden="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sdException w:qFormat="1" w:unhideWhenUsed="0" w:uiPriority="39"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ocked="1"/>
    <w:lsdException w:qFormat="1" w:unhideWhenUsed="0" w:uiPriority="99"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semiHidden="0" w:name="table of authorities"/>
    <w:lsdException w:qFormat="1" w:unhideWhenUsed="0" w:uiPriority="0" w:semiHidden="0" w:name="macro"/>
    <w:lsdException w:qFormat="1" w:uiPriority="99" w:semiHidden="0"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ocked="1"/>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ocked="1"/>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ocked="1"/>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link w:val="201"/>
    <w:qFormat/>
    <w:uiPriority w:val="9"/>
    <w:pPr>
      <w:keepNext/>
      <w:keepLines/>
      <w:spacing w:before="340" w:after="330" w:line="578" w:lineRule="auto"/>
      <w:outlineLvl w:val="0"/>
    </w:pPr>
    <w:rPr>
      <w:b/>
      <w:bCs/>
      <w:kern w:val="44"/>
      <w:sz w:val="44"/>
      <w:szCs w:val="44"/>
    </w:rPr>
  </w:style>
  <w:style w:type="paragraph" w:styleId="2">
    <w:name w:val="heading 2"/>
    <w:basedOn w:val="1"/>
    <w:next w:val="1"/>
    <w:link w:val="199"/>
    <w:qFormat/>
    <w:uiPriority w:val="0"/>
    <w:pPr>
      <w:keepNext/>
      <w:keepLines/>
      <w:spacing w:before="260" w:after="260" w:line="416" w:lineRule="auto"/>
      <w:outlineLvl w:val="1"/>
    </w:pPr>
    <w:rPr>
      <w:rFonts w:ascii="Arial" w:hAnsi="Arial" w:eastAsia="黑体"/>
      <w:b/>
      <w:bCs/>
      <w:kern w:val="0"/>
      <w:sz w:val="32"/>
      <w:szCs w:val="32"/>
      <w:lang w:val="zh-CN"/>
    </w:rPr>
  </w:style>
  <w:style w:type="paragraph" w:styleId="5">
    <w:name w:val="heading 3"/>
    <w:basedOn w:val="1"/>
    <w:next w:val="1"/>
    <w:link w:val="141"/>
    <w:qFormat/>
    <w:locked/>
    <w:uiPriority w:val="9"/>
    <w:pPr>
      <w:keepNext/>
      <w:keepLines/>
      <w:spacing w:before="260" w:after="260" w:line="416" w:lineRule="auto"/>
      <w:outlineLvl w:val="2"/>
    </w:pPr>
    <w:rPr>
      <w:b/>
      <w:bCs/>
      <w:sz w:val="32"/>
      <w:szCs w:val="32"/>
    </w:rPr>
  </w:style>
  <w:style w:type="paragraph" w:styleId="6">
    <w:name w:val="heading 4"/>
    <w:basedOn w:val="1"/>
    <w:next w:val="7"/>
    <w:link w:val="148"/>
    <w:qFormat/>
    <w:locked/>
    <w:uiPriority w:val="9"/>
    <w:pPr>
      <w:keepNext/>
      <w:keepLines/>
      <w:spacing w:before="280" w:after="290" w:line="372" w:lineRule="auto"/>
      <w:outlineLvl w:val="3"/>
    </w:pPr>
    <w:rPr>
      <w:rFonts w:ascii="Arial" w:hAnsi="Arial" w:eastAsia="黑体"/>
      <w:b/>
      <w:sz w:val="28"/>
      <w:szCs w:val="20"/>
    </w:rPr>
  </w:style>
  <w:style w:type="paragraph" w:styleId="8">
    <w:name w:val="heading 5"/>
    <w:basedOn w:val="6"/>
    <w:next w:val="1"/>
    <w:link w:val="66"/>
    <w:qFormat/>
    <w:locked/>
    <w:uiPriority w:val="9"/>
    <w:pPr>
      <w:tabs>
        <w:tab w:val="left" w:pos="0"/>
      </w:tabs>
      <w:autoSpaceDE w:val="0"/>
      <w:autoSpaceDN w:val="0"/>
      <w:adjustRightInd w:val="0"/>
      <w:spacing w:before="120" w:after="0" w:line="376" w:lineRule="atLeast"/>
      <w:ind w:left="1008" w:hanging="1008"/>
      <w:textAlignment w:val="baseline"/>
      <w:outlineLvl w:val="4"/>
    </w:pPr>
    <w:rPr>
      <w:rFonts w:eastAsia="楷体_GB2312"/>
      <w:b w:val="0"/>
      <w:color w:val="000000"/>
      <w:sz w:val="22"/>
    </w:rPr>
  </w:style>
  <w:style w:type="paragraph" w:styleId="9">
    <w:name w:val="heading 6"/>
    <w:basedOn w:val="8"/>
    <w:next w:val="1"/>
    <w:link w:val="212"/>
    <w:qFormat/>
    <w:locked/>
    <w:uiPriority w:val="9"/>
    <w:pPr>
      <w:keepNext w:val="0"/>
      <w:keepLines w:val="0"/>
      <w:tabs>
        <w:tab w:val="left" w:pos="210"/>
        <w:tab w:val="left" w:pos="408"/>
        <w:tab w:val="left" w:pos="990"/>
        <w:tab w:val="left" w:pos="1080"/>
        <w:tab w:val="left" w:pos="1170"/>
        <w:tab w:val="left" w:pos="1440"/>
        <w:tab w:val="left" w:pos="1800"/>
        <w:tab w:val="clear" w:pos="0"/>
      </w:tabs>
      <w:snapToGrid w:val="0"/>
      <w:spacing w:before="60" w:line="360" w:lineRule="auto"/>
      <w:ind w:left="1800" w:hanging="1800"/>
      <w:textAlignment w:val="center"/>
      <w:outlineLvl w:val="5"/>
    </w:pPr>
    <w:rPr>
      <w:rFonts w:ascii="Times New Roman" w:hAnsi="Times New Roman" w:eastAsia="宋体"/>
      <w:color w:val="auto"/>
      <w:spacing w:val="20"/>
      <w:kern w:val="0"/>
      <w:sz w:val="24"/>
    </w:rPr>
  </w:style>
  <w:style w:type="paragraph" w:styleId="10">
    <w:name w:val="heading 7"/>
    <w:basedOn w:val="1"/>
    <w:next w:val="1"/>
    <w:link w:val="214"/>
    <w:qFormat/>
    <w:locked/>
    <w:uiPriority w:val="9"/>
    <w:pPr>
      <w:keepNext/>
      <w:numPr>
        <w:ilvl w:val="0"/>
        <w:numId w:val="1"/>
      </w:numPr>
      <w:tabs>
        <w:tab w:val="left" w:pos="360"/>
        <w:tab w:val="left" w:pos="1260"/>
      </w:tabs>
      <w:ind w:left="1365" w:right="26" w:hanging="195"/>
      <w:outlineLvl w:val="6"/>
    </w:pPr>
    <w:rPr>
      <w:rFonts w:ascii="楷体_GB2312" w:eastAsia="楷体_GB2312"/>
      <w:sz w:val="28"/>
      <w:szCs w:val="20"/>
    </w:rPr>
  </w:style>
  <w:style w:type="paragraph" w:styleId="11">
    <w:name w:val="heading 8"/>
    <w:basedOn w:val="4"/>
    <w:next w:val="1"/>
    <w:link w:val="151"/>
    <w:qFormat/>
    <w:locked/>
    <w:uiPriority w:val="9"/>
    <w:pPr>
      <w:keepNext w:val="0"/>
      <w:keepLines w:val="0"/>
      <w:tabs>
        <w:tab w:val="left" w:pos="360"/>
        <w:tab w:val="left" w:pos="417"/>
      </w:tabs>
      <w:autoSpaceDE w:val="0"/>
      <w:autoSpaceDN w:val="0"/>
      <w:adjustRightInd w:val="0"/>
      <w:snapToGrid w:val="0"/>
      <w:spacing w:before="120" w:after="60" w:line="360" w:lineRule="auto"/>
      <w:ind w:left="417" w:hanging="360"/>
      <w:jc w:val="center"/>
      <w:textAlignment w:val="center"/>
      <w:outlineLvl w:val="7"/>
    </w:pPr>
    <w:rPr>
      <w:b w:val="0"/>
      <w:bCs w:val="0"/>
      <w:color w:val="800000"/>
      <w:spacing w:val="20"/>
      <w:kern w:val="0"/>
      <w:sz w:val="28"/>
      <w:szCs w:val="30"/>
    </w:rPr>
  </w:style>
  <w:style w:type="paragraph" w:styleId="12">
    <w:name w:val="heading 9"/>
    <w:basedOn w:val="4"/>
    <w:next w:val="1"/>
    <w:link w:val="205"/>
    <w:qFormat/>
    <w:locked/>
    <w:uiPriority w:val="9"/>
    <w:pPr>
      <w:keepNext w:val="0"/>
      <w:keepLines w:val="0"/>
      <w:tabs>
        <w:tab w:val="left" w:pos="360"/>
        <w:tab w:val="left" w:pos="417"/>
      </w:tabs>
      <w:autoSpaceDE w:val="0"/>
      <w:autoSpaceDN w:val="0"/>
      <w:adjustRightInd w:val="0"/>
      <w:snapToGrid w:val="0"/>
      <w:spacing w:before="120" w:after="60" w:line="360" w:lineRule="auto"/>
      <w:ind w:left="417" w:hanging="360"/>
      <w:jc w:val="center"/>
      <w:textAlignment w:val="center"/>
      <w:outlineLvl w:val="8"/>
    </w:pPr>
    <w:rPr>
      <w:b w:val="0"/>
      <w:bCs w:val="0"/>
      <w:color w:val="800000"/>
      <w:spacing w:val="20"/>
      <w:kern w:val="0"/>
      <w:sz w:val="28"/>
      <w:szCs w:val="30"/>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macro"/>
    <w:link w:val="88"/>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7">
    <w:name w:val="Normal Indent"/>
    <w:basedOn w:val="1"/>
    <w:link w:val="100"/>
    <w:qFormat/>
    <w:uiPriority w:val="0"/>
    <w:pPr>
      <w:spacing w:line="360" w:lineRule="atLeast"/>
      <w:ind w:left="525" w:firstLine="420"/>
    </w:pPr>
    <w:rPr>
      <w:rFonts w:ascii="宋体"/>
      <w:szCs w:val="20"/>
    </w:rPr>
  </w:style>
  <w:style w:type="paragraph" w:styleId="13">
    <w:name w:val="List 3"/>
    <w:basedOn w:val="1"/>
    <w:qFormat/>
    <w:uiPriority w:val="0"/>
    <w:pPr>
      <w:ind w:left="600" w:leftChars="400" w:hanging="200" w:hangingChars="200"/>
    </w:pPr>
    <w:rPr>
      <w:szCs w:val="24"/>
    </w:rPr>
  </w:style>
  <w:style w:type="paragraph" w:styleId="14">
    <w:name w:val="table of authorities"/>
    <w:basedOn w:val="1"/>
    <w:next w:val="1"/>
    <w:qFormat/>
    <w:uiPriority w:val="0"/>
    <w:pPr>
      <w:ind w:left="420" w:leftChars="200"/>
    </w:pPr>
  </w:style>
  <w:style w:type="paragraph" w:styleId="15">
    <w:name w:val="caption"/>
    <w:basedOn w:val="1"/>
    <w:next w:val="1"/>
    <w:link w:val="128"/>
    <w:qFormat/>
    <w:locked/>
    <w:uiPriority w:val="35"/>
    <w:pPr>
      <w:widowControl/>
      <w:tabs>
        <w:tab w:val="left" w:pos="1106"/>
        <w:tab w:val="left" w:pos="2211"/>
        <w:tab w:val="left" w:pos="3317"/>
        <w:tab w:val="left" w:pos="4423"/>
        <w:tab w:val="left" w:pos="5528"/>
        <w:tab w:val="left" w:pos="6634"/>
        <w:tab w:val="left" w:pos="7740"/>
      </w:tabs>
      <w:spacing w:after="200"/>
      <w:ind w:left="1106"/>
      <w:jc w:val="left"/>
    </w:pPr>
    <w:rPr>
      <w:rFonts w:ascii="Arial" w:hAnsi="Arial" w:eastAsia="等线"/>
      <w:b/>
      <w:bCs/>
      <w:color w:val="4F81BD"/>
      <w:sz w:val="18"/>
      <w:szCs w:val="18"/>
      <w:lang w:val="de-DE" w:eastAsia="de-DE"/>
    </w:rPr>
  </w:style>
  <w:style w:type="paragraph" w:styleId="16">
    <w:name w:val="Document Map"/>
    <w:basedOn w:val="1"/>
    <w:link w:val="166"/>
    <w:qFormat/>
    <w:uiPriority w:val="0"/>
    <w:pPr>
      <w:shd w:val="clear" w:color="auto" w:fill="000080"/>
    </w:pPr>
    <w:rPr>
      <w:sz w:val="28"/>
      <w:szCs w:val="20"/>
      <w:shd w:val="clear" w:color="auto" w:fill="000080"/>
    </w:rPr>
  </w:style>
  <w:style w:type="paragraph" w:styleId="17">
    <w:name w:val="toa heading"/>
    <w:basedOn w:val="1"/>
    <w:next w:val="1"/>
    <w:unhideWhenUsed/>
    <w:qFormat/>
    <w:uiPriority w:val="99"/>
    <w:pPr>
      <w:spacing w:before="120"/>
    </w:pPr>
    <w:rPr>
      <w:rFonts w:ascii="Cambria" w:hAnsi="Cambria"/>
      <w:sz w:val="24"/>
      <w:szCs w:val="24"/>
    </w:rPr>
  </w:style>
  <w:style w:type="paragraph" w:styleId="18">
    <w:name w:val="annotation text"/>
    <w:basedOn w:val="1"/>
    <w:link w:val="167"/>
    <w:qFormat/>
    <w:uiPriority w:val="99"/>
    <w:pPr>
      <w:jc w:val="left"/>
    </w:pPr>
    <w:rPr>
      <w:kern w:val="0"/>
      <w:sz w:val="20"/>
      <w:szCs w:val="20"/>
    </w:rPr>
  </w:style>
  <w:style w:type="paragraph" w:styleId="19">
    <w:name w:val="Salutation"/>
    <w:basedOn w:val="1"/>
    <w:next w:val="1"/>
    <w:link w:val="71"/>
    <w:qFormat/>
    <w:uiPriority w:val="0"/>
    <w:pPr>
      <w:numPr>
        <w:ilvl w:val="7"/>
        <w:numId w:val="2"/>
      </w:numPr>
      <w:tabs>
        <w:tab w:val="left" w:pos="3786"/>
      </w:tabs>
      <w:spacing w:after="120" w:line="0" w:lineRule="atLeast"/>
      <w:ind w:left="300" w:leftChars="300" w:firstLine="425" w:firstLineChars="200"/>
    </w:pPr>
    <w:rPr>
      <w:rFonts w:ascii="黑体" w:eastAsia="黑体"/>
      <w:spacing w:val="20"/>
      <w:sz w:val="28"/>
      <w:szCs w:val="20"/>
    </w:rPr>
  </w:style>
  <w:style w:type="paragraph" w:styleId="20">
    <w:name w:val="Body Text 3"/>
    <w:basedOn w:val="1"/>
    <w:link w:val="163"/>
    <w:qFormat/>
    <w:uiPriority w:val="99"/>
    <w:rPr>
      <w:rFonts w:ascii="宋体" w:hAnsi="Calibri"/>
      <w:kern w:val="0"/>
      <w:sz w:val="20"/>
      <w:szCs w:val="20"/>
    </w:rPr>
  </w:style>
  <w:style w:type="paragraph" w:styleId="21">
    <w:name w:val="Body Text"/>
    <w:basedOn w:val="1"/>
    <w:link w:val="188"/>
    <w:qFormat/>
    <w:uiPriority w:val="0"/>
    <w:pPr>
      <w:spacing w:line="480" w:lineRule="atLeast"/>
    </w:pPr>
    <w:rPr>
      <w:rFonts w:ascii="楷体_GB2312" w:eastAsia="楷体_GB2312"/>
      <w:sz w:val="28"/>
      <w:szCs w:val="20"/>
    </w:rPr>
  </w:style>
  <w:style w:type="paragraph" w:styleId="22">
    <w:name w:val="Body Text Indent"/>
    <w:basedOn w:val="1"/>
    <w:link w:val="220"/>
    <w:qFormat/>
    <w:uiPriority w:val="0"/>
    <w:pPr>
      <w:ind w:firstLine="570"/>
    </w:pPr>
    <w:rPr>
      <w:rFonts w:ascii="宋体"/>
      <w:sz w:val="28"/>
      <w:szCs w:val="20"/>
    </w:rPr>
  </w:style>
  <w:style w:type="paragraph" w:styleId="23">
    <w:name w:val="List 2"/>
    <w:basedOn w:val="1"/>
    <w:qFormat/>
    <w:uiPriority w:val="0"/>
    <w:pPr>
      <w:ind w:left="400" w:leftChars="200" w:hanging="200" w:hangingChars="200"/>
    </w:pPr>
    <w:rPr>
      <w:szCs w:val="24"/>
    </w:rPr>
  </w:style>
  <w:style w:type="paragraph" w:styleId="24">
    <w:name w:val="toc 3"/>
    <w:basedOn w:val="1"/>
    <w:next w:val="1"/>
    <w:qFormat/>
    <w:locked/>
    <w:uiPriority w:val="39"/>
    <w:pPr>
      <w:spacing w:line="360" w:lineRule="auto"/>
      <w:ind w:left="840" w:leftChars="400" w:firstLine="200" w:firstLineChars="200"/>
    </w:pPr>
    <w:rPr>
      <w:rFonts w:ascii="Arial" w:hAnsi="Arial"/>
      <w:sz w:val="24"/>
      <w:szCs w:val="20"/>
    </w:rPr>
  </w:style>
  <w:style w:type="paragraph" w:styleId="25">
    <w:name w:val="Plain Text"/>
    <w:basedOn w:val="1"/>
    <w:link w:val="154"/>
    <w:qFormat/>
    <w:uiPriority w:val="99"/>
    <w:rPr>
      <w:rFonts w:ascii="宋体" w:hAnsi="Courier New"/>
      <w:szCs w:val="20"/>
    </w:rPr>
  </w:style>
  <w:style w:type="paragraph" w:styleId="26">
    <w:name w:val="Date"/>
    <w:basedOn w:val="1"/>
    <w:next w:val="1"/>
    <w:link w:val="65"/>
    <w:qFormat/>
    <w:uiPriority w:val="0"/>
    <w:pPr>
      <w:ind w:left="100" w:leftChars="2500"/>
    </w:pPr>
    <w:rPr>
      <w:szCs w:val="24"/>
    </w:rPr>
  </w:style>
  <w:style w:type="paragraph" w:styleId="27">
    <w:name w:val="Body Text Indent 2"/>
    <w:basedOn w:val="1"/>
    <w:link w:val="157"/>
    <w:qFormat/>
    <w:uiPriority w:val="0"/>
    <w:pPr>
      <w:spacing w:after="120" w:line="480" w:lineRule="auto"/>
      <w:ind w:left="420" w:leftChars="200"/>
    </w:pPr>
    <w:rPr>
      <w:kern w:val="0"/>
      <w:sz w:val="20"/>
      <w:szCs w:val="20"/>
    </w:rPr>
  </w:style>
  <w:style w:type="paragraph" w:styleId="28">
    <w:name w:val="Balloon Text"/>
    <w:basedOn w:val="1"/>
    <w:link w:val="145"/>
    <w:qFormat/>
    <w:uiPriority w:val="99"/>
    <w:rPr>
      <w:kern w:val="0"/>
      <w:sz w:val="18"/>
      <w:szCs w:val="18"/>
    </w:rPr>
  </w:style>
  <w:style w:type="paragraph" w:styleId="29">
    <w:name w:val="footer"/>
    <w:basedOn w:val="1"/>
    <w:link w:val="193"/>
    <w:qFormat/>
    <w:uiPriority w:val="99"/>
    <w:pPr>
      <w:tabs>
        <w:tab w:val="center" w:pos="4153"/>
        <w:tab w:val="right" w:pos="8306"/>
      </w:tabs>
      <w:snapToGrid w:val="0"/>
      <w:jc w:val="left"/>
    </w:pPr>
    <w:rPr>
      <w:kern w:val="0"/>
      <w:sz w:val="18"/>
      <w:szCs w:val="18"/>
    </w:rPr>
  </w:style>
  <w:style w:type="paragraph" w:styleId="30">
    <w:name w:val="header"/>
    <w:basedOn w:val="1"/>
    <w:link w:val="178"/>
    <w:qFormat/>
    <w:uiPriority w:val="99"/>
    <w:pPr>
      <w:pBdr>
        <w:bottom w:val="single" w:color="auto" w:sz="6" w:space="1"/>
      </w:pBdr>
      <w:tabs>
        <w:tab w:val="center" w:pos="4153"/>
        <w:tab w:val="right" w:pos="8306"/>
      </w:tabs>
      <w:snapToGrid w:val="0"/>
      <w:jc w:val="center"/>
    </w:pPr>
    <w:rPr>
      <w:kern w:val="0"/>
      <w:sz w:val="18"/>
      <w:szCs w:val="18"/>
    </w:rPr>
  </w:style>
  <w:style w:type="paragraph" w:styleId="31">
    <w:name w:val="toc 1"/>
    <w:basedOn w:val="1"/>
    <w:next w:val="1"/>
    <w:qFormat/>
    <w:locked/>
    <w:uiPriority w:val="39"/>
  </w:style>
  <w:style w:type="paragraph" w:styleId="32">
    <w:name w:val="Subtitle"/>
    <w:basedOn w:val="1"/>
    <w:next w:val="1"/>
    <w:link w:val="105"/>
    <w:qFormat/>
    <w:locked/>
    <w:uiPriority w:val="11"/>
    <w:pPr>
      <w:spacing w:before="240" w:after="60" w:line="312" w:lineRule="auto"/>
      <w:jc w:val="center"/>
      <w:outlineLvl w:val="1"/>
    </w:pPr>
    <w:rPr>
      <w:rFonts w:ascii="Calibri Light" w:hAnsi="Calibri Light"/>
      <w:b/>
      <w:bCs/>
      <w:kern w:val="28"/>
      <w:sz w:val="32"/>
      <w:szCs w:val="32"/>
    </w:rPr>
  </w:style>
  <w:style w:type="paragraph" w:styleId="33">
    <w:name w:val="List"/>
    <w:basedOn w:val="1"/>
    <w:qFormat/>
    <w:uiPriority w:val="0"/>
    <w:pPr>
      <w:ind w:left="200" w:hanging="200" w:hangingChars="200"/>
    </w:pPr>
    <w:rPr>
      <w:szCs w:val="24"/>
    </w:rPr>
  </w:style>
  <w:style w:type="paragraph" w:styleId="34">
    <w:name w:val="footnote text"/>
    <w:basedOn w:val="1"/>
    <w:link w:val="131"/>
    <w:qFormat/>
    <w:uiPriority w:val="0"/>
    <w:pPr>
      <w:snapToGrid w:val="0"/>
      <w:jc w:val="left"/>
    </w:pPr>
    <w:rPr>
      <w:sz w:val="18"/>
      <w:szCs w:val="20"/>
    </w:rPr>
  </w:style>
  <w:style w:type="paragraph" w:styleId="35">
    <w:name w:val="Body Text Indent 3"/>
    <w:basedOn w:val="1"/>
    <w:link w:val="218"/>
    <w:qFormat/>
    <w:uiPriority w:val="0"/>
    <w:pPr>
      <w:spacing w:after="120"/>
      <w:ind w:left="420" w:leftChars="200"/>
    </w:pPr>
    <w:rPr>
      <w:sz w:val="16"/>
      <w:szCs w:val="16"/>
    </w:rPr>
  </w:style>
  <w:style w:type="paragraph" w:styleId="36">
    <w:name w:val="table of figures"/>
    <w:basedOn w:val="1"/>
    <w:next w:val="1"/>
    <w:qFormat/>
    <w:uiPriority w:val="99"/>
    <w:pPr>
      <w:ind w:left="200" w:leftChars="200" w:hanging="200" w:hangingChars="200"/>
    </w:pPr>
  </w:style>
  <w:style w:type="paragraph" w:styleId="37">
    <w:name w:val="toc 2"/>
    <w:basedOn w:val="1"/>
    <w:next w:val="1"/>
    <w:qFormat/>
    <w:uiPriority w:val="39"/>
    <w:pPr>
      <w:ind w:left="420" w:leftChars="200"/>
    </w:pPr>
  </w:style>
  <w:style w:type="paragraph" w:styleId="38">
    <w:name w:val="List Continue 2"/>
    <w:basedOn w:val="1"/>
    <w:qFormat/>
    <w:uiPriority w:val="0"/>
    <w:pPr>
      <w:spacing w:after="120"/>
      <w:ind w:left="400" w:leftChars="400"/>
    </w:pPr>
    <w:rPr>
      <w:szCs w:val="24"/>
    </w:rPr>
  </w:style>
  <w:style w:type="paragraph" w:styleId="39">
    <w:name w:val="HTML Preformatted"/>
    <w:basedOn w:val="1"/>
    <w:link w:val="1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40">
    <w:name w:val="Normal (Web)"/>
    <w:basedOn w:val="1"/>
    <w:link w:val="120"/>
    <w:qFormat/>
    <w:uiPriority w:val="0"/>
    <w:rPr>
      <w:sz w:val="24"/>
      <w:szCs w:val="24"/>
    </w:rPr>
  </w:style>
  <w:style w:type="paragraph" w:styleId="41">
    <w:name w:val="Title"/>
    <w:basedOn w:val="1"/>
    <w:next w:val="1"/>
    <w:link w:val="150"/>
    <w:qFormat/>
    <w:locked/>
    <w:uiPriority w:val="10"/>
    <w:pPr>
      <w:spacing w:before="240" w:after="60"/>
      <w:jc w:val="center"/>
      <w:outlineLvl w:val="0"/>
    </w:pPr>
    <w:rPr>
      <w:rFonts w:ascii="Arial" w:hAnsi="Arial"/>
      <w:b/>
      <w:sz w:val="32"/>
      <w:szCs w:val="20"/>
    </w:rPr>
  </w:style>
  <w:style w:type="paragraph" w:styleId="42">
    <w:name w:val="annotation subject"/>
    <w:basedOn w:val="18"/>
    <w:next w:val="18"/>
    <w:link w:val="162"/>
    <w:qFormat/>
    <w:uiPriority w:val="0"/>
    <w:rPr>
      <w:b/>
      <w:bCs/>
    </w:rPr>
  </w:style>
  <w:style w:type="paragraph" w:styleId="43">
    <w:name w:val="Body Text First Indent"/>
    <w:basedOn w:val="21"/>
    <w:next w:val="1"/>
    <w:link w:val="67"/>
    <w:qFormat/>
    <w:uiPriority w:val="0"/>
    <w:pPr>
      <w:spacing w:after="120" w:line="240" w:lineRule="auto"/>
      <w:ind w:firstLine="420"/>
    </w:pPr>
    <w:rPr>
      <w:rFonts w:ascii="Times New Roman"/>
    </w:rPr>
  </w:style>
  <w:style w:type="paragraph" w:styleId="44">
    <w:name w:val="Body Text First Indent 2"/>
    <w:basedOn w:val="22"/>
    <w:link w:val="172"/>
    <w:qFormat/>
    <w:uiPriority w:val="0"/>
    <w:pPr>
      <w:spacing w:after="120"/>
      <w:ind w:left="420" w:leftChars="200" w:firstLine="420" w:firstLineChars="200"/>
    </w:pPr>
    <w:rPr>
      <w:rFonts w:ascii="Times New Roman"/>
    </w:rPr>
  </w:style>
  <w:style w:type="table" w:styleId="46">
    <w:name w:val="Table Grid"/>
    <w:basedOn w:val="45"/>
    <w:qFormat/>
    <w:locked/>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qFormat/>
    <w:locked/>
    <w:uiPriority w:val="22"/>
    <w:rPr>
      <w:b/>
      <w:bCs/>
    </w:rPr>
  </w:style>
  <w:style w:type="character" w:styleId="49">
    <w:name w:val="page number"/>
    <w:qFormat/>
    <w:uiPriority w:val="0"/>
  </w:style>
  <w:style w:type="character" w:styleId="50">
    <w:name w:val="FollowedHyperlink"/>
    <w:unhideWhenUsed/>
    <w:qFormat/>
    <w:uiPriority w:val="99"/>
    <w:rPr>
      <w:color w:val="800080"/>
      <w:u w:val="none"/>
    </w:rPr>
  </w:style>
  <w:style w:type="character" w:styleId="51">
    <w:name w:val="Emphasis"/>
    <w:qFormat/>
    <w:locked/>
    <w:uiPriority w:val="20"/>
    <w:rPr>
      <w:i/>
      <w:iCs/>
    </w:rPr>
  </w:style>
  <w:style w:type="character" w:styleId="52">
    <w:name w:val="HTML Definition"/>
    <w:unhideWhenUsed/>
    <w:qFormat/>
    <w:uiPriority w:val="99"/>
  </w:style>
  <w:style w:type="character" w:styleId="53">
    <w:name w:val="HTML Typewriter"/>
    <w:unhideWhenUsed/>
    <w:qFormat/>
    <w:uiPriority w:val="99"/>
    <w:rPr>
      <w:rFonts w:hint="default" w:ascii="monospace" w:hAnsi="monospace" w:eastAsia="monospace" w:cs="monospace"/>
      <w:sz w:val="20"/>
    </w:rPr>
  </w:style>
  <w:style w:type="character" w:styleId="54">
    <w:name w:val="HTML Acronym"/>
    <w:unhideWhenUsed/>
    <w:qFormat/>
    <w:uiPriority w:val="99"/>
    <w:rPr>
      <w:color w:val="FFFFFF"/>
      <w:shd w:val="clear" w:color="auto" w:fill="76C0E3"/>
    </w:rPr>
  </w:style>
  <w:style w:type="character" w:styleId="55">
    <w:name w:val="HTML Variable"/>
    <w:unhideWhenUsed/>
    <w:qFormat/>
    <w:uiPriority w:val="99"/>
    <w:rPr>
      <w:shd w:val="clear" w:color="auto" w:fill="FFFFFF"/>
    </w:rPr>
  </w:style>
  <w:style w:type="character" w:styleId="56">
    <w:name w:val="Hyperlink"/>
    <w:qFormat/>
    <w:uiPriority w:val="99"/>
    <w:rPr>
      <w:rFonts w:cs="Times New Roman"/>
      <w:color w:val="0000FF"/>
      <w:u w:val="single"/>
    </w:rPr>
  </w:style>
  <w:style w:type="character" w:styleId="57">
    <w:name w:val="HTML Code"/>
    <w:unhideWhenUsed/>
    <w:qFormat/>
    <w:uiPriority w:val="99"/>
    <w:rPr>
      <w:rFonts w:ascii="monospace" w:hAnsi="monospace" w:eastAsia="monospace" w:cs="monospace"/>
      <w:sz w:val="20"/>
    </w:rPr>
  </w:style>
  <w:style w:type="character" w:styleId="58">
    <w:name w:val="annotation reference"/>
    <w:qFormat/>
    <w:uiPriority w:val="0"/>
    <w:rPr>
      <w:rFonts w:cs="Times New Roman"/>
      <w:sz w:val="21"/>
      <w:szCs w:val="21"/>
    </w:rPr>
  </w:style>
  <w:style w:type="character" w:styleId="59">
    <w:name w:val="HTML Cite"/>
    <w:unhideWhenUsed/>
    <w:qFormat/>
    <w:uiPriority w:val="99"/>
  </w:style>
  <w:style w:type="character" w:styleId="60">
    <w:name w:val="HTML Keyboard"/>
    <w:unhideWhenUsed/>
    <w:qFormat/>
    <w:uiPriority w:val="99"/>
    <w:rPr>
      <w:rFonts w:hint="default" w:ascii="monospace" w:hAnsi="monospace" w:eastAsia="monospace" w:cs="monospace"/>
      <w:sz w:val="20"/>
    </w:rPr>
  </w:style>
  <w:style w:type="character" w:styleId="61">
    <w:name w:val="HTML Sample"/>
    <w:unhideWhenUsed/>
    <w:qFormat/>
    <w:uiPriority w:val="99"/>
    <w:rPr>
      <w:rFonts w:hint="default" w:ascii="monospace" w:hAnsi="monospace" w:eastAsia="monospace" w:cs="monospace"/>
    </w:rPr>
  </w:style>
  <w:style w:type="paragraph" w:customStyle="1" w:styleId="62">
    <w:name w:val="样式1"/>
    <w:basedOn w:val="1"/>
    <w:link w:val="177"/>
    <w:qFormat/>
    <w:uiPriority w:val="0"/>
    <w:pPr>
      <w:spacing w:after="156" w:afterLines="50" w:line="420" w:lineRule="exact"/>
      <w:ind w:firstLine="480" w:firstLineChars="200"/>
    </w:pPr>
    <w:rPr>
      <w:rFonts w:ascii="宋体" w:hAnsi="宋体"/>
      <w:kern w:val="0"/>
      <w:sz w:val="24"/>
      <w:szCs w:val="21"/>
    </w:rPr>
  </w:style>
  <w:style w:type="character" w:customStyle="1" w:styleId="63">
    <w:name w:val="我的正文1 Char"/>
    <w:link w:val="64"/>
    <w:qFormat/>
    <w:uiPriority w:val="0"/>
    <w:rPr>
      <w:rFonts w:ascii="宋体" w:hAnsi="宋体"/>
      <w:kern w:val="2"/>
      <w:sz w:val="24"/>
    </w:rPr>
  </w:style>
  <w:style w:type="paragraph" w:customStyle="1" w:styleId="64">
    <w:name w:val="我的正文1"/>
    <w:basedOn w:val="1"/>
    <w:link w:val="63"/>
    <w:qFormat/>
    <w:uiPriority w:val="0"/>
    <w:pPr>
      <w:snapToGrid w:val="0"/>
      <w:spacing w:line="360" w:lineRule="auto"/>
      <w:ind w:firstLine="480" w:firstLineChars="200"/>
    </w:pPr>
    <w:rPr>
      <w:rFonts w:ascii="宋体" w:hAnsi="宋体"/>
      <w:sz w:val="24"/>
      <w:szCs w:val="20"/>
    </w:rPr>
  </w:style>
  <w:style w:type="character" w:customStyle="1" w:styleId="65">
    <w:name w:val="日期 字符1"/>
    <w:link w:val="26"/>
    <w:qFormat/>
    <w:uiPriority w:val="0"/>
    <w:rPr>
      <w:rFonts w:ascii="Times New Roman" w:hAnsi="Times New Roman"/>
      <w:kern w:val="2"/>
      <w:sz w:val="21"/>
      <w:szCs w:val="24"/>
    </w:rPr>
  </w:style>
  <w:style w:type="character" w:customStyle="1" w:styleId="66">
    <w:name w:val="标题 5 字符1"/>
    <w:link w:val="8"/>
    <w:qFormat/>
    <w:uiPriority w:val="9"/>
    <w:rPr>
      <w:rFonts w:ascii="Arial" w:hAnsi="Arial" w:eastAsia="楷体_GB2312"/>
      <w:color w:val="000000"/>
      <w:kern w:val="2"/>
      <w:sz w:val="22"/>
    </w:rPr>
  </w:style>
  <w:style w:type="character" w:customStyle="1" w:styleId="67">
    <w:name w:val="正文文本首行缩进 字符1"/>
    <w:link w:val="43"/>
    <w:qFormat/>
    <w:uiPriority w:val="0"/>
    <w:rPr>
      <w:rFonts w:ascii="Times New Roman" w:hAnsi="Times New Roman" w:eastAsia="楷体_GB2312"/>
      <w:kern w:val="2"/>
      <w:sz w:val="28"/>
    </w:rPr>
  </w:style>
  <w:style w:type="character" w:customStyle="1" w:styleId="68">
    <w:name w:val="无间隔 字符1"/>
    <w:link w:val="69"/>
    <w:qFormat/>
    <w:uiPriority w:val="1"/>
    <w:rPr>
      <w:rFonts w:eastAsia="Times New Roman"/>
      <w:sz w:val="22"/>
      <w:szCs w:val="22"/>
      <w:lang w:val="en-US" w:eastAsia="zh-CN" w:bidi="ar-SA"/>
    </w:rPr>
  </w:style>
  <w:style w:type="paragraph" w:styleId="69">
    <w:name w:val="No Spacing"/>
    <w:link w:val="68"/>
    <w:qFormat/>
    <w:uiPriority w:val="1"/>
    <w:rPr>
      <w:rFonts w:ascii="Times New Roman" w:hAnsi="Times New Roman" w:eastAsia="Times New Roman" w:cs="Times New Roman"/>
      <w:sz w:val="22"/>
      <w:szCs w:val="22"/>
      <w:lang w:val="en-US" w:eastAsia="zh-CN" w:bidi="ar-SA"/>
    </w:rPr>
  </w:style>
  <w:style w:type="character" w:customStyle="1" w:styleId="70">
    <w:name w:val="批注框文本 字符1"/>
    <w:qFormat/>
    <w:uiPriority w:val="99"/>
    <w:rPr>
      <w:kern w:val="2"/>
      <w:sz w:val="18"/>
      <w:szCs w:val="18"/>
    </w:rPr>
  </w:style>
  <w:style w:type="character" w:customStyle="1" w:styleId="71">
    <w:name w:val="称呼 字符"/>
    <w:link w:val="19"/>
    <w:qFormat/>
    <w:uiPriority w:val="0"/>
    <w:rPr>
      <w:rFonts w:ascii="黑体" w:hAnsi="Times New Roman" w:eastAsia="黑体"/>
      <w:spacing w:val="20"/>
      <w:kern w:val="2"/>
      <w:sz w:val="28"/>
    </w:rPr>
  </w:style>
  <w:style w:type="character" w:customStyle="1" w:styleId="72">
    <w:name w:val="批注文字 字符"/>
    <w:qFormat/>
    <w:uiPriority w:val="0"/>
    <w:rPr>
      <w:kern w:val="2"/>
      <w:sz w:val="21"/>
    </w:rPr>
  </w:style>
  <w:style w:type="character" w:customStyle="1" w:styleId="73">
    <w:name w:val="正文文本首行缩进 字符"/>
    <w:semiHidden/>
    <w:qFormat/>
    <w:uiPriority w:val="99"/>
    <w:rPr>
      <w:rFonts w:ascii="等线" w:hAnsi="等线" w:eastAsia="等线"/>
      <w:kern w:val="2"/>
      <w:sz w:val="24"/>
      <w:szCs w:val="22"/>
    </w:rPr>
  </w:style>
  <w:style w:type="character" w:customStyle="1" w:styleId="74">
    <w:name w:val="样式 标题 4 + 仿宋_GB2312 Char"/>
    <w:link w:val="75"/>
    <w:qFormat/>
    <w:uiPriority w:val="0"/>
    <w:rPr>
      <w:rFonts w:ascii="宋体" w:hAnsi="宋体"/>
      <w:color w:val="000000"/>
      <w:sz w:val="28"/>
    </w:rPr>
  </w:style>
  <w:style w:type="paragraph" w:customStyle="1" w:styleId="75">
    <w:name w:val="样式 标题 4 + 仿宋_GB2312"/>
    <w:basedOn w:val="6"/>
    <w:link w:val="74"/>
    <w:qFormat/>
    <w:uiPriority w:val="0"/>
    <w:pPr>
      <w:keepNext w:val="0"/>
      <w:keepLines w:val="0"/>
      <w:overflowPunct w:val="0"/>
      <w:topLinePunct/>
      <w:autoSpaceDE w:val="0"/>
      <w:autoSpaceDN w:val="0"/>
      <w:adjustRightInd w:val="0"/>
      <w:spacing w:before="0" w:after="0" w:line="360" w:lineRule="auto"/>
      <w:textAlignment w:val="baseline"/>
    </w:pPr>
    <w:rPr>
      <w:rFonts w:ascii="宋体" w:hAnsi="宋体" w:eastAsia="宋体"/>
      <w:b w:val="0"/>
      <w:color w:val="000000"/>
      <w:kern w:val="0"/>
    </w:rPr>
  </w:style>
  <w:style w:type="character" w:customStyle="1" w:styleId="76">
    <w:name w:val="正文文本缩进 字符"/>
    <w:qFormat/>
    <w:uiPriority w:val="0"/>
    <w:rPr>
      <w:kern w:val="2"/>
      <w:sz w:val="21"/>
      <w:szCs w:val="24"/>
    </w:rPr>
  </w:style>
  <w:style w:type="character" w:customStyle="1" w:styleId="77">
    <w:name w:val="arc11"/>
    <w:qFormat/>
    <w:uiPriority w:val="0"/>
    <w:rPr>
      <w:rFonts w:hint="default"/>
      <w:color w:val="333333"/>
      <w:sz w:val="24"/>
      <w:szCs w:val="24"/>
    </w:rPr>
  </w:style>
  <w:style w:type="character" w:customStyle="1" w:styleId="78">
    <w:name w:val="正文空两格 Char"/>
    <w:link w:val="79"/>
    <w:qFormat/>
    <w:locked/>
    <w:uiPriority w:val="0"/>
    <w:rPr>
      <w:rFonts w:ascii="宋体" w:hAnsi="宋体"/>
      <w:b/>
      <w:kern w:val="2"/>
      <w:sz w:val="24"/>
      <w:szCs w:val="24"/>
      <w:lang w:val="zh-CN"/>
    </w:rPr>
  </w:style>
  <w:style w:type="paragraph" w:customStyle="1" w:styleId="79">
    <w:name w:val="正文空两格"/>
    <w:basedOn w:val="1"/>
    <w:link w:val="78"/>
    <w:qFormat/>
    <w:uiPriority w:val="0"/>
    <w:pPr>
      <w:tabs>
        <w:tab w:val="left" w:pos="8610"/>
      </w:tabs>
      <w:spacing w:line="360" w:lineRule="auto"/>
      <w:ind w:firstLine="426" w:firstLineChars="177"/>
      <w:jc w:val="left"/>
    </w:pPr>
    <w:rPr>
      <w:rFonts w:ascii="宋体" w:hAnsi="宋体"/>
      <w:b/>
      <w:sz w:val="24"/>
      <w:szCs w:val="24"/>
      <w:lang w:val="zh-CN"/>
    </w:rPr>
  </w:style>
  <w:style w:type="character" w:customStyle="1" w:styleId="80">
    <w:name w:val="Char Char3"/>
    <w:qFormat/>
    <w:uiPriority w:val="0"/>
    <w:rPr>
      <w:rFonts w:ascii="宋体" w:hAnsi="Courier New"/>
      <w:kern w:val="2"/>
      <w:sz w:val="21"/>
    </w:rPr>
  </w:style>
  <w:style w:type="character" w:customStyle="1" w:styleId="81">
    <w:name w:val="我的章 Char"/>
    <w:link w:val="82"/>
    <w:qFormat/>
    <w:uiPriority w:val="0"/>
    <w:rPr>
      <w:rFonts w:ascii="宋体" w:hAnsi="宋体"/>
      <w:b/>
      <w:bCs/>
      <w:kern w:val="2"/>
      <w:sz w:val="30"/>
      <w:szCs w:val="30"/>
    </w:rPr>
  </w:style>
  <w:style w:type="paragraph" w:customStyle="1" w:styleId="82">
    <w:name w:val="我的章"/>
    <w:basedOn w:val="2"/>
    <w:link w:val="81"/>
    <w:qFormat/>
    <w:uiPriority w:val="0"/>
    <w:pPr>
      <w:spacing w:before="120" w:after="120" w:line="360" w:lineRule="auto"/>
      <w:ind w:right="240" w:rightChars="100"/>
      <w:jc w:val="center"/>
    </w:pPr>
    <w:rPr>
      <w:rFonts w:ascii="宋体" w:hAnsi="宋体" w:eastAsia="宋体"/>
      <w:kern w:val="2"/>
      <w:sz w:val="30"/>
      <w:szCs w:val="30"/>
    </w:rPr>
  </w:style>
  <w:style w:type="character" w:customStyle="1" w:styleId="83">
    <w:name w:val="正文首行缩进两字 Char"/>
    <w:link w:val="84"/>
    <w:qFormat/>
    <w:uiPriority w:val="0"/>
    <w:rPr>
      <w:sz w:val="24"/>
      <w:szCs w:val="24"/>
      <w:lang w:val="en-US" w:eastAsia="zh-CN" w:bidi="ar-SA"/>
    </w:rPr>
  </w:style>
  <w:style w:type="paragraph" w:customStyle="1" w:styleId="84">
    <w:name w:val="正文首行缩进两字"/>
    <w:link w:val="83"/>
    <w:qFormat/>
    <w:uiPriority w:val="0"/>
    <w:pPr>
      <w:spacing w:afterLines="50" w:line="300" w:lineRule="auto"/>
      <w:ind w:left="240" w:leftChars="100" w:right="240" w:rightChars="100" w:firstLine="480" w:firstLineChars="200"/>
    </w:pPr>
    <w:rPr>
      <w:rFonts w:ascii="Times New Roman" w:hAnsi="Times New Roman" w:eastAsia="宋体" w:cs="Times New Roman"/>
      <w:sz w:val="24"/>
      <w:szCs w:val="24"/>
      <w:lang w:val="en-US" w:eastAsia="zh-CN" w:bidi="ar-SA"/>
    </w:rPr>
  </w:style>
  <w:style w:type="character" w:customStyle="1" w:styleId="85">
    <w:name w:val="info"/>
    <w:basedOn w:val="47"/>
    <w:qFormat/>
    <w:uiPriority w:val="0"/>
  </w:style>
  <w:style w:type="character" w:customStyle="1" w:styleId="86">
    <w:name w:val="标题 1 字符"/>
    <w:qFormat/>
    <w:uiPriority w:val="9"/>
    <w:rPr>
      <w:b/>
      <w:bCs/>
      <w:kern w:val="44"/>
      <w:sz w:val="44"/>
      <w:szCs w:val="44"/>
    </w:rPr>
  </w:style>
  <w:style w:type="character" w:customStyle="1" w:styleId="87">
    <w:name w:val="批注文字 Char1"/>
    <w:qFormat/>
    <w:locked/>
    <w:uiPriority w:val="0"/>
    <w:rPr>
      <w:rFonts w:eastAsia="宋体"/>
      <w:sz w:val="21"/>
      <w:szCs w:val="21"/>
    </w:rPr>
  </w:style>
  <w:style w:type="character" w:customStyle="1" w:styleId="88">
    <w:name w:val="宏文本 字符"/>
    <w:link w:val="3"/>
    <w:qFormat/>
    <w:uiPriority w:val="0"/>
    <w:rPr>
      <w:rFonts w:ascii="Courier New" w:hAnsi="Courier New" w:cs="Courier New"/>
      <w:kern w:val="2"/>
      <w:sz w:val="24"/>
      <w:szCs w:val="24"/>
      <w:lang w:val="en-US" w:eastAsia="zh-CN" w:bidi="ar-SA"/>
    </w:rPr>
  </w:style>
  <w:style w:type="character" w:customStyle="1" w:styleId="89">
    <w:name w:val="列表编号1 Char"/>
    <w:link w:val="90"/>
    <w:qFormat/>
    <w:uiPriority w:val="0"/>
    <w:rPr>
      <w:rFonts w:ascii="宋体" w:hAnsi="宋体"/>
      <w:b/>
      <w:sz w:val="24"/>
      <w:szCs w:val="24"/>
      <w:lang w:val="zh-CN"/>
    </w:rPr>
  </w:style>
  <w:style w:type="paragraph" w:customStyle="1" w:styleId="90">
    <w:name w:val="列表编号1"/>
    <w:basedOn w:val="79"/>
    <w:link w:val="89"/>
    <w:qFormat/>
    <w:uiPriority w:val="0"/>
    <w:pPr>
      <w:numPr>
        <w:ilvl w:val="0"/>
        <w:numId w:val="3"/>
      </w:numPr>
      <w:tabs>
        <w:tab w:val="left" w:pos="0"/>
        <w:tab w:val="left" w:pos="426"/>
        <w:tab w:val="left" w:pos="780"/>
        <w:tab w:val="clear" w:pos="2497"/>
      </w:tabs>
      <w:ind w:left="426" w:firstLine="0" w:firstLineChars="0"/>
      <w:jc w:val="both"/>
    </w:pPr>
    <w:rPr>
      <w:kern w:val="0"/>
    </w:rPr>
  </w:style>
  <w:style w:type="character" w:customStyle="1" w:styleId="91">
    <w:name w:val="我的小节 Char"/>
    <w:link w:val="92"/>
    <w:qFormat/>
    <w:uiPriority w:val="0"/>
    <w:rPr>
      <w:rFonts w:ascii="宋体" w:hAnsi="宋体"/>
      <w:b/>
      <w:bCs/>
      <w:color w:val="000000"/>
      <w:kern w:val="2"/>
      <w:sz w:val="24"/>
      <w:szCs w:val="28"/>
    </w:rPr>
  </w:style>
  <w:style w:type="paragraph" w:customStyle="1" w:styleId="92">
    <w:name w:val="我的小节"/>
    <w:basedOn w:val="6"/>
    <w:link w:val="91"/>
    <w:qFormat/>
    <w:uiPriority w:val="0"/>
    <w:pPr>
      <w:keepNext w:val="0"/>
      <w:keepLines w:val="0"/>
      <w:adjustRightInd w:val="0"/>
      <w:snapToGrid w:val="0"/>
      <w:spacing w:before="0" w:after="0" w:line="360" w:lineRule="auto"/>
      <w:ind w:left="16" w:leftChars="1" w:hanging="14" w:hangingChars="6"/>
    </w:pPr>
    <w:rPr>
      <w:rFonts w:ascii="宋体" w:hAnsi="宋体" w:eastAsia="宋体"/>
      <w:bCs/>
      <w:color w:val="000000"/>
      <w:sz w:val="24"/>
      <w:szCs w:val="28"/>
    </w:rPr>
  </w:style>
  <w:style w:type="character" w:customStyle="1" w:styleId="93">
    <w:name w:val="标题 4 字符"/>
    <w:qFormat/>
    <w:uiPriority w:val="0"/>
    <w:rPr>
      <w:rFonts w:ascii="Arial" w:hAnsi="Arial" w:eastAsia="黑体"/>
      <w:b/>
      <w:bCs/>
      <w:kern w:val="2"/>
      <w:sz w:val="28"/>
      <w:szCs w:val="28"/>
    </w:rPr>
  </w:style>
  <w:style w:type="character" w:customStyle="1" w:styleId="94">
    <w:name w:val="Table Text Char1"/>
    <w:link w:val="95"/>
    <w:qFormat/>
    <w:uiPriority w:val="0"/>
    <w:rPr>
      <w:rFonts w:ascii="Arial" w:hAnsi="Arial" w:cs="Arial"/>
      <w:sz w:val="18"/>
      <w:szCs w:val="18"/>
      <w:lang w:val="en-US" w:eastAsia="zh-CN" w:bidi="ar-SA"/>
    </w:rPr>
  </w:style>
  <w:style w:type="paragraph" w:customStyle="1" w:styleId="95">
    <w:name w:val="Table Text"/>
    <w:link w:val="94"/>
    <w:qFormat/>
    <w:uiPriority w:val="0"/>
    <w:pPr>
      <w:snapToGrid w:val="0"/>
      <w:spacing w:before="80" w:after="80"/>
    </w:pPr>
    <w:rPr>
      <w:rFonts w:ascii="Arial" w:hAnsi="Arial" w:eastAsia="宋体" w:cs="Arial"/>
      <w:sz w:val="18"/>
      <w:szCs w:val="18"/>
      <w:lang w:val="en-US" w:eastAsia="zh-CN" w:bidi="ar-SA"/>
    </w:rPr>
  </w:style>
  <w:style w:type="character" w:customStyle="1" w:styleId="96">
    <w:name w:val="hover"/>
    <w:qFormat/>
    <w:uiPriority w:val="0"/>
    <w:rPr>
      <w:color w:val="2590EB"/>
    </w:rPr>
  </w:style>
  <w:style w:type="character" w:customStyle="1" w:styleId="97">
    <w:name w:val="正文首行缩进（绿盟科技） Char"/>
    <w:link w:val="98"/>
    <w:qFormat/>
    <w:uiPriority w:val="0"/>
    <w:rPr>
      <w:rFonts w:ascii="Arial" w:hAnsi="Arial"/>
      <w:szCs w:val="21"/>
    </w:rPr>
  </w:style>
  <w:style w:type="paragraph" w:customStyle="1" w:styleId="98">
    <w:name w:val="正文首行缩进（绿盟科技）"/>
    <w:basedOn w:val="99"/>
    <w:link w:val="97"/>
    <w:qFormat/>
    <w:uiPriority w:val="0"/>
    <w:pPr>
      <w:spacing w:after="50"/>
      <w:ind w:firstLine="200" w:firstLineChars="200"/>
    </w:pPr>
    <w:rPr>
      <w:sz w:val="20"/>
    </w:rPr>
  </w:style>
  <w:style w:type="paragraph" w:customStyle="1" w:styleId="99">
    <w:name w:val="正文（绿盟科技）"/>
    <w:link w:val="170"/>
    <w:qFormat/>
    <w:uiPriority w:val="0"/>
    <w:pPr>
      <w:spacing w:line="300" w:lineRule="auto"/>
    </w:pPr>
    <w:rPr>
      <w:rFonts w:ascii="Arial" w:hAnsi="Arial" w:eastAsia="宋体" w:cs="Times New Roman"/>
      <w:sz w:val="21"/>
      <w:szCs w:val="21"/>
      <w:lang w:val="en-US" w:eastAsia="zh-CN" w:bidi="ar-SA"/>
    </w:rPr>
  </w:style>
  <w:style w:type="character" w:customStyle="1" w:styleId="100">
    <w:name w:val="正文缩进 字符1"/>
    <w:link w:val="7"/>
    <w:qFormat/>
    <w:uiPriority w:val="0"/>
    <w:rPr>
      <w:rFonts w:ascii="宋体" w:hAnsi="Times New Roman"/>
      <w:kern w:val="2"/>
      <w:sz w:val="21"/>
    </w:rPr>
  </w:style>
  <w:style w:type="character" w:customStyle="1" w:styleId="101">
    <w:name w:val="页脚 字符"/>
    <w:qFormat/>
    <w:uiPriority w:val="99"/>
    <w:rPr>
      <w:kern w:val="2"/>
      <w:sz w:val="18"/>
      <w:szCs w:val="18"/>
    </w:rPr>
  </w:style>
  <w:style w:type="character" w:customStyle="1" w:styleId="102">
    <w:name w:val="3zw1"/>
    <w:qFormat/>
    <w:uiPriority w:val="0"/>
    <w:rPr>
      <w:color w:val="000000"/>
      <w:sz w:val="21"/>
      <w:szCs w:val="21"/>
    </w:rPr>
  </w:style>
  <w:style w:type="character" w:customStyle="1" w:styleId="103">
    <w:name w:val="图片题注 Char"/>
    <w:link w:val="104"/>
    <w:qFormat/>
    <w:uiPriority w:val="6"/>
    <w:rPr>
      <w:kern w:val="2"/>
      <w:sz w:val="18"/>
      <w:szCs w:val="21"/>
      <w:lang w:val="en-US" w:eastAsia="zh-CN" w:bidi="ar-SA"/>
    </w:rPr>
  </w:style>
  <w:style w:type="paragraph" w:customStyle="1" w:styleId="104">
    <w:name w:val="图片题注"/>
    <w:next w:val="44"/>
    <w:link w:val="103"/>
    <w:qFormat/>
    <w:uiPriority w:val="6"/>
    <w:pPr>
      <w:spacing w:afterLines="50"/>
      <w:jc w:val="center"/>
    </w:pPr>
    <w:rPr>
      <w:rFonts w:ascii="Times New Roman" w:hAnsi="Times New Roman" w:eastAsia="宋体" w:cs="Times New Roman"/>
      <w:kern w:val="2"/>
      <w:sz w:val="18"/>
      <w:szCs w:val="21"/>
      <w:lang w:val="en-US" w:eastAsia="zh-CN" w:bidi="ar-SA"/>
    </w:rPr>
  </w:style>
  <w:style w:type="character" w:customStyle="1" w:styleId="105">
    <w:name w:val="副标题 字符2"/>
    <w:link w:val="32"/>
    <w:qFormat/>
    <w:uiPriority w:val="11"/>
    <w:rPr>
      <w:rFonts w:ascii="Calibri Light" w:hAnsi="Calibri Light"/>
      <w:b/>
      <w:bCs/>
      <w:kern w:val="28"/>
      <w:sz w:val="32"/>
      <w:szCs w:val="32"/>
    </w:rPr>
  </w:style>
  <w:style w:type="character" w:customStyle="1" w:styleId="106">
    <w:name w:val="time"/>
    <w:basedOn w:val="47"/>
    <w:qFormat/>
    <w:uiPriority w:val="0"/>
  </w:style>
  <w:style w:type="character" w:customStyle="1" w:styleId="107">
    <w:name w:val="样式 标题 3 + 仿宋_GB2312 Char"/>
    <w:link w:val="108"/>
    <w:qFormat/>
    <w:uiPriority w:val="0"/>
    <w:rPr>
      <w:rFonts w:ascii="仿宋_GB2312" w:hAnsi="仿宋_GB2312" w:eastAsia="仿宋_GB2312"/>
      <w:color w:val="000000"/>
      <w:sz w:val="28"/>
    </w:rPr>
  </w:style>
  <w:style w:type="paragraph" w:customStyle="1" w:styleId="108">
    <w:name w:val="样式 标题 3 + 仿宋_GB2312"/>
    <w:basedOn w:val="5"/>
    <w:link w:val="107"/>
    <w:qFormat/>
    <w:uiPriority w:val="0"/>
    <w:pPr>
      <w:keepNext w:val="0"/>
      <w:keepLines w:val="0"/>
      <w:tabs>
        <w:tab w:val="left" w:pos="0"/>
      </w:tabs>
      <w:autoSpaceDE w:val="0"/>
      <w:autoSpaceDN w:val="0"/>
      <w:adjustRightInd w:val="0"/>
      <w:spacing w:before="120" w:after="120" w:line="348" w:lineRule="auto"/>
      <w:textAlignment w:val="baseline"/>
    </w:pPr>
    <w:rPr>
      <w:rFonts w:ascii="仿宋_GB2312" w:hAnsi="仿宋_GB2312" w:eastAsia="仿宋_GB2312"/>
      <w:b w:val="0"/>
      <w:bCs w:val="0"/>
      <w:color w:val="000000"/>
      <w:kern w:val="0"/>
      <w:sz w:val="28"/>
      <w:szCs w:val="20"/>
    </w:rPr>
  </w:style>
  <w:style w:type="character" w:customStyle="1" w:styleId="109">
    <w:name w:val="Red Dark Bold Body text Char"/>
    <w:link w:val="110"/>
    <w:qFormat/>
    <w:uiPriority w:val="0"/>
    <w:rPr>
      <w:rFonts w:ascii="Arial" w:hAnsi="Arial" w:cs="Arial"/>
      <w:b/>
      <w:color w:val="97233F"/>
      <w:lang w:val="en-US" w:eastAsia="de-DE" w:bidi="ar-SA"/>
    </w:rPr>
  </w:style>
  <w:style w:type="paragraph" w:customStyle="1" w:styleId="110">
    <w:name w:val="Red Dark Bold Body text"/>
    <w:link w:val="109"/>
    <w:qFormat/>
    <w:uiPriority w:val="0"/>
    <w:rPr>
      <w:rFonts w:ascii="Arial" w:hAnsi="Arial" w:eastAsia="宋体" w:cs="Arial"/>
      <w:b/>
      <w:color w:val="97233F"/>
      <w:lang w:val="en-US" w:eastAsia="de-DE" w:bidi="ar-SA"/>
    </w:rPr>
  </w:style>
  <w:style w:type="character" w:customStyle="1" w:styleId="111">
    <w:name w:val="副标题 字符"/>
    <w:qFormat/>
    <w:uiPriority w:val="11"/>
    <w:rPr>
      <w:rFonts w:ascii="等线 Light" w:hAnsi="等线 Light" w:cs="Times New Roman"/>
      <w:b/>
      <w:bCs/>
      <w:kern w:val="28"/>
      <w:sz w:val="32"/>
      <w:szCs w:val="32"/>
    </w:rPr>
  </w:style>
  <w:style w:type="character" w:customStyle="1" w:styleId="112">
    <w:name w:val="不明显强调1"/>
    <w:qFormat/>
    <w:uiPriority w:val="19"/>
    <w:rPr>
      <w:i/>
      <w:iCs/>
      <w:color w:val="808080"/>
    </w:rPr>
  </w:style>
  <w:style w:type="character" w:customStyle="1" w:styleId="113">
    <w:name w:val="样式 标题 4H4H41H42标题 4 Char Char Char标题 4 Char Char + (西文) Ari... Char"/>
    <w:link w:val="114"/>
    <w:qFormat/>
    <w:uiPriority w:val="0"/>
    <w:rPr>
      <w:rFonts w:ascii="Arial" w:hAnsi="Arial" w:eastAsia="黑体" w:cs="Arial"/>
      <w:b/>
      <w:kern w:val="2"/>
      <w:sz w:val="28"/>
      <w:szCs w:val="28"/>
    </w:rPr>
  </w:style>
  <w:style w:type="paragraph" w:customStyle="1" w:styleId="114">
    <w:name w:val="样式 标题 4H4H41H42标题 4 Char Char Char标题 4 Char Char + (西文) Ari..."/>
    <w:basedOn w:val="6"/>
    <w:link w:val="113"/>
    <w:qFormat/>
    <w:uiPriority w:val="0"/>
    <w:pPr>
      <w:tabs>
        <w:tab w:val="left" w:pos="0"/>
        <w:tab w:val="left" w:pos="1247"/>
      </w:tabs>
      <w:overflowPunct w:val="0"/>
      <w:topLinePunct/>
      <w:adjustRightInd w:val="0"/>
      <w:spacing w:before="0" w:after="0" w:line="348" w:lineRule="auto"/>
      <w:ind w:left="864" w:hanging="864"/>
    </w:pPr>
    <w:rPr>
      <w:szCs w:val="28"/>
    </w:rPr>
  </w:style>
  <w:style w:type="character" w:customStyle="1" w:styleId="115">
    <w:name w:val="正文缩进 字符"/>
    <w:qFormat/>
    <w:uiPriority w:val="0"/>
    <w:rPr>
      <w:rFonts w:ascii="宋体"/>
      <w:kern w:val="2"/>
      <w:sz w:val="21"/>
    </w:rPr>
  </w:style>
  <w:style w:type="character" w:customStyle="1" w:styleId="116">
    <w:name w:val="标题 字符"/>
    <w:qFormat/>
    <w:uiPriority w:val="10"/>
    <w:rPr>
      <w:rFonts w:ascii="等线 Light" w:hAnsi="等线 Light" w:cs="Times New Roman"/>
      <w:b/>
      <w:bCs/>
      <w:kern w:val="2"/>
      <w:sz w:val="32"/>
      <w:szCs w:val="32"/>
    </w:rPr>
  </w:style>
  <w:style w:type="character" w:customStyle="1" w:styleId="117">
    <w:name w:val="Text Char Char"/>
    <w:link w:val="118"/>
    <w:qFormat/>
    <w:uiPriority w:val="0"/>
    <w:rPr>
      <w:rFonts w:ascii="Arial" w:hAnsi="Arial"/>
      <w:sz w:val="24"/>
      <w:szCs w:val="21"/>
    </w:rPr>
  </w:style>
  <w:style w:type="paragraph" w:customStyle="1" w:styleId="118">
    <w:name w:val="Text Char"/>
    <w:basedOn w:val="1"/>
    <w:link w:val="117"/>
    <w:qFormat/>
    <w:uiPriority w:val="0"/>
    <w:pPr>
      <w:widowControl/>
      <w:snapToGrid w:val="0"/>
      <w:spacing w:before="80" w:after="80"/>
      <w:jc w:val="left"/>
    </w:pPr>
    <w:rPr>
      <w:rFonts w:ascii="Arial" w:hAnsi="Arial"/>
      <w:kern w:val="0"/>
      <w:sz w:val="24"/>
      <w:szCs w:val="21"/>
    </w:rPr>
  </w:style>
  <w:style w:type="character" w:customStyle="1" w:styleId="119">
    <w:name w:val="_Style 117"/>
    <w:qFormat/>
    <w:uiPriority w:val="33"/>
    <w:rPr>
      <w:b/>
      <w:bCs/>
      <w:smallCaps/>
      <w:spacing w:val="5"/>
    </w:rPr>
  </w:style>
  <w:style w:type="character" w:customStyle="1" w:styleId="120">
    <w:name w:val="普通(网站) 字符"/>
    <w:link w:val="40"/>
    <w:qFormat/>
    <w:locked/>
    <w:uiPriority w:val="0"/>
    <w:rPr>
      <w:rFonts w:ascii="Times New Roman" w:hAnsi="Times New Roman"/>
      <w:kern w:val="2"/>
      <w:sz w:val="24"/>
      <w:szCs w:val="24"/>
    </w:rPr>
  </w:style>
  <w:style w:type="character" w:customStyle="1" w:styleId="121">
    <w:name w:val="副标题 字符1"/>
    <w:qFormat/>
    <w:uiPriority w:val="11"/>
    <w:rPr>
      <w:rFonts w:ascii="Cambria" w:hAnsi="Cambria" w:eastAsia="等线"/>
      <w:i/>
      <w:iCs/>
      <w:color w:val="4F81BD"/>
      <w:spacing w:val="15"/>
      <w:kern w:val="2"/>
      <w:sz w:val="24"/>
      <w:szCs w:val="24"/>
      <w:lang w:eastAsia="ja-JP"/>
    </w:rPr>
  </w:style>
  <w:style w:type="character" w:customStyle="1" w:styleId="122">
    <w:name w:val="MM Topic 2 Char"/>
    <w:link w:val="123"/>
    <w:qFormat/>
    <w:uiPriority w:val="0"/>
    <w:rPr>
      <w:rFonts w:ascii="Arial" w:hAnsi="Arial" w:eastAsia="黑体"/>
      <w:bCs/>
      <w:sz w:val="30"/>
      <w:szCs w:val="32"/>
      <w:lang w:val="zh-CN"/>
    </w:rPr>
  </w:style>
  <w:style w:type="paragraph" w:customStyle="1" w:styleId="123">
    <w:name w:val="MM Topic 2"/>
    <w:basedOn w:val="2"/>
    <w:next w:val="1"/>
    <w:link w:val="122"/>
    <w:qFormat/>
    <w:uiPriority w:val="0"/>
    <w:pPr>
      <w:tabs>
        <w:tab w:val="left" w:pos="576"/>
      </w:tabs>
      <w:spacing w:line="360" w:lineRule="auto"/>
    </w:pPr>
    <w:rPr>
      <w:b w:val="0"/>
      <w:sz w:val="30"/>
    </w:rPr>
  </w:style>
  <w:style w:type="character" w:customStyle="1" w:styleId="124">
    <w:name w:val="批注主题 Char1"/>
    <w:semiHidden/>
    <w:qFormat/>
    <w:uiPriority w:val="99"/>
    <w:rPr>
      <w:b/>
      <w:bCs/>
      <w:kern w:val="2"/>
      <w:sz w:val="21"/>
    </w:rPr>
  </w:style>
  <w:style w:type="character" w:customStyle="1" w:styleId="125">
    <w:name w:val="标题 5 字符"/>
    <w:qFormat/>
    <w:uiPriority w:val="0"/>
    <w:rPr>
      <w:b/>
      <w:bCs/>
      <w:kern w:val="2"/>
      <w:sz w:val="28"/>
      <w:szCs w:val="28"/>
    </w:rPr>
  </w:style>
  <w:style w:type="character" w:customStyle="1" w:styleId="126">
    <w:name w:val="日期 字符"/>
    <w:qFormat/>
    <w:uiPriority w:val="0"/>
    <w:rPr>
      <w:kern w:val="2"/>
      <w:sz w:val="21"/>
    </w:rPr>
  </w:style>
  <w:style w:type="character" w:customStyle="1" w:styleId="127">
    <w:name w:val="正文文本 字符1"/>
    <w:qFormat/>
    <w:uiPriority w:val="0"/>
    <w:rPr>
      <w:szCs w:val="24"/>
    </w:rPr>
  </w:style>
  <w:style w:type="character" w:customStyle="1" w:styleId="128">
    <w:name w:val="题注 字符"/>
    <w:link w:val="15"/>
    <w:qFormat/>
    <w:locked/>
    <w:uiPriority w:val="35"/>
    <w:rPr>
      <w:rFonts w:ascii="Arial" w:hAnsi="Arial" w:eastAsia="等线"/>
      <w:b/>
      <w:bCs/>
      <w:color w:val="4F81BD"/>
      <w:kern w:val="2"/>
      <w:sz w:val="18"/>
      <w:szCs w:val="18"/>
      <w:lang w:val="de-DE" w:eastAsia="de-DE"/>
    </w:rPr>
  </w:style>
  <w:style w:type="character" w:customStyle="1" w:styleId="129">
    <w:name w:val="_Style 127"/>
    <w:qFormat/>
    <w:uiPriority w:val="21"/>
    <w:rPr>
      <w:b/>
      <w:bCs/>
      <w:i/>
      <w:iCs/>
      <w:color w:val="4F81BD"/>
    </w:rPr>
  </w:style>
  <w:style w:type="character" w:customStyle="1" w:styleId="130">
    <w:name w:val="_Style 128"/>
    <w:qFormat/>
    <w:uiPriority w:val="31"/>
    <w:rPr>
      <w:smallCaps/>
      <w:color w:val="C0504D"/>
      <w:u w:val="single"/>
    </w:rPr>
  </w:style>
  <w:style w:type="character" w:customStyle="1" w:styleId="131">
    <w:name w:val="脚注文本 字符"/>
    <w:link w:val="34"/>
    <w:qFormat/>
    <w:uiPriority w:val="0"/>
    <w:rPr>
      <w:rFonts w:ascii="Times New Roman" w:hAnsi="Times New Roman"/>
      <w:kern w:val="2"/>
      <w:sz w:val="18"/>
    </w:rPr>
  </w:style>
  <w:style w:type="character" w:customStyle="1" w:styleId="132">
    <w:name w:val="正文缩进 Char1"/>
    <w:qFormat/>
    <w:uiPriority w:val="0"/>
    <w:rPr>
      <w:rFonts w:eastAsia="宋体"/>
      <w:kern w:val="2"/>
      <w:sz w:val="21"/>
      <w:lang w:bidi="ar-SA"/>
    </w:rPr>
  </w:style>
  <w:style w:type="character" w:customStyle="1" w:styleId="133">
    <w:name w:val="_Style 131"/>
    <w:qFormat/>
    <w:uiPriority w:val="32"/>
    <w:rPr>
      <w:b/>
      <w:bCs/>
      <w:smallCaps/>
      <w:color w:val="C0504D"/>
      <w:spacing w:val="5"/>
      <w:u w:val="single"/>
    </w:rPr>
  </w:style>
  <w:style w:type="character" w:customStyle="1" w:styleId="134">
    <w:name w:val="普通(Web)"/>
    <w:qFormat/>
    <w:uiPriority w:val="0"/>
    <w:rPr>
      <w:rFonts w:ascii="宋体" w:hAnsi="宋体" w:eastAsia="宋体" w:cs="宋体"/>
      <w:kern w:val="2"/>
      <w:sz w:val="24"/>
      <w:szCs w:val="24"/>
      <w:lang w:val="en-US" w:eastAsia="zh-CN" w:bidi="ar-SA"/>
    </w:rPr>
  </w:style>
  <w:style w:type="character" w:customStyle="1" w:styleId="135">
    <w:name w:val="标题 2 字符"/>
    <w:qFormat/>
    <w:uiPriority w:val="9"/>
    <w:rPr>
      <w:rFonts w:ascii="Arial" w:hAnsi="Arial" w:eastAsia="黑体"/>
      <w:b/>
      <w:bCs/>
      <w:kern w:val="2"/>
      <w:sz w:val="32"/>
      <w:szCs w:val="32"/>
    </w:rPr>
  </w:style>
  <w:style w:type="character" w:customStyle="1" w:styleId="136">
    <w:name w:val="页脚 Char1"/>
    <w:qFormat/>
    <w:uiPriority w:val="99"/>
    <w:rPr>
      <w:kern w:val="2"/>
      <w:sz w:val="18"/>
      <w:szCs w:val="18"/>
      <w:lang w:bidi="ar-SA"/>
    </w:rPr>
  </w:style>
  <w:style w:type="character" w:customStyle="1" w:styleId="137">
    <w:name w:val="Figure Description Char"/>
    <w:link w:val="138"/>
    <w:qFormat/>
    <w:uiPriority w:val="0"/>
    <w:rPr>
      <w:rFonts w:ascii="Arial" w:hAnsi="Arial" w:eastAsia="黑体" w:cs="Arial"/>
      <w:sz w:val="18"/>
      <w:szCs w:val="18"/>
      <w:lang w:val="en-US" w:eastAsia="zh-CN" w:bidi="ar-SA"/>
    </w:rPr>
  </w:style>
  <w:style w:type="paragraph" w:customStyle="1" w:styleId="138">
    <w:name w:val="Figure Description"/>
    <w:next w:val="1"/>
    <w:link w:val="137"/>
    <w:qFormat/>
    <w:uiPriority w:val="0"/>
    <w:pPr>
      <w:adjustRightInd w:val="0"/>
      <w:snapToGrid w:val="0"/>
      <w:spacing w:before="80" w:after="320"/>
      <w:jc w:val="center"/>
    </w:pPr>
    <w:rPr>
      <w:rFonts w:ascii="Arial" w:hAnsi="Arial" w:eastAsia="黑体" w:cs="Arial"/>
      <w:sz w:val="18"/>
      <w:szCs w:val="18"/>
      <w:lang w:val="en-US" w:eastAsia="zh-CN" w:bidi="ar-SA"/>
    </w:rPr>
  </w:style>
  <w:style w:type="character" w:customStyle="1" w:styleId="139">
    <w:name w:val="正文（神华集团） Char"/>
    <w:link w:val="140"/>
    <w:qFormat/>
    <w:uiPriority w:val="0"/>
    <w:rPr>
      <w:sz w:val="24"/>
      <w:szCs w:val="24"/>
    </w:rPr>
  </w:style>
  <w:style w:type="paragraph" w:customStyle="1" w:styleId="140">
    <w:name w:val="正文（神华集团）"/>
    <w:basedOn w:val="1"/>
    <w:link w:val="139"/>
    <w:qFormat/>
    <w:uiPriority w:val="0"/>
    <w:pPr>
      <w:widowControl/>
      <w:autoSpaceDE w:val="0"/>
      <w:autoSpaceDN w:val="0"/>
      <w:spacing w:line="360" w:lineRule="auto"/>
      <w:ind w:firstLine="480" w:firstLineChars="200"/>
    </w:pPr>
    <w:rPr>
      <w:kern w:val="0"/>
      <w:sz w:val="24"/>
      <w:szCs w:val="24"/>
    </w:rPr>
  </w:style>
  <w:style w:type="character" w:customStyle="1" w:styleId="141">
    <w:name w:val="标题 3 字符1"/>
    <w:link w:val="5"/>
    <w:qFormat/>
    <w:uiPriority w:val="9"/>
    <w:rPr>
      <w:rFonts w:ascii="Times New Roman" w:hAnsi="Times New Roman"/>
      <w:b/>
      <w:bCs/>
      <w:kern w:val="2"/>
      <w:sz w:val="32"/>
      <w:szCs w:val="32"/>
    </w:rPr>
  </w:style>
  <w:style w:type="character" w:customStyle="1" w:styleId="142">
    <w:name w:val="HTML 预设格式 字符"/>
    <w:link w:val="39"/>
    <w:qFormat/>
    <w:uiPriority w:val="0"/>
    <w:rPr>
      <w:rFonts w:ascii="宋体" w:hAnsi="宋体" w:cs="宋体"/>
      <w:sz w:val="24"/>
      <w:szCs w:val="24"/>
    </w:rPr>
  </w:style>
  <w:style w:type="character" w:customStyle="1" w:styleId="143">
    <w:name w:val="样式 标题 3H3H31H32H33标题 3 Char Char + (中文) 宋体 Char"/>
    <w:link w:val="144"/>
    <w:qFormat/>
    <w:uiPriority w:val="0"/>
    <w:rPr>
      <w:rFonts w:ascii="Arial" w:hAnsi="Arial"/>
      <w:b/>
      <w:bCs/>
      <w:kern w:val="2"/>
      <w:sz w:val="30"/>
      <w:szCs w:val="28"/>
    </w:rPr>
  </w:style>
  <w:style w:type="paragraph" w:customStyle="1" w:styleId="144">
    <w:name w:val="样式 标题 3H3H31H32H33标题 3 Char Char + (中文) 宋体"/>
    <w:basedOn w:val="5"/>
    <w:link w:val="143"/>
    <w:qFormat/>
    <w:uiPriority w:val="0"/>
    <w:pPr>
      <w:tabs>
        <w:tab w:val="left" w:pos="860"/>
      </w:tabs>
      <w:overflowPunct w:val="0"/>
      <w:topLinePunct/>
      <w:spacing w:before="0" w:after="0" w:line="348" w:lineRule="auto"/>
      <w:ind w:left="860" w:hanging="720"/>
      <w:jc w:val="center"/>
    </w:pPr>
    <w:rPr>
      <w:rFonts w:ascii="Arial" w:hAnsi="Arial"/>
      <w:sz w:val="30"/>
      <w:szCs w:val="28"/>
    </w:rPr>
  </w:style>
  <w:style w:type="character" w:customStyle="1" w:styleId="145">
    <w:name w:val="批注框文本 字符2"/>
    <w:link w:val="28"/>
    <w:qFormat/>
    <w:locked/>
    <w:uiPriority w:val="99"/>
    <w:rPr>
      <w:rFonts w:cs="Times New Roman"/>
      <w:sz w:val="18"/>
      <w:szCs w:val="18"/>
    </w:rPr>
  </w:style>
  <w:style w:type="character" w:customStyle="1" w:styleId="146">
    <w:name w:val="status"/>
    <w:qFormat/>
    <w:uiPriority w:val="0"/>
    <w:rPr>
      <w:color w:val="0776DD"/>
    </w:rPr>
  </w:style>
  <w:style w:type="character" w:customStyle="1" w:styleId="147">
    <w:name w:val="标题 9 字符"/>
    <w:qFormat/>
    <w:uiPriority w:val="0"/>
    <w:rPr>
      <w:rFonts w:ascii="Arial" w:hAnsi="Arial" w:eastAsia="黑体"/>
      <w:kern w:val="2"/>
      <w:sz w:val="21"/>
      <w:szCs w:val="21"/>
    </w:rPr>
  </w:style>
  <w:style w:type="character" w:customStyle="1" w:styleId="148">
    <w:name w:val="标题 4 字符1"/>
    <w:link w:val="6"/>
    <w:qFormat/>
    <w:uiPriority w:val="9"/>
    <w:rPr>
      <w:rFonts w:ascii="Arial" w:hAnsi="Arial" w:eastAsia="黑体"/>
      <w:b/>
      <w:kern w:val="2"/>
      <w:sz w:val="28"/>
    </w:rPr>
  </w:style>
  <w:style w:type="character" w:customStyle="1" w:styleId="149">
    <w:name w:val="称呼 Char1"/>
    <w:semiHidden/>
    <w:qFormat/>
    <w:uiPriority w:val="99"/>
    <w:rPr>
      <w:kern w:val="2"/>
      <w:sz w:val="21"/>
    </w:rPr>
  </w:style>
  <w:style w:type="character" w:customStyle="1" w:styleId="150">
    <w:name w:val="标题 字符2"/>
    <w:link w:val="41"/>
    <w:qFormat/>
    <w:uiPriority w:val="10"/>
    <w:rPr>
      <w:rFonts w:ascii="Arial" w:hAnsi="Arial"/>
      <w:b/>
      <w:kern w:val="2"/>
      <w:sz w:val="32"/>
    </w:rPr>
  </w:style>
  <w:style w:type="character" w:customStyle="1" w:styleId="151">
    <w:name w:val="标题 8 字符1"/>
    <w:link w:val="11"/>
    <w:qFormat/>
    <w:uiPriority w:val="9"/>
    <w:rPr>
      <w:rFonts w:ascii="Times New Roman" w:hAnsi="Times New Roman"/>
      <w:color w:val="800000"/>
      <w:spacing w:val="20"/>
      <w:sz w:val="28"/>
      <w:szCs w:val="30"/>
    </w:rPr>
  </w:style>
  <w:style w:type="character" w:customStyle="1" w:styleId="152">
    <w:name w:val="样式9 Char"/>
    <w:link w:val="153"/>
    <w:qFormat/>
    <w:locked/>
    <w:uiPriority w:val="99"/>
    <w:rPr>
      <w:rFonts w:ascii="Arial Unicode MS" w:hAnsi="Arial Unicode MS"/>
    </w:rPr>
  </w:style>
  <w:style w:type="paragraph" w:customStyle="1" w:styleId="153">
    <w:name w:val="样式9"/>
    <w:basedOn w:val="1"/>
    <w:link w:val="152"/>
    <w:qFormat/>
    <w:uiPriority w:val="99"/>
    <w:pPr>
      <w:spacing w:line="500" w:lineRule="exact"/>
      <w:ind w:firstLine="480" w:firstLineChars="200"/>
    </w:pPr>
    <w:rPr>
      <w:rFonts w:ascii="Arial Unicode MS" w:hAnsi="Arial Unicode MS"/>
      <w:kern w:val="0"/>
      <w:sz w:val="20"/>
      <w:szCs w:val="20"/>
    </w:rPr>
  </w:style>
  <w:style w:type="character" w:customStyle="1" w:styleId="154">
    <w:name w:val="纯文本 字符1"/>
    <w:link w:val="25"/>
    <w:qFormat/>
    <w:uiPriority w:val="0"/>
    <w:rPr>
      <w:rFonts w:ascii="宋体" w:hAnsi="Courier New"/>
      <w:kern w:val="2"/>
      <w:sz w:val="21"/>
    </w:rPr>
  </w:style>
  <w:style w:type="character" w:customStyle="1" w:styleId="155">
    <w:name w:val="标题 3 字符"/>
    <w:qFormat/>
    <w:uiPriority w:val="9"/>
    <w:rPr>
      <w:b/>
      <w:bCs/>
      <w:kern w:val="2"/>
      <w:sz w:val="32"/>
      <w:szCs w:val="32"/>
    </w:rPr>
  </w:style>
  <w:style w:type="character" w:customStyle="1" w:styleId="156">
    <w:name w:val="标题 字符1"/>
    <w:qFormat/>
    <w:uiPriority w:val="10"/>
    <w:rPr>
      <w:rFonts w:ascii="Cambria" w:hAnsi="Cambria" w:eastAsia="等线"/>
      <w:color w:val="17365D"/>
      <w:spacing w:val="5"/>
      <w:kern w:val="28"/>
      <w:sz w:val="52"/>
      <w:szCs w:val="52"/>
      <w:lang w:eastAsia="ja-JP"/>
    </w:rPr>
  </w:style>
  <w:style w:type="character" w:customStyle="1" w:styleId="157">
    <w:name w:val="正文文本缩进 2 字符1"/>
    <w:link w:val="27"/>
    <w:qFormat/>
    <w:locked/>
    <w:uiPriority w:val="0"/>
    <w:rPr>
      <w:rFonts w:cs="Times New Roman"/>
    </w:rPr>
  </w:style>
  <w:style w:type="character" w:customStyle="1" w:styleId="158">
    <w:name w:val="明显引用 字符"/>
    <w:link w:val="159"/>
    <w:qFormat/>
    <w:uiPriority w:val="30"/>
    <w:rPr>
      <w:rFonts w:ascii="Calibri" w:hAnsi="Calibri"/>
      <w:b/>
      <w:bCs/>
      <w:i/>
      <w:iCs/>
      <w:color w:val="4F81BD"/>
      <w:sz w:val="22"/>
      <w:szCs w:val="22"/>
      <w:lang w:eastAsia="en-US" w:bidi="en-US"/>
    </w:rPr>
  </w:style>
  <w:style w:type="paragraph" w:styleId="159">
    <w:name w:val="Intense Quote"/>
    <w:basedOn w:val="1"/>
    <w:next w:val="1"/>
    <w:link w:val="158"/>
    <w:qFormat/>
    <w:uiPriority w:val="30"/>
    <w:pPr>
      <w:widowControl/>
      <w:pBdr>
        <w:bottom w:val="single" w:color="4F81BD" w:sz="4" w:space="4"/>
      </w:pBdr>
      <w:spacing w:before="200" w:after="280" w:line="276" w:lineRule="auto"/>
      <w:ind w:left="936" w:right="936"/>
      <w:jc w:val="left"/>
    </w:pPr>
    <w:rPr>
      <w:rFonts w:ascii="Calibri" w:hAnsi="Calibri"/>
      <w:b/>
      <w:bCs/>
      <w:i/>
      <w:iCs/>
      <w:color w:val="4F81BD"/>
      <w:kern w:val="0"/>
      <w:sz w:val="22"/>
      <w:lang w:eastAsia="en-US" w:bidi="en-US"/>
    </w:rPr>
  </w:style>
  <w:style w:type="character" w:customStyle="1" w:styleId="160">
    <w:name w:val="Normal Body Text Char"/>
    <w:link w:val="161"/>
    <w:qFormat/>
    <w:uiPriority w:val="0"/>
    <w:rPr>
      <w:rFonts w:ascii="Arial" w:hAnsi="Arial" w:cs="Arial"/>
      <w:color w:val="333333"/>
      <w:lang w:val="de-DE" w:eastAsia="de-DE"/>
    </w:rPr>
  </w:style>
  <w:style w:type="paragraph" w:customStyle="1" w:styleId="161">
    <w:name w:val="Normal Body Text"/>
    <w:basedOn w:val="1"/>
    <w:link w:val="160"/>
    <w:qFormat/>
    <w:uiPriority w:val="0"/>
    <w:pPr>
      <w:widowControl/>
      <w:jc w:val="left"/>
    </w:pPr>
    <w:rPr>
      <w:rFonts w:ascii="Arial" w:hAnsi="Arial"/>
      <w:color w:val="333333"/>
      <w:kern w:val="0"/>
      <w:sz w:val="20"/>
      <w:szCs w:val="20"/>
      <w:lang w:val="de-DE" w:eastAsia="de-DE"/>
    </w:rPr>
  </w:style>
  <w:style w:type="character" w:customStyle="1" w:styleId="162">
    <w:name w:val="批注主题 字符"/>
    <w:link w:val="42"/>
    <w:qFormat/>
    <w:locked/>
    <w:uiPriority w:val="0"/>
    <w:rPr>
      <w:rFonts w:cs="Times New Roman"/>
      <w:b/>
      <w:bCs/>
    </w:rPr>
  </w:style>
  <w:style w:type="character" w:customStyle="1" w:styleId="163">
    <w:name w:val="正文文本 3 字符1"/>
    <w:link w:val="20"/>
    <w:qFormat/>
    <w:locked/>
    <w:uiPriority w:val="99"/>
    <w:rPr>
      <w:rFonts w:ascii="宋体" w:hAnsi="Calibri" w:eastAsia="宋体" w:cs="Times New Roman"/>
      <w:sz w:val="20"/>
      <w:szCs w:val="20"/>
    </w:rPr>
  </w:style>
  <w:style w:type="character" w:customStyle="1" w:styleId="164">
    <w:name w:val="页眉 字符"/>
    <w:qFormat/>
    <w:uiPriority w:val="99"/>
    <w:rPr>
      <w:kern w:val="2"/>
      <w:sz w:val="18"/>
      <w:szCs w:val="18"/>
    </w:rPr>
  </w:style>
  <w:style w:type="character" w:customStyle="1" w:styleId="165">
    <w:name w:val="批注框文本 字符"/>
    <w:semiHidden/>
    <w:qFormat/>
    <w:uiPriority w:val="99"/>
    <w:rPr>
      <w:rFonts w:eastAsia="宋体"/>
      <w:sz w:val="18"/>
      <w:szCs w:val="18"/>
    </w:rPr>
  </w:style>
  <w:style w:type="character" w:customStyle="1" w:styleId="166">
    <w:name w:val="文档结构图 字符2"/>
    <w:link w:val="16"/>
    <w:qFormat/>
    <w:uiPriority w:val="0"/>
    <w:rPr>
      <w:rFonts w:ascii="Times New Roman" w:hAnsi="Times New Roman"/>
      <w:kern w:val="2"/>
      <w:sz w:val="28"/>
      <w:shd w:val="clear" w:color="auto" w:fill="000080"/>
    </w:rPr>
  </w:style>
  <w:style w:type="character" w:customStyle="1" w:styleId="167">
    <w:name w:val="批注文字 字符1"/>
    <w:link w:val="18"/>
    <w:qFormat/>
    <w:locked/>
    <w:uiPriority w:val="99"/>
    <w:rPr>
      <w:rFonts w:cs="Times New Roman"/>
    </w:rPr>
  </w:style>
  <w:style w:type="character" w:customStyle="1" w:styleId="168">
    <w:name w:val="Purple Body text Char"/>
    <w:link w:val="169"/>
    <w:qFormat/>
    <w:uiPriority w:val="0"/>
    <w:rPr>
      <w:rFonts w:ascii="Arial" w:hAnsi="Arial" w:cs="Arial"/>
      <w:color w:val="660066"/>
      <w:lang w:eastAsia="de-DE"/>
    </w:rPr>
  </w:style>
  <w:style w:type="paragraph" w:customStyle="1" w:styleId="169">
    <w:name w:val="Purple Body text"/>
    <w:basedOn w:val="1"/>
    <w:link w:val="168"/>
    <w:qFormat/>
    <w:uiPriority w:val="0"/>
    <w:pPr>
      <w:widowControl/>
      <w:jc w:val="left"/>
    </w:pPr>
    <w:rPr>
      <w:rFonts w:ascii="Arial" w:hAnsi="Arial"/>
      <w:color w:val="660066"/>
      <w:kern w:val="0"/>
      <w:sz w:val="20"/>
      <w:szCs w:val="20"/>
      <w:lang w:eastAsia="de-DE"/>
    </w:rPr>
  </w:style>
  <w:style w:type="character" w:customStyle="1" w:styleId="170">
    <w:name w:val="正文（绿盟科技） Char"/>
    <w:link w:val="99"/>
    <w:qFormat/>
    <w:uiPriority w:val="0"/>
    <w:rPr>
      <w:rFonts w:ascii="Arial" w:hAnsi="Arial"/>
      <w:sz w:val="21"/>
      <w:szCs w:val="21"/>
      <w:lang w:val="en-US" w:eastAsia="zh-CN" w:bidi="ar-SA"/>
    </w:rPr>
  </w:style>
  <w:style w:type="character" w:customStyle="1" w:styleId="171">
    <w:name w:val="标题 8 字符"/>
    <w:qFormat/>
    <w:uiPriority w:val="0"/>
    <w:rPr>
      <w:rFonts w:ascii="Arial" w:hAnsi="Arial" w:eastAsia="黑体"/>
      <w:kern w:val="2"/>
      <w:sz w:val="24"/>
    </w:rPr>
  </w:style>
  <w:style w:type="character" w:customStyle="1" w:styleId="172">
    <w:name w:val="正文文本首行缩进 2 字符"/>
    <w:link w:val="44"/>
    <w:qFormat/>
    <w:uiPriority w:val="0"/>
    <w:rPr>
      <w:rFonts w:ascii="Times New Roman" w:hAnsi="Times New Roman"/>
      <w:kern w:val="2"/>
      <w:sz w:val="28"/>
    </w:rPr>
  </w:style>
  <w:style w:type="character" w:customStyle="1" w:styleId="173">
    <w:name w:val="No Spacing Char Char"/>
    <w:link w:val="174"/>
    <w:qFormat/>
    <w:uiPriority w:val="0"/>
    <w:rPr>
      <w:rFonts w:ascii="Calibri" w:hAnsi="Calibri" w:eastAsia="MS Mincho" w:cs="Arial"/>
      <w:sz w:val="22"/>
      <w:lang w:val="en-US" w:eastAsia="ja-JP" w:bidi="ar-SA"/>
    </w:rPr>
  </w:style>
  <w:style w:type="paragraph" w:customStyle="1" w:styleId="174">
    <w:name w:val="No Spacing1"/>
    <w:link w:val="173"/>
    <w:qFormat/>
    <w:uiPriority w:val="0"/>
    <w:rPr>
      <w:rFonts w:ascii="Calibri" w:hAnsi="Calibri" w:eastAsia="MS Mincho" w:cs="Arial"/>
      <w:sz w:val="22"/>
      <w:lang w:val="en-US" w:eastAsia="ja-JP" w:bidi="ar-SA"/>
    </w:rPr>
  </w:style>
  <w:style w:type="character" w:customStyle="1" w:styleId="175">
    <w:name w:val="hover1"/>
    <w:qFormat/>
    <w:uiPriority w:val="0"/>
    <w:rPr>
      <w:color w:val="2590EB"/>
    </w:rPr>
  </w:style>
  <w:style w:type="character" w:customStyle="1" w:styleId="176">
    <w:name w:val="background-color:initial"/>
    <w:qFormat/>
    <w:uiPriority w:val="99"/>
  </w:style>
  <w:style w:type="character" w:customStyle="1" w:styleId="177">
    <w:name w:val="样式1 Char"/>
    <w:link w:val="62"/>
    <w:qFormat/>
    <w:uiPriority w:val="0"/>
    <w:rPr>
      <w:rFonts w:ascii="宋体" w:hAnsi="宋体"/>
      <w:sz w:val="24"/>
      <w:szCs w:val="21"/>
    </w:rPr>
  </w:style>
  <w:style w:type="character" w:customStyle="1" w:styleId="178">
    <w:name w:val="页眉 字符1"/>
    <w:link w:val="30"/>
    <w:qFormat/>
    <w:locked/>
    <w:uiPriority w:val="99"/>
    <w:rPr>
      <w:rFonts w:cs="Times New Roman"/>
      <w:sz w:val="18"/>
      <w:szCs w:val="18"/>
    </w:rPr>
  </w:style>
  <w:style w:type="character" w:customStyle="1" w:styleId="179">
    <w:name w:val="样式 宋体 小四"/>
    <w:qFormat/>
    <w:uiPriority w:val="0"/>
    <w:rPr>
      <w:rFonts w:ascii="宋体" w:hAnsi="宋体"/>
      <w:sz w:val="24"/>
    </w:rPr>
  </w:style>
  <w:style w:type="character" w:customStyle="1" w:styleId="180">
    <w:name w:val="正文文本 3 字符"/>
    <w:qFormat/>
    <w:uiPriority w:val="0"/>
    <w:rPr>
      <w:kern w:val="2"/>
      <w:sz w:val="16"/>
      <w:szCs w:val="16"/>
    </w:rPr>
  </w:style>
  <w:style w:type="character" w:customStyle="1" w:styleId="181">
    <w:name w:val="样式 标题 2 + 仿宋_GB2312 四号 Char"/>
    <w:link w:val="182"/>
    <w:qFormat/>
    <w:uiPriority w:val="0"/>
    <w:rPr>
      <w:rFonts w:hAnsi="宋体"/>
      <w:color w:val="000000"/>
      <w:sz w:val="24"/>
      <w:szCs w:val="24"/>
    </w:rPr>
  </w:style>
  <w:style w:type="paragraph" w:customStyle="1" w:styleId="182">
    <w:name w:val="样式 标题 2 + 仿宋_GB2312 四号"/>
    <w:basedOn w:val="2"/>
    <w:link w:val="181"/>
    <w:qFormat/>
    <w:uiPriority w:val="0"/>
    <w:pPr>
      <w:keepNext w:val="0"/>
      <w:keepLines w:val="0"/>
      <w:autoSpaceDE w:val="0"/>
      <w:autoSpaceDN w:val="0"/>
      <w:adjustRightInd w:val="0"/>
      <w:spacing w:before="120" w:after="120" w:line="348" w:lineRule="auto"/>
      <w:textAlignment w:val="baseline"/>
    </w:pPr>
    <w:rPr>
      <w:rFonts w:ascii="Times New Roman" w:hAnsi="宋体" w:eastAsia="宋体"/>
      <w:b w:val="0"/>
      <w:bCs w:val="0"/>
      <w:color w:val="000000"/>
      <w:sz w:val="24"/>
      <w:szCs w:val="24"/>
    </w:rPr>
  </w:style>
  <w:style w:type="character" w:customStyle="1" w:styleId="183">
    <w:name w:val="文档结构图 字符1"/>
    <w:qFormat/>
    <w:uiPriority w:val="99"/>
    <w:rPr>
      <w:kern w:val="2"/>
      <w:sz w:val="21"/>
      <w:shd w:val="clear" w:color="auto" w:fill="000080"/>
    </w:rPr>
  </w:style>
  <w:style w:type="character" w:customStyle="1" w:styleId="184">
    <w:name w:val="引用 字符"/>
    <w:link w:val="185"/>
    <w:qFormat/>
    <w:uiPriority w:val="29"/>
    <w:rPr>
      <w:rFonts w:ascii="Calibri" w:hAnsi="Calibri"/>
      <w:i/>
      <w:iCs/>
      <w:color w:val="000000"/>
      <w:sz w:val="22"/>
      <w:szCs w:val="22"/>
      <w:lang w:eastAsia="en-US" w:bidi="en-US"/>
    </w:rPr>
  </w:style>
  <w:style w:type="paragraph" w:styleId="185">
    <w:name w:val="Quote"/>
    <w:basedOn w:val="1"/>
    <w:next w:val="1"/>
    <w:link w:val="184"/>
    <w:qFormat/>
    <w:uiPriority w:val="29"/>
    <w:pPr>
      <w:widowControl/>
      <w:spacing w:after="200" w:line="276" w:lineRule="auto"/>
      <w:jc w:val="left"/>
    </w:pPr>
    <w:rPr>
      <w:rFonts w:ascii="Calibri" w:hAnsi="Calibri"/>
      <w:i/>
      <w:iCs/>
      <w:color w:val="000000"/>
      <w:kern w:val="0"/>
      <w:sz w:val="22"/>
      <w:lang w:eastAsia="en-US" w:bidi="en-US"/>
    </w:rPr>
  </w:style>
  <w:style w:type="character" w:customStyle="1" w:styleId="186">
    <w:name w:val="段落1 Char"/>
    <w:link w:val="187"/>
    <w:qFormat/>
    <w:uiPriority w:val="0"/>
    <w:rPr>
      <w:sz w:val="24"/>
    </w:rPr>
  </w:style>
  <w:style w:type="paragraph" w:customStyle="1" w:styleId="187">
    <w:name w:val="段落1"/>
    <w:basedOn w:val="1"/>
    <w:link w:val="186"/>
    <w:qFormat/>
    <w:uiPriority w:val="0"/>
    <w:pPr>
      <w:adjustRightInd w:val="0"/>
      <w:spacing w:before="120" w:after="120" w:line="360" w:lineRule="auto"/>
      <w:ind w:firstLine="567"/>
      <w:textAlignment w:val="baseline"/>
    </w:pPr>
    <w:rPr>
      <w:kern w:val="0"/>
      <w:sz w:val="24"/>
      <w:szCs w:val="20"/>
    </w:rPr>
  </w:style>
  <w:style w:type="character" w:customStyle="1" w:styleId="188">
    <w:name w:val="正文文本 字符2"/>
    <w:link w:val="21"/>
    <w:qFormat/>
    <w:uiPriority w:val="0"/>
    <w:rPr>
      <w:rFonts w:ascii="楷体_GB2312" w:hAnsi="Times New Roman" w:eastAsia="楷体_GB2312"/>
      <w:kern w:val="2"/>
      <w:sz w:val="28"/>
    </w:rPr>
  </w:style>
  <w:style w:type="character" w:customStyle="1" w:styleId="189">
    <w:name w:val="正文（小四＋首行缩进） Char Char"/>
    <w:link w:val="190"/>
    <w:qFormat/>
    <w:uiPriority w:val="0"/>
    <w:rPr>
      <w:rFonts w:ascii="Arial" w:hAnsi="Arial"/>
      <w:kern w:val="2"/>
      <w:sz w:val="24"/>
      <w:szCs w:val="24"/>
    </w:rPr>
  </w:style>
  <w:style w:type="paragraph" w:customStyle="1" w:styleId="190">
    <w:name w:val="正文（小四＋首行缩进） Char"/>
    <w:basedOn w:val="7"/>
    <w:link w:val="189"/>
    <w:qFormat/>
    <w:uiPriority w:val="0"/>
    <w:pPr>
      <w:tabs>
        <w:tab w:val="left" w:pos="1365"/>
      </w:tabs>
      <w:autoSpaceDE w:val="0"/>
      <w:autoSpaceDN w:val="0"/>
      <w:adjustRightInd w:val="0"/>
      <w:snapToGrid w:val="0"/>
      <w:spacing w:before="50" w:line="360" w:lineRule="auto"/>
      <w:ind w:left="0" w:right="34" w:rightChars="16" w:firstLine="480" w:firstLineChars="200"/>
      <w:jc w:val="left"/>
      <w:textAlignment w:val="baseline"/>
    </w:pPr>
    <w:rPr>
      <w:rFonts w:ascii="Arial" w:hAnsi="Arial"/>
      <w:sz w:val="24"/>
      <w:szCs w:val="24"/>
    </w:rPr>
  </w:style>
  <w:style w:type="character" w:customStyle="1" w:styleId="191">
    <w:name w:val="脚注文本 Char1"/>
    <w:semiHidden/>
    <w:qFormat/>
    <w:uiPriority w:val="99"/>
    <w:rPr>
      <w:kern w:val="2"/>
      <w:sz w:val="18"/>
      <w:szCs w:val="18"/>
    </w:rPr>
  </w:style>
  <w:style w:type="character" w:customStyle="1" w:styleId="192">
    <w:name w:val="hover3"/>
    <w:basedOn w:val="47"/>
    <w:qFormat/>
    <w:uiPriority w:val="0"/>
  </w:style>
  <w:style w:type="character" w:customStyle="1" w:styleId="193">
    <w:name w:val="页脚 字符1"/>
    <w:link w:val="29"/>
    <w:qFormat/>
    <w:locked/>
    <w:uiPriority w:val="99"/>
    <w:rPr>
      <w:rFonts w:cs="Times New Roman"/>
      <w:sz w:val="18"/>
      <w:szCs w:val="18"/>
    </w:rPr>
  </w:style>
  <w:style w:type="character" w:customStyle="1" w:styleId="194">
    <w:name w:val="style1"/>
    <w:basedOn w:val="47"/>
    <w:qFormat/>
    <w:uiPriority w:val="0"/>
  </w:style>
  <w:style w:type="character" w:customStyle="1" w:styleId="195">
    <w:name w:val="标题 7 字符"/>
    <w:qFormat/>
    <w:uiPriority w:val="0"/>
    <w:rPr>
      <w:b/>
      <w:bCs/>
      <w:kern w:val="2"/>
      <w:sz w:val="24"/>
    </w:rPr>
  </w:style>
  <w:style w:type="character" w:customStyle="1" w:styleId="196">
    <w:name w:val="文档结构图 字符"/>
    <w:semiHidden/>
    <w:qFormat/>
    <w:uiPriority w:val="99"/>
    <w:rPr>
      <w:rFonts w:ascii="Microsoft YaHei UI" w:eastAsia="Microsoft YaHei UI"/>
      <w:sz w:val="18"/>
      <w:szCs w:val="18"/>
    </w:rPr>
  </w:style>
  <w:style w:type="character" w:customStyle="1" w:styleId="197">
    <w:name w:val="hover2"/>
    <w:basedOn w:val="47"/>
    <w:qFormat/>
    <w:uiPriority w:val="0"/>
  </w:style>
  <w:style w:type="character" w:customStyle="1" w:styleId="198">
    <w:name w:val="纯文本 字符"/>
    <w:qFormat/>
    <w:uiPriority w:val="99"/>
    <w:rPr>
      <w:rFonts w:ascii="宋体" w:hAnsi="宋体" w:eastAsia="仿宋_GB2312"/>
      <w:kern w:val="2"/>
      <w:sz w:val="28"/>
    </w:rPr>
  </w:style>
  <w:style w:type="character" w:customStyle="1" w:styleId="199">
    <w:name w:val="标题 2 字符1"/>
    <w:link w:val="2"/>
    <w:qFormat/>
    <w:locked/>
    <w:uiPriority w:val="0"/>
    <w:rPr>
      <w:rFonts w:ascii="Arial" w:hAnsi="Arial" w:eastAsia="黑体" w:cs="Times New Roman"/>
      <w:b/>
      <w:bCs/>
      <w:sz w:val="32"/>
      <w:szCs w:val="32"/>
      <w:lang w:val="zh-CN" w:eastAsia="zh-CN"/>
    </w:rPr>
  </w:style>
  <w:style w:type="character" w:customStyle="1" w:styleId="200">
    <w:name w:val="正文文本缩进 2 字符"/>
    <w:qFormat/>
    <w:uiPriority w:val="0"/>
    <w:rPr>
      <w:kern w:val="2"/>
      <w:sz w:val="21"/>
    </w:rPr>
  </w:style>
  <w:style w:type="character" w:customStyle="1" w:styleId="201">
    <w:name w:val="标题 1 字符1"/>
    <w:link w:val="4"/>
    <w:qFormat/>
    <w:locked/>
    <w:uiPriority w:val="9"/>
    <w:rPr>
      <w:rFonts w:cs="Times New Roman"/>
      <w:b/>
      <w:bCs/>
      <w:kern w:val="44"/>
      <w:sz w:val="44"/>
      <w:szCs w:val="44"/>
    </w:rPr>
  </w:style>
  <w:style w:type="character" w:customStyle="1" w:styleId="202">
    <w:name w:val="mini-outputtext1"/>
    <w:basedOn w:val="47"/>
    <w:qFormat/>
    <w:uiPriority w:val="0"/>
  </w:style>
  <w:style w:type="character" w:customStyle="1" w:styleId="203">
    <w:name w:val="正文文本 字符"/>
    <w:qFormat/>
    <w:uiPriority w:val="99"/>
    <w:rPr>
      <w:kern w:val="2"/>
      <w:sz w:val="21"/>
      <w:szCs w:val="24"/>
    </w:rPr>
  </w:style>
  <w:style w:type="character" w:customStyle="1" w:styleId="204">
    <w:name w:val="Char Char31"/>
    <w:qFormat/>
    <w:uiPriority w:val="0"/>
    <w:rPr>
      <w:rFonts w:ascii="宋体" w:hAnsi="Courier New"/>
      <w:kern w:val="2"/>
      <w:sz w:val="21"/>
    </w:rPr>
  </w:style>
  <w:style w:type="character" w:customStyle="1" w:styleId="205">
    <w:name w:val="标题 9 字符1"/>
    <w:link w:val="12"/>
    <w:qFormat/>
    <w:uiPriority w:val="9"/>
    <w:rPr>
      <w:rFonts w:ascii="Times New Roman" w:hAnsi="Times New Roman"/>
      <w:color w:val="800000"/>
      <w:spacing w:val="20"/>
      <w:sz w:val="28"/>
      <w:szCs w:val="30"/>
    </w:rPr>
  </w:style>
  <w:style w:type="character" w:customStyle="1" w:styleId="206">
    <w:name w:val="_Style 205"/>
    <w:qFormat/>
    <w:uiPriority w:val="19"/>
    <w:rPr>
      <w:i/>
      <w:iCs/>
      <w:color w:val="808080"/>
    </w:rPr>
  </w:style>
  <w:style w:type="character" w:customStyle="1" w:styleId="207">
    <w:name w:val="列表段落 字符"/>
    <w:link w:val="208"/>
    <w:qFormat/>
    <w:uiPriority w:val="34"/>
    <w:rPr>
      <w:rFonts w:ascii="Calibri" w:hAnsi="Calibri"/>
      <w:kern w:val="2"/>
      <w:sz w:val="21"/>
      <w:szCs w:val="22"/>
    </w:rPr>
  </w:style>
  <w:style w:type="paragraph" w:customStyle="1" w:styleId="208">
    <w:name w:val="_Style 93"/>
    <w:basedOn w:val="1"/>
    <w:next w:val="209"/>
    <w:link w:val="207"/>
    <w:qFormat/>
    <w:uiPriority w:val="34"/>
    <w:pPr>
      <w:spacing w:line="360" w:lineRule="auto"/>
      <w:ind w:firstLine="420" w:firstLineChars="200"/>
    </w:pPr>
    <w:rPr>
      <w:rFonts w:ascii="Calibri" w:hAnsi="Calibri"/>
    </w:rPr>
  </w:style>
  <w:style w:type="paragraph" w:styleId="209">
    <w:name w:val="List Paragraph"/>
    <w:basedOn w:val="1"/>
    <w:qFormat/>
    <w:uiPriority w:val="34"/>
    <w:pPr>
      <w:ind w:firstLine="420" w:firstLineChars="200"/>
    </w:pPr>
  </w:style>
  <w:style w:type="character" w:customStyle="1" w:styleId="210">
    <w:name w:val="apple-converted-space"/>
    <w:qFormat/>
    <w:uiPriority w:val="0"/>
  </w:style>
  <w:style w:type="character" w:customStyle="1" w:styleId="211">
    <w:name w:val="普通文字 Char1"/>
    <w:qFormat/>
    <w:uiPriority w:val="0"/>
    <w:rPr>
      <w:rFonts w:hint="eastAsia" w:ascii="宋体" w:hAnsi="Times New Roman" w:eastAsia="宋体" w:cs="Times New Roman"/>
      <w:szCs w:val="20"/>
    </w:rPr>
  </w:style>
  <w:style w:type="character" w:customStyle="1" w:styleId="212">
    <w:name w:val="标题 6 字符1"/>
    <w:link w:val="9"/>
    <w:qFormat/>
    <w:uiPriority w:val="9"/>
    <w:rPr>
      <w:rFonts w:ascii="Times New Roman" w:hAnsi="Times New Roman"/>
      <w:spacing w:val="20"/>
      <w:sz w:val="24"/>
    </w:rPr>
  </w:style>
  <w:style w:type="character" w:customStyle="1" w:styleId="213">
    <w:name w:val="标题 6 字符"/>
    <w:qFormat/>
    <w:uiPriority w:val="0"/>
    <w:rPr>
      <w:rFonts w:ascii="Arial" w:hAnsi="Arial" w:eastAsia="黑体"/>
      <w:b/>
      <w:bCs/>
      <w:kern w:val="2"/>
      <w:sz w:val="24"/>
    </w:rPr>
  </w:style>
  <w:style w:type="character" w:customStyle="1" w:styleId="214">
    <w:name w:val="标题 7 字符1"/>
    <w:link w:val="10"/>
    <w:qFormat/>
    <w:uiPriority w:val="9"/>
    <w:rPr>
      <w:rFonts w:ascii="楷体_GB2312" w:hAnsi="Times New Roman" w:eastAsia="楷体_GB2312"/>
      <w:kern w:val="2"/>
      <w:sz w:val="28"/>
    </w:rPr>
  </w:style>
  <w:style w:type="character" w:customStyle="1" w:styleId="215">
    <w:name w:val="页眉 Char1"/>
    <w:qFormat/>
    <w:uiPriority w:val="0"/>
    <w:rPr>
      <w:kern w:val="2"/>
      <w:sz w:val="18"/>
      <w:szCs w:val="18"/>
      <w:lang w:bidi="ar-SA"/>
    </w:rPr>
  </w:style>
  <w:style w:type="character" w:customStyle="1" w:styleId="216">
    <w:name w:val="我的节 Char"/>
    <w:link w:val="217"/>
    <w:qFormat/>
    <w:uiPriority w:val="0"/>
    <w:rPr>
      <w:b/>
      <w:bCs/>
      <w:sz w:val="28"/>
      <w:szCs w:val="28"/>
    </w:rPr>
  </w:style>
  <w:style w:type="paragraph" w:customStyle="1" w:styleId="217">
    <w:name w:val="我的节"/>
    <w:basedOn w:val="5"/>
    <w:link w:val="216"/>
    <w:qFormat/>
    <w:uiPriority w:val="0"/>
    <w:pPr>
      <w:keepNext w:val="0"/>
      <w:keepLines w:val="0"/>
      <w:adjustRightInd w:val="0"/>
      <w:snapToGrid w:val="0"/>
      <w:spacing w:before="0" w:after="0" w:line="360" w:lineRule="auto"/>
    </w:pPr>
    <w:rPr>
      <w:kern w:val="0"/>
      <w:sz w:val="28"/>
      <w:szCs w:val="28"/>
    </w:rPr>
  </w:style>
  <w:style w:type="character" w:customStyle="1" w:styleId="218">
    <w:name w:val="正文文本缩进 3 字符"/>
    <w:link w:val="35"/>
    <w:qFormat/>
    <w:uiPriority w:val="0"/>
    <w:rPr>
      <w:rFonts w:ascii="Times New Roman" w:hAnsi="Times New Roman"/>
      <w:kern w:val="2"/>
      <w:sz w:val="16"/>
      <w:szCs w:val="16"/>
    </w:rPr>
  </w:style>
  <w:style w:type="character" w:customStyle="1" w:styleId="219">
    <w:name w:val="无间隔 字符"/>
    <w:qFormat/>
    <w:uiPriority w:val="1"/>
    <w:rPr>
      <w:szCs w:val="24"/>
      <w:lang w:val="en-US" w:eastAsia="zh-CN" w:bidi="ar-SA"/>
    </w:rPr>
  </w:style>
  <w:style w:type="character" w:customStyle="1" w:styleId="220">
    <w:name w:val="正文文本缩进 字符1"/>
    <w:link w:val="22"/>
    <w:qFormat/>
    <w:uiPriority w:val="0"/>
    <w:rPr>
      <w:rFonts w:ascii="宋体" w:hAnsi="Times New Roman"/>
      <w:kern w:val="2"/>
      <w:sz w:val="28"/>
    </w:rPr>
  </w:style>
  <w:style w:type="paragraph" w:customStyle="1" w:styleId="221">
    <w:name w:val="MM Topic 3"/>
    <w:basedOn w:val="5"/>
    <w:next w:val="1"/>
    <w:qFormat/>
    <w:uiPriority w:val="0"/>
    <w:pPr>
      <w:tabs>
        <w:tab w:val="left" w:pos="720"/>
      </w:tabs>
      <w:ind w:firstLine="400"/>
    </w:pPr>
    <w:rPr>
      <w:rFonts w:ascii="Arial" w:hAnsi="Arial" w:cs="Arial"/>
      <w:sz w:val="24"/>
      <w:lang w:val="zh-CN"/>
    </w:rPr>
  </w:style>
  <w:style w:type="paragraph" w:customStyle="1" w:styleId="222">
    <w:name w:val="a2"/>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23">
    <w:name w:val="Step"/>
    <w:basedOn w:val="1"/>
    <w:qFormat/>
    <w:uiPriority w:val="0"/>
    <w:pPr>
      <w:widowControl/>
      <w:tabs>
        <w:tab w:val="left" w:pos="1701"/>
      </w:tabs>
      <w:topLinePunct/>
      <w:adjustRightInd w:val="0"/>
      <w:snapToGrid w:val="0"/>
      <w:spacing w:before="160" w:after="160" w:line="240" w:lineRule="atLeast"/>
      <w:ind w:left="1701" w:hanging="159"/>
      <w:jc w:val="left"/>
      <w:outlineLvl w:val="5"/>
    </w:pPr>
    <w:rPr>
      <w:rFonts w:cs="Arial"/>
      <w:snapToGrid w:val="0"/>
      <w:kern w:val="0"/>
      <w:szCs w:val="21"/>
    </w:rPr>
  </w:style>
  <w:style w:type="paragraph" w:customStyle="1" w:styleId="22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4"/>
      <w:szCs w:val="24"/>
    </w:rPr>
  </w:style>
  <w:style w:type="paragraph" w:customStyle="1" w:styleId="225">
    <w:name w:val="文档正文"/>
    <w:basedOn w:val="1"/>
    <w:qFormat/>
    <w:uiPriority w:val="0"/>
    <w:pPr>
      <w:widowControl/>
      <w:adjustRightInd w:val="0"/>
      <w:spacing w:line="360" w:lineRule="auto"/>
      <w:ind w:firstLine="540"/>
      <w:jc w:val="left"/>
      <w:textAlignment w:val="baseline"/>
    </w:pPr>
    <w:rPr>
      <w:rFonts w:ascii="宋体" w:hAnsi="宋体"/>
      <w:kern w:val="0"/>
      <w:sz w:val="24"/>
      <w:szCs w:val="20"/>
    </w:rPr>
  </w:style>
  <w:style w:type="paragraph" w:customStyle="1" w:styleId="226">
    <w:name w:val="Figure"/>
    <w:basedOn w:val="1"/>
    <w:next w:val="138"/>
    <w:qFormat/>
    <w:uiPriority w:val="0"/>
    <w:pPr>
      <w:keepNext/>
      <w:widowControl/>
      <w:snapToGrid w:val="0"/>
      <w:spacing w:before="80" w:after="80" w:line="300" w:lineRule="auto"/>
      <w:jc w:val="center"/>
    </w:pPr>
    <w:rPr>
      <w:rFonts w:ascii="Arial" w:hAnsi="Arial" w:cs="Arial"/>
      <w:kern w:val="0"/>
      <w:szCs w:val="21"/>
    </w:rPr>
  </w:style>
  <w:style w:type="paragraph" w:customStyle="1" w:styleId="22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228">
    <w:name w:val="Char Char Char1 Char Char Char Char Char Char Char Char Char Char Char Char Char Char Char Char Char Char Char"/>
    <w:basedOn w:val="1"/>
    <w:next w:val="3"/>
    <w:qFormat/>
    <w:uiPriority w:val="0"/>
    <w:rPr>
      <w:szCs w:val="24"/>
    </w:rPr>
  </w:style>
  <w:style w:type="paragraph" w:customStyle="1" w:styleId="229">
    <w:name w:val="1"/>
    <w:basedOn w:val="1"/>
    <w:next w:val="1"/>
    <w:qFormat/>
    <w:uiPriority w:val="39"/>
    <w:pPr>
      <w:ind w:left="1260" w:leftChars="600"/>
    </w:pPr>
    <w:rPr>
      <w:szCs w:val="24"/>
    </w:rPr>
  </w:style>
  <w:style w:type="paragraph" w:customStyle="1" w:styleId="23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31">
    <w:name w:val="Char Char Char Char Char Char1 Char"/>
    <w:basedOn w:val="1"/>
    <w:qFormat/>
    <w:uiPriority w:val="0"/>
    <w:rPr>
      <w:szCs w:val="24"/>
    </w:rPr>
  </w:style>
  <w:style w:type="paragraph" w:customStyle="1" w:styleId="232">
    <w:name w:val="Absatz2AL"/>
    <w:basedOn w:val="21"/>
    <w:next w:val="1"/>
    <w:qFormat/>
    <w:uiPriority w:val="0"/>
    <w:pPr>
      <w:widowControl/>
      <w:overflowPunct w:val="0"/>
      <w:autoSpaceDE w:val="0"/>
      <w:autoSpaceDN w:val="0"/>
      <w:adjustRightInd w:val="0"/>
      <w:spacing w:line="360" w:lineRule="auto"/>
    </w:pPr>
    <w:rPr>
      <w:rFonts w:ascii="宋体" w:hAnsi="等线"/>
      <w:kern w:val="0"/>
      <w:sz w:val="24"/>
      <w:lang w:val="de-DE"/>
    </w:rPr>
  </w:style>
  <w:style w:type="paragraph" w:customStyle="1" w:styleId="233">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34">
    <w:name w:val="Dimine-正文段落"/>
    <w:basedOn w:val="1"/>
    <w:qFormat/>
    <w:uiPriority w:val="0"/>
    <w:pPr>
      <w:spacing w:line="360" w:lineRule="auto"/>
      <w:ind w:firstLine="435"/>
      <w:jc w:val="left"/>
    </w:pPr>
    <w:rPr>
      <w:sz w:val="24"/>
      <w:szCs w:val="24"/>
    </w:rPr>
  </w:style>
  <w:style w:type="paragraph" w:customStyle="1" w:styleId="23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36">
    <w:name w:val="封面标题2"/>
    <w:basedOn w:val="1"/>
    <w:qFormat/>
    <w:uiPriority w:val="99"/>
    <w:pPr>
      <w:widowControl/>
      <w:spacing w:line="408" w:lineRule="auto"/>
      <w:jc w:val="center"/>
    </w:pPr>
    <w:rPr>
      <w:rFonts w:ascii="Cambria" w:hAnsi="Cambria" w:cs="宋体"/>
      <w:color w:val="000000"/>
      <w:sz w:val="32"/>
      <w:szCs w:val="24"/>
    </w:rPr>
  </w:style>
  <w:style w:type="paragraph" w:customStyle="1" w:styleId="237">
    <w:name w:val="列出段落2"/>
    <w:basedOn w:val="1"/>
    <w:qFormat/>
    <w:uiPriority w:val="99"/>
    <w:pPr>
      <w:ind w:firstLine="420" w:firstLineChars="200"/>
    </w:pPr>
    <w:rPr>
      <w:szCs w:val="24"/>
    </w:rPr>
  </w:style>
  <w:style w:type="paragraph" w:customStyle="1" w:styleId="238">
    <w:name w:val="列举2"/>
    <w:basedOn w:val="239"/>
    <w:qFormat/>
    <w:uiPriority w:val="0"/>
  </w:style>
  <w:style w:type="paragraph" w:customStyle="1" w:styleId="239">
    <w:name w:val="列举分"/>
    <w:basedOn w:val="161"/>
    <w:qFormat/>
    <w:uiPriority w:val="0"/>
    <w:pPr>
      <w:spacing w:before="120" w:after="120"/>
      <w:ind w:left="420" w:hanging="420"/>
    </w:pPr>
    <w:rPr>
      <w:rFonts w:eastAsia="等线"/>
      <w:color w:val="auto"/>
      <w:sz w:val="22"/>
      <w:lang w:val="en-US"/>
    </w:rPr>
  </w:style>
  <w:style w:type="paragraph" w:customStyle="1" w:styleId="240">
    <w:name w:val="tabletext"/>
    <w:basedOn w:val="1"/>
    <w:qFormat/>
    <w:uiPriority w:val="0"/>
    <w:pPr>
      <w:widowControl/>
      <w:spacing w:line="300" w:lineRule="atLeast"/>
      <w:jc w:val="left"/>
    </w:pPr>
    <w:rPr>
      <w:rFonts w:ascii="宋体" w:hAnsi="宋体" w:cs="宋体"/>
      <w:kern w:val="0"/>
      <w:sz w:val="18"/>
      <w:szCs w:val="18"/>
    </w:rPr>
  </w:style>
  <w:style w:type="paragraph" w:customStyle="1" w:styleId="241">
    <w:name w:val="Char Char Char1 Char Char Char Char Char Char Char Char Char Char Char Char Char Char Char Char Char Char Char1"/>
    <w:basedOn w:val="1"/>
    <w:next w:val="23"/>
    <w:qFormat/>
    <w:uiPriority w:val="0"/>
    <w:rPr>
      <w:szCs w:val="24"/>
    </w:rPr>
  </w:style>
  <w:style w:type="paragraph" w:customStyle="1" w:styleId="242">
    <w:name w:val="Char Char Char Char Char Char"/>
    <w:basedOn w:val="1"/>
    <w:qFormat/>
    <w:uiPriority w:val="0"/>
    <w:pPr>
      <w:tabs>
        <w:tab w:val="right" w:pos="-2120"/>
      </w:tabs>
      <w:snapToGrid w:val="0"/>
    </w:pPr>
    <w:rPr>
      <w:rFonts w:ascii="Tahoma" w:hAnsi="Tahoma"/>
      <w:spacing w:val="6"/>
      <w:sz w:val="24"/>
      <w:szCs w:val="20"/>
    </w:rPr>
  </w:style>
  <w:style w:type="paragraph" w:customStyle="1" w:styleId="243">
    <w:name w:val="纯文本1"/>
    <w:basedOn w:val="1"/>
    <w:qFormat/>
    <w:uiPriority w:val="0"/>
    <w:pPr>
      <w:adjustRightInd w:val="0"/>
      <w:textAlignment w:val="baseline"/>
    </w:pPr>
    <w:rPr>
      <w:rFonts w:ascii="宋体" w:hAnsi="Calibri"/>
    </w:rPr>
  </w:style>
  <w:style w:type="paragraph" w:customStyle="1" w:styleId="244">
    <w:name w:val="Char Char37 Char Char"/>
    <w:basedOn w:val="1"/>
    <w:qFormat/>
    <w:uiPriority w:val="0"/>
    <w:rPr>
      <w:szCs w:val="24"/>
    </w:rPr>
  </w:style>
  <w:style w:type="paragraph" w:customStyle="1" w:styleId="245">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246">
    <w:name w:val="Item Step"/>
    <w:basedOn w:val="1"/>
    <w:qFormat/>
    <w:uiPriority w:val="0"/>
    <w:pPr>
      <w:widowControl/>
      <w:tabs>
        <w:tab w:val="left" w:pos="482"/>
      </w:tabs>
      <w:snapToGrid w:val="0"/>
      <w:spacing w:before="80" w:after="80" w:line="300" w:lineRule="auto"/>
      <w:ind w:left="737" w:hanging="397"/>
    </w:pPr>
    <w:rPr>
      <w:rFonts w:ascii="Arial" w:hAnsi="Arial" w:cs="Arial"/>
      <w:kern w:val="0"/>
      <w:szCs w:val="21"/>
    </w:rPr>
  </w:style>
  <w:style w:type="paragraph" w:customStyle="1" w:styleId="247">
    <w:name w:val="文字 Char Char Char Char"/>
    <w:basedOn w:val="1"/>
    <w:qFormat/>
    <w:uiPriority w:val="0"/>
    <w:pPr>
      <w:tabs>
        <w:tab w:val="left" w:pos="8520"/>
      </w:tabs>
      <w:spacing w:line="312" w:lineRule="auto"/>
      <w:ind w:right="-210" w:firstLine="556"/>
    </w:pPr>
    <w:rPr>
      <w:rFonts w:ascii="宋体"/>
      <w:sz w:val="28"/>
      <w:szCs w:val="20"/>
    </w:rPr>
  </w:style>
  <w:style w:type="paragraph" w:customStyle="1" w:styleId="248">
    <w:name w:val="正文1"/>
    <w:basedOn w:val="1"/>
    <w:qFormat/>
    <w:uiPriority w:val="0"/>
    <w:pPr>
      <w:widowControl/>
      <w:topLinePunct/>
      <w:spacing w:before="156" w:beforeLines="50" w:after="156" w:afterLines="50" w:line="300" w:lineRule="auto"/>
      <w:ind w:left="420"/>
    </w:pPr>
    <w:rPr>
      <w:szCs w:val="24"/>
    </w:rPr>
  </w:style>
  <w:style w:type="paragraph" w:customStyle="1" w:styleId="249">
    <w:name w:val="font8"/>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50">
    <w:name w:val="列举项"/>
    <w:basedOn w:val="209"/>
    <w:qFormat/>
    <w:uiPriority w:val="0"/>
    <w:pPr>
      <w:widowControl/>
      <w:numPr>
        <w:ilvl w:val="0"/>
        <w:numId w:val="4"/>
      </w:numPr>
      <w:tabs>
        <w:tab w:val="left" w:pos="360"/>
        <w:tab w:val="clear" w:pos="1020"/>
      </w:tabs>
      <w:spacing w:after="200" w:line="276" w:lineRule="auto"/>
      <w:ind w:left="0" w:firstLine="0" w:firstLineChars="0"/>
      <w:contextualSpacing/>
      <w:jc w:val="left"/>
    </w:pPr>
    <w:rPr>
      <w:rFonts w:ascii="Arial" w:hAnsi="Arial" w:cs="Arial"/>
      <w:b/>
      <w:kern w:val="0"/>
      <w:sz w:val="22"/>
      <w:lang w:val="zh-CN" w:eastAsia="de-DE"/>
    </w:rPr>
  </w:style>
  <w:style w:type="paragraph" w:customStyle="1" w:styleId="251">
    <w:name w:val="MM Topic 1"/>
    <w:basedOn w:val="4"/>
    <w:qFormat/>
    <w:uiPriority w:val="0"/>
    <w:pPr>
      <w:tabs>
        <w:tab w:val="left" w:pos="1932"/>
      </w:tabs>
      <w:spacing w:line="360" w:lineRule="auto"/>
      <w:ind w:left="141"/>
    </w:pPr>
    <w:rPr>
      <w:sz w:val="32"/>
      <w:lang w:val="zh-CN"/>
    </w:rPr>
  </w:style>
  <w:style w:type="paragraph" w:customStyle="1" w:styleId="252">
    <w:name w:val="GP正文(首行缩进)"/>
    <w:basedOn w:val="1"/>
    <w:qFormat/>
    <w:uiPriority w:val="0"/>
    <w:pPr>
      <w:spacing w:line="360" w:lineRule="auto"/>
      <w:ind w:firstLine="200" w:firstLineChars="200"/>
      <w:jc w:val="left"/>
    </w:pPr>
    <w:rPr>
      <w:szCs w:val="21"/>
    </w:rPr>
  </w:style>
  <w:style w:type="paragraph" w:customStyle="1" w:styleId="253">
    <w:name w:val="正文12"/>
    <w:qFormat/>
    <w:uiPriority w:val="0"/>
    <w:pPr>
      <w:widowControl w:val="0"/>
      <w:jc w:val="both"/>
    </w:pPr>
    <w:rPr>
      <w:rFonts w:ascii="Times New Roman" w:hAnsi="Times New Roman" w:eastAsia="Times New Roman" w:cs="Times New Roman"/>
      <w:kern w:val="2"/>
      <w:sz w:val="21"/>
      <w:szCs w:val="22"/>
      <w:lang w:val="en-US" w:eastAsia="zh-CN" w:bidi="ar-SA"/>
    </w:rPr>
  </w:style>
  <w:style w:type="paragraph" w:customStyle="1" w:styleId="254">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pPr>
    <w:rPr>
      <w:rFonts w:ascii="宋体" w:hAnsi="宋体" w:cs="宋体"/>
      <w:kern w:val="0"/>
      <w:sz w:val="24"/>
      <w:szCs w:val="24"/>
    </w:rPr>
  </w:style>
  <w:style w:type="paragraph" w:customStyle="1" w:styleId="255">
    <w:name w:val="Char Char Char"/>
    <w:basedOn w:val="1"/>
    <w:qFormat/>
    <w:uiPriority w:val="0"/>
    <w:rPr>
      <w:rFonts w:ascii="Tahoma" w:hAnsi="Tahoma"/>
      <w:sz w:val="24"/>
      <w:szCs w:val="20"/>
    </w:rPr>
  </w:style>
  <w:style w:type="paragraph" w:customStyle="1" w:styleId="256">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szCs w:val="24"/>
    </w:rPr>
  </w:style>
  <w:style w:type="paragraph" w:customStyle="1" w:styleId="257">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258">
    <w:name w:val="Char1 Char Char Char Char Char Char Char"/>
    <w:basedOn w:val="1"/>
    <w:qFormat/>
    <w:uiPriority w:val="0"/>
    <w:rPr>
      <w:rFonts w:ascii="Tahoma" w:hAnsi="Tahoma"/>
      <w:sz w:val="24"/>
      <w:szCs w:val="20"/>
    </w:rPr>
  </w:style>
  <w:style w:type="paragraph" w:customStyle="1" w:styleId="259">
    <w:name w:val="tabledescription"/>
    <w:basedOn w:val="1"/>
    <w:qFormat/>
    <w:uiPriority w:val="0"/>
    <w:pPr>
      <w:widowControl/>
      <w:spacing w:line="300" w:lineRule="atLeast"/>
      <w:jc w:val="left"/>
    </w:pPr>
    <w:rPr>
      <w:rFonts w:ascii="宋体" w:hAnsi="宋体" w:cs="宋体"/>
      <w:kern w:val="0"/>
      <w:sz w:val="18"/>
      <w:szCs w:val="18"/>
    </w:rPr>
  </w:style>
  <w:style w:type="paragraph" w:customStyle="1" w:styleId="260">
    <w:name w:val="Char11"/>
    <w:basedOn w:val="1"/>
    <w:qFormat/>
    <w:uiPriority w:val="0"/>
    <w:rPr>
      <w:szCs w:val="24"/>
    </w:rPr>
  </w:style>
  <w:style w:type="paragraph" w:customStyle="1" w:styleId="261">
    <w:name w:val="Bullet List 1"/>
    <w:qFormat/>
    <w:uiPriority w:val="0"/>
    <w:pPr>
      <w:numPr>
        <w:ilvl w:val="0"/>
        <w:numId w:val="5"/>
      </w:numPr>
      <w:tabs>
        <w:tab w:val="left" w:pos="360"/>
      </w:tabs>
      <w:spacing w:before="120" w:after="120"/>
      <w:ind w:left="360"/>
    </w:pPr>
    <w:rPr>
      <w:rFonts w:ascii="Arial" w:hAnsi="Arial" w:eastAsia="PMingLiU" w:cs="Arial"/>
      <w:lang w:val="en-GB" w:eastAsia="en-US" w:bidi="ar-SA"/>
    </w:rPr>
  </w:style>
  <w:style w:type="paragraph" w:customStyle="1" w:styleId="262">
    <w:name w:val="默认段落字体 Para Char Char Char Char Char Char Char"/>
    <w:basedOn w:val="1"/>
    <w:qFormat/>
    <w:uiPriority w:val="0"/>
    <w:pPr>
      <w:tabs>
        <w:tab w:val="right" w:pos="-2120"/>
      </w:tabs>
      <w:snapToGrid w:val="0"/>
    </w:pPr>
    <w:rPr>
      <w:rFonts w:ascii="Tahoma" w:hAnsi="Tahoma"/>
      <w:spacing w:val="6"/>
      <w:sz w:val="24"/>
      <w:szCs w:val="20"/>
    </w:rPr>
  </w:style>
  <w:style w:type="paragraph" w:customStyle="1" w:styleId="263">
    <w:name w:val="正文式样1"/>
    <w:basedOn w:val="1"/>
    <w:qFormat/>
    <w:uiPriority w:val="99"/>
    <w:pPr>
      <w:spacing w:beforeLines="50" w:afterLines="50" w:line="360" w:lineRule="auto"/>
      <w:ind w:firstLine="480" w:firstLineChars="200"/>
    </w:pPr>
    <w:rPr>
      <w:sz w:val="24"/>
      <w:szCs w:val="20"/>
    </w:rPr>
  </w:style>
  <w:style w:type="paragraph" w:customStyle="1" w:styleId="264">
    <w:name w:val="正文(首行缩进两字)"/>
    <w:basedOn w:val="1"/>
    <w:next w:val="27"/>
    <w:qFormat/>
    <w:uiPriority w:val="0"/>
    <w:pPr>
      <w:spacing w:line="360" w:lineRule="auto"/>
      <w:ind w:firstLine="420"/>
    </w:pPr>
    <w:rPr>
      <w:rFonts w:ascii="宋体"/>
      <w:sz w:val="24"/>
      <w:szCs w:val="21"/>
    </w:rPr>
  </w:style>
  <w:style w:type="paragraph" w:customStyle="1" w:styleId="265">
    <w:name w:val="列举详述"/>
    <w:basedOn w:val="40"/>
    <w:qFormat/>
    <w:uiPriority w:val="0"/>
    <w:pPr>
      <w:widowControl/>
      <w:spacing w:after="225"/>
      <w:ind w:left="567" w:right="45" w:firstLine="440" w:firstLineChars="200"/>
      <w:jc w:val="left"/>
    </w:pPr>
    <w:rPr>
      <w:rFonts w:ascii="宋体" w:hAnsi="宋体" w:eastAsia="Arial" w:cs="Arial"/>
      <w:kern w:val="0"/>
      <w:sz w:val="22"/>
      <w:szCs w:val="22"/>
    </w:rPr>
  </w:style>
  <w:style w:type="paragraph" w:customStyle="1" w:styleId="266">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center"/>
    </w:pPr>
    <w:rPr>
      <w:rFonts w:ascii="宋体" w:hAnsi="宋体" w:cs="宋体"/>
      <w:kern w:val="0"/>
      <w:sz w:val="24"/>
      <w:szCs w:val="24"/>
    </w:rPr>
  </w:style>
  <w:style w:type="paragraph" w:customStyle="1" w:styleId="267">
    <w:name w:val="IN Feature"/>
    <w:basedOn w:val="1"/>
    <w:qFormat/>
    <w:uiPriority w:val="0"/>
    <w:pPr>
      <w:widowControl/>
      <w:snapToGrid w:val="0"/>
      <w:spacing w:before="80" w:after="80" w:line="300" w:lineRule="auto"/>
    </w:pPr>
    <w:rPr>
      <w:rFonts w:ascii="Arial" w:hAnsi="Arial" w:cs="Arial"/>
      <w:kern w:val="0"/>
      <w:szCs w:val="21"/>
    </w:rPr>
  </w:style>
  <w:style w:type="paragraph" w:customStyle="1" w:styleId="268">
    <w:name w:val="Table Description"/>
    <w:next w:val="1"/>
    <w:qFormat/>
    <w:uiPriority w:val="0"/>
    <w:pPr>
      <w:keepNext/>
      <w:snapToGrid w:val="0"/>
      <w:spacing w:before="160" w:after="80"/>
      <w:jc w:val="center"/>
    </w:pPr>
    <w:rPr>
      <w:rFonts w:ascii="Arial" w:hAnsi="Arial" w:eastAsia="黑体" w:cs="Arial"/>
      <w:sz w:val="18"/>
      <w:szCs w:val="18"/>
      <w:lang w:val="en-US" w:eastAsia="zh-CN" w:bidi="ar-SA"/>
    </w:rPr>
  </w:style>
  <w:style w:type="paragraph" w:customStyle="1" w:styleId="269">
    <w:name w:val="TOC Heading1"/>
    <w:basedOn w:val="4"/>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70">
    <w:name w:val="正文首行缩进_0"/>
    <w:basedOn w:val="271"/>
    <w:qFormat/>
    <w:uiPriority w:val="0"/>
    <w:pPr>
      <w:tabs>
        <w:tab w:val="left" w:pos="1078"/>
        <w:tab w:val="left" w:pos="1638"/>
        <w:tab w:val="left" w:pos="3920"/>
        <w:tab w:val="left" w:pos="5670"/>
      </w:tabs>
      <w:adjustRightInd w:val="0"/>
      <w:spacing w:after="60" w:line="312" w:lineRule="auto"/>
      <w:ind w:firstLine="567"/>
    </w:pPr>
    <w:rPr>
      <w:rFonts w:ascii="Arial" w:hAnsi="Arial"/>
      <w:kern w:val="0"/>
      <w:sz w:val="28"/>
    </w:rPr>
  </w:style>
  <w:style w:type="paragraph" w:customStyle="1" w:styleId="271">
    <w:name w:val="正文_1"/>
    <w:next w:val="27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72">
    <w:name w:val="引文目录_1"/>
    <w:basedOn w:val="271"/>
    <w:next w:val="271"/>
    <w:unhideWhenUsed/>
    <w:qFormat/>
    <w:uiPriority w:val="99"/>
    <w:pPr>
      <w:ind w:left="420" w:leftChars="200"/>
    </w:pPr>
  </w:style>
  <w:style w:type="paragraph" w:customStyle="1" w:styleId="273">
    <w:name w:val="Char"/>
    <w:basedOn w:val="1"/>
    <w:qFormat/>
    <w:uiPriority w:val="0"/>
    <w:pPr>
      <w:widowControl/>
      <w:spacing w:after="160" w:line="240" w:lineRule="exact"/>
      <w:jc w:val="left"/>
    </w:pPr>
    <w:rPr>
      <w:rFonts w:ascii="Verdana" w:hAnsi="Verdana"/>
      <w:snapToGrid w:val="0"/>
      <w:kern w:val="0"/>
      <w:sz w:val="20"/>
      <w:szCs w:val="20"/>
      <w:lang w:eastAsia="en-US"/>
    </w:rPr>
  </w:style>
  <w:style w:type="paragraph" w:customStyle="1" w:styleId="274">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5">
    <w:name w:val="页眉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lang w:val="en-US" w:eastAsia="zh-CN" w:bidi="ar-SA"/>
    </w:rPr>
  </w:style>
  <w:style w:type="paragraph" w:customStyle="1" w:styleId="276">
    <w:name w:val="Heading"/>
    <w:basedOn w:val="1"/>
    <w:qFormat/>
    <w:uiPriority w:val="0"/>
    <w:pPr>
      <w:widowControl/>
      <w:snapToGrid w:val="0"/>
      <w:spacing w:before="80" w:after="80"/>
      <w:jc w:val="center"/>
    </w:pPr>
    <w:rPr>
      <w:rFonts w:ascii="Arial" w:hAnsi="Arial" w:eastAsia="黑体" w:cs="宋体"/>
      <w:bCs/>
      <w:kern w:val="0"/>
      <w:sz w:val="24"/>
      <w:szCs w:val="21"/>
    </w:rPr>
  </w:style>
  <w:style w:type="paragraph" w:customStyle="1" w:styleId="277">
    <w:name w:val="一级条标题"/>
    <w:basedOn w:val="1"/>
    <w:next w:val="1"/>
    <w:qFormat/>
    <w:uiPriority w:val="0"/>
    <w:pPr>
      <w:widowControl/>
      <w:spacing w:before="156" w:beforeLines="50" w:after="156" w:afterLines="50"/>
      <w:ind w:left="452"/>
      <w:outlineLvl w:val="2"/>
    </w:pPr>
    <w:rPr>
      <w:rFonts w:ascii="黑体" w:eastAsia="黑体"/>
      <w:kern w:val="0"/>
      <w:szCs w:val="20"/>
    </w:rPr>
  </w:style>
  <w:style w:type="paragraph" w:customStyle="1" w:styleId="278">
    <w:name w:val="样式 四号 左侧:  0.19 厘米 行距: 固定值 26 磅"/>
    <w:basedOn w:val="1"/>
    <w:qFormat/>
    <w:uiPriority w:val="0"/>
    <w:pPr>
      <w:spacing w:before="156" w:beforeLines="50" w:line="540" w:lineRule="exact"/>
      <w:ind w:left="108" w:firstLine="560" w:firstLineChars="200"/>
    </w:pPr>
    <w:rPr>
      <w:rFonts w:cs="宋体"/>
      <w:sz w:val="28"/>
      <w:szCs w:val="20"/>
    </w:rPr>
  </w:style>
  <w:style w:type="paragraph" w:customStyle="1" w:styleId="279">
    <w:name w:val="图样式"/>
    <w:basedOn w:val="1"/>
    <w:qFormat/>
    <w:uiPriority w:val="0"/>
    <w:pPr>
      <w:keepNext/>
      <w:widowControl/>
      <w:spacing w:before="80" w:after="80"/>
      <w:jc w:val="center"/>
    </w:pPr>
    <w:rPr>
      <w:szCs w:val="20"/>
    </w:rPr>
  </w:style>
  <w:style w:type="paragraph" w:customStyle="1" w:styleId="280">
    <w:name w:val="Char Char Char1"/>
    <w:basedOn w:val="1"/>
    <w:qFormat/>
    <w:uiPriority w:val="0"/>
    <w:rPr>
      <w:rFonts w:ascii="Tahoma" w:hAnsi="Tahoma"/>
      <w:sz w:val="24"/>
      <w:szCs w:val="20"/>
    </w:rPr>
  </w:style>
  <w:style w:type="paragraph" w:customStyle="1" w:styleId="281">
    <w:name w:val="编号正文"/>
    <w:basedOn w:val="1"/>
    <w:qFormat/>
    <w:uiPriority w:val="0"/>
    <w:pPr>
      <w:numPr>
        <w:ilvl w:val="0"/>
        <w:numId w:val="6"/>
      </w:numPr>
      <w:tabs>
        <w:tab w:val="left" w:pos="2061"/>
      </w:tabs>
      <w:spacing w:before="120" w:after="120" w:line="360" w:lineRule="auto"/>
      <w:ind w:firstLine="0"/>
    </w:pPr>
    <w:rPr>
      <w:szCs w:val="20"/>
    </w:rPr>
  </w:style>
  <w:style w:type="paragraph" w:customStyle="1" w:styleId="28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283">
    <w:name w:val="tableheading"/>
    <w:basedOn w:val="1"/>
    <w:qFormat/>
    <w:uiPriority w:val="0"/>
    <w:pPr>
      <w:widowControl/>
      <w:spacing w:line="300" w:lineRule="atLeast"/>
      <w:jc w:val="left"/>
    </w:pPr>
    <w:rPr>
      <w:rFonts w:ascii="宋体" w:hAnsi="宋体" w:cs="宋体"/>
      <w:kern w:val="0"/>
      <w:sz w:val="18"/>
      <w:szCs w:val="18"/>
    </w:rPr>
  </w:style>
  <w:style w:type="paragraph" w:customStyle="1" w:styleId="284">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kern w:val="0"/>
      <w:sz w:val="24"/>
      <w:szCs w:val="24"/>
    </w:rPr>
  </w:style>
  <w:style w:type="paragraph" w:customStyle="1" w:styleId="285">
    <w:name w:val="a"/>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86">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287">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288">
    <w:name w:val="Ordered"/>
    <w:basedOn w:val="21"/>
    <w:qFormat/>
    <w:uiPriority w:val="0"/>
    <w:pPr>
      <w:widowControl/>
      <w:numPr>
        <w:ilvl w:val="0"/>
        <w:numId w:val="7"/>
      </w:numPr>
      <w:tabs>
        <w:tab w:val="left" w:pos="360"/>
      </w:tabs>
      <w:spacing w:before="120" w:after="120" w:line="276" w:lineRule="auto"/>
      <w:ind w:left="0" w:firstLine="0"/>
      <w:jc w:val="left"/>
    </w:pPr>
    <w:rPr>
      <w:rFonts w:ascii="Arial" w:hAnsi="Arial" w:eastAsia="PMingLiU"/>
      <w:kern w:val="0"/>
      <w:sz w:val="22"/>
      <w:szCs w:val="22"/>
      <w:lang w:eastAsia="en-US"/>
    </w:rPr>
  </w:style>
  <w:style w:type="paragraph" w:customStyle="1" w:styleId="289">
    <w:name w:val="_Style 288"/>
    <w:unhideWhenUsed/>
    <w:qFormat/>
    <w:uiPriority w:val="99"/>
    <w:rPr>
      <w:rFonts w:ascii="Times New Roman" w:hAnsi="Times New Roman" w:eastAsia="宋体" w:cs="Times New Roman"/>
      <w:kern w:val="2"/>
      <w:sz w:val="21"/>
      <w:lang w:val="en-US" w:eastAsia="zh-CN" w:bidi="ar-SA"/>
    </w:rPr>
  </w:style>
  <w:style w:type="paragraph" w:customStyle="1" w:styleId="290">
    <w:name w:val="文字"/>
    <w:basedOn w:val="1"/>
    <w:qFormat/>
    <w:uiPriority w:val="0"/>
    <w:pPr>
      <w:tabs>
        <w:tab w:val="left" w:pos="8520"/>
      </w:tabs>
      <w:spacing w:line="312" w:lineRule="auto"/>
      <w:ind w:right="-210" w:firstLine="556"/>
    </w:pPr>
    <w:rPr>
      <w:rFonts w:ascii="楷体_GB2312" w:eastAsia="楷体_GB2312"/>
      <w:sz w:val="28"/>
      <w:szCs w:val="20"/>
    </w:rPr>
  </w:style>
  <w:style w:type="paragraph" w:customStyle="1" w:styleId="291">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292">
    <w:name w:val="font11"/>
    <w:basedOn w:val="1"/>
    <w:qFormat/>
    <w:uiPriority w:val="0"/>
    <w:pPr>
      <w:widowControl/>
      <w:spacing w:before="100" w:beforeAutospacing="1" w:after="100" w:afterAutospacing="1"/>
      <w:jc w:val="left"/>
    </w:pPr>
    <w:rPr>
      <w:rFonts w:ascii="宋体" w:hAnsi="宋体" w:cs="宋体"/>
      <w:color w:val="808080"/>
      <w:kern w:val="0"/>
      <w:sz w:val="20"/>
      <w:szCs w:val="20"/>
    </w:rPr>
  </w:style>
  <w:style w:type="paragraph" w:customStyle="1" w:styleId="293">
    <w:name w:val="Char12"/>
    <w:basedOn w:val="1"/>
    <w:qFormat/>
    <w:uiPriority w:val="0"/>
    <w:rPr>
      <w:rFonts w:ascii="Tahoma" w:hAnsi="Tahoma"/>
      <w:sz w:val="24"/>
      <w:szCs w:val="20"/>
    </w:rPr>
  </w:style>
  <w:style w:type="paragraph" w:customStyle="1" w:styleId="294">
    <w:name w:val="图注"/>
    <w:basedOn w:val="1"/>
    <w:qFormat/>
    <w:uiPriority w:val="0"/>
    <w:pPr>
      <w:widowControl/>
      <w:spacing w:before="120" w:after="120"/>
      <w:ind w:firstLine="454"/>
      <w:jc w:val="center"/>
    </w:pPr>
    <w:rPr>
      <w:rFonts w:ascii="Arial" w:hAnsi="Arial" w:eastAsia="华文楷体" w:cs="Arial"/>
      <w:kern w:val="0"/>
      <w:sz w:val="22"/>
      <w:szCs w:val="20"/>
    </w:rPr>
  </w:style>
  <w:style w:type="paragraph" w:customStyle="1" w:styleId="295">
    <w:name w:val="a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96">
    <w:name w:val="Table"/>
    <w:basedOn w:val="1"/>
    <w:qFormat/>
    <w:uiPriority w:val="0"/>
    <w:pPr>
      <w:widowControl/>
      <w:spacing w:before="40" w:after="40"/>
      <w:jc w:val="left"/>
    </w:pPr>
    <w:rPr>
      <w:rFonts w:ascii="Arial" w:hAnsi="Arial"/>
      <w:kern w:val="0"/>
      <w:sz w:val="20"/>
      <w:szCs w:val="20"/>
    </w:rPr>
  </w:style>
  <w:style w:type="paragraph" w:customStyle="1" w:styleId="297">
    <w:name w:val="Cover page"/>
    <w:basedOn w:val="1"/>
    <w:qFormat/>
    <w:uiPriority w:val="0"/>
    <w:pPr>
      <w:widowControl/>
      <w:jc w:val="left"/>
    </w:pPr>
    <w:rPr>
      <w:rFonts w:ascii="Arial Bold" w:hAnsi="Arial Bold" w:cs="Arial"/>
      <w:b/>
      <w:bCs/>
      <w:color w:val="999999"/>
      <w:kern w:val="32"/>
      <w:sz w:val="52"/>
      <w:szCs w:val="52"/>
      <w:lang w:eastAsia="de-DE"/>
    </w:rPr>
  </w:style>
  <w:style w:type="paragraph" w:customStyle="1" w:styleId="298">
    <w:name w:val="二级条标题"/>
    <w:basedOn w:val="277"/>
    <w:next w:val="1"/>
    <w:qFormat/>
    <w:uiPriority w:val="0"/>
    <w:pPr>
      <w:tabs>
        <w:tab w:val="left" w:pos="360"/>
        <w:tab w:val="left" w:pos="1880"/>
      </w:tabs>
      <w:ind w:left="1880" w:hanging="420"/>
      <w:outlineLvl w:val="3"/>
    </w:pPr>
  </w:style>
  <w:style w:type="paragraph" w:customStyle="1" w:styleId="299">
    <w:name w:val="标题 2（绿盟科技）"/>
    <w:basedOn w:val="2"/>
    <w:next w:val="1"/>
    <w:qFormat/>
    <w:uiPriority w:val="0"/>
    <w:pPr>
      <w:tabs>
        <w:tab w:val="left" w:pos="576"/>
      </w:tabs>
      <w:spacing w:line="415" w:lineRule="auto"/>
      <w:ind w:left="794" w:hanging="794"/>
      <w:jc w:val="left"/>
    </w:pPr>
    <w:rPr>
      <w:bCs w:val="0"/>
      <w:kern w:val="2"/>
    </w:rPr>
  </w:style>
  <w:style w:type="paragraph" w:customStyle="1" w:styleId="300">
    <w:name w:val="标准正文"/>
    <w:basedOn w:val="1"/>
    <w:qFormat/>
    <w:uiPriority w:val="0"/>
    <w:pPr>
      <w:adjustRightInd w:val="0"/>
      <w:spacing w:before="120" w:line="400" w:lineRule="atLeast"/>
      <w:ind w:firstLine="576"/>
      <w:jc w:val="left"/>
      <w:textAlignment w:val="baseline"/>
    </w:pPr>
    <w:rPr>
      <w:rFonts w:ascii="宋体" w:eastAsia="楷体_GB2312"/>
      <w:kern w:val="0"/>
      <w:sz w:val="28"/>
      <w:szCs w:val="20"/>
    </w:rPr>
  </w:style>
  <w:style w:type="paragraph" w:customStyle="1" w:styleId="301">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0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0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304">
    <w:name w:val="Cover Page Heading"/>
    <w:basedOn w:val="1"/>
    <w:qFormat/>
    <w:uiPriority w:val="0"/>
    <w:pPr>
      <w:widowControl/>
      <w:jc w:val="left"/>
    </w:pPr>
    <w:rPr>
      <w:rFonts w:ascii="Arial" w:hAnsi="Arial" w:cs="Arial"/>
      <w:b/>
      <w:color w:val="999999"/>
      <w:spacing w:val="-8"/>
      <w:kern w:val="28"/>
      <w:sz w:val="52"/>
      <w:szCs w:val="52"/>
      <w:lang w:eastAsia="de-DE"/>
    </w:rPr>
  </w:style>
  <w:style w:type="paragraph" w:customStyle="1" w:styleId="305">
    <w:name w:val="项目符号 1"/>
    <w:basedOn w:val="1"/>
    <w:qFormat/>
    <w:uiPriority w:val="0"/>
    <w:pPr>
      <w:autoSpaceDE w:val="0"/>
      <w:autoSpaceDN w:val="0"/>
      <w:adjustRightInd w:val="0"/>
      <w:spacing w:line="360" w:lineRule="auto"/>
      <w:ind w:left="928" w:hanging="361"/>
      <w:textAlignment w:val="baseline"/>
    </w:pPr>
    <w:rPr>
      <w:kern w:val="0"/>
      <w:szCs w:val="20"/>
    </w:rPr>
  </w:style>
  <w:style w:type="paragraph" w:customStyle="1" w:styleId="306">
    <w:name w:val="itemlist"/>
    <w:basedOn w:val="1"/>
    <w:qFormat/>
    <w:uiPriority w:val="0"/>
    <w:pPr>
      <w:widowControl/>
      <w:spacing w:before="100" w:beforeAutospacing="1" w:after="100" w:afterAutospacing="1" w:line="240" w:lineRule="atLeast"/>
      <w:jc w:val="left"/>
    </w:pPr>
    <w:rPr>
      <w:rFonts w:ascii="Arial Unicode MS" w:hAnsi="Arial Unicode MS"/>
      <w:kern w:val="0"/>
      <w:sz w:val="18"/>
      <w:szCs w:val="18"/>
    </w:rPr>
  </w:style>
  <w:style w:type="paragraph" w:customStyle="1" w:styleId="307">
    <w:name w:val="a3"/>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08">
    <w:name w:val="IN Step"/>
    <w:basedOn w:val="1"/>
    <w:qFormat/>
    <w:uiPriority w:val="0"/>
    <w:pPr>
      <w:widowControl/>
      <w:tabs>
        <w:tab w:val="left" w:pos="1134"/>
      </w:tabs>
      <w:snapToGrid w:val="0"/>
      <w:spacing w:before="80" w:after="80" w:line="300" w:lineRule="auto"/>
      <w:ind w:left="1134" w:hanging="907"/>
    </w:pPr>
    <w:rPr>
      <w:rFonts w:ascii="Arial" w:hAnsi="Arial" w:cs="Arial"/>
      <w:kern w:val="0"/>
      <w:szCs w:val="21"/>
    </w:rPr>
  </w:style>
  <w:style w:type="paragraph" w:customStyle="1" w:styleId="30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10">
    <w:name w:val="c-body"/>
    <w:basedOn w:val="1"/>
    <w:qFormat/>
    <w:uiPriority w:val="0"/>
    <w:pPr>
      <w:widowControl/>
      <w:spacing w:before="100" w:beforeAutospacing="1" w:after="100" w:afterAutospacing="1"/>
      <w:jc w:val="left"/>
    </w:pPr>
    <w:rPr>
      <w:rFonts w:ascii="Times" w:hAnsi="Times"/>
      <w:kern w:val="0"/>
      <w:sz w:val="20"/>
      <w:szCs w:val="20"/>
    </w:rPr>
  </w:style>
  <w:style w:type="paragraph" w:customStyle="1" w:styleId="311">
    <w:name w:val="正文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12">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jc w:val="left"/>
    </w:pPr>
    <w:rPr>
      <w:rFonts w:ascii="宋体" w:hAnsi="宋体" w:cs="宋体"/>
      <w:kern w:val="0"/>
      <w:sz w:val="24"/>
      <w:szCs w:val="24"/>
    </w:rPr>
  </w:style>
  <w:style w:type="paragraph" w:customStyle="1" w:styleId="313">
    <w:name w:val="Char1 Char Char Char Char Char Char"/>
    <w:basedOn w:val="1"/>
    <w:qFormat/>
    <w:uiPriority w:val="0"/>
    <w:pPr>
      <w:spacing w:line="360" w:lineRule="auto"/>
      <w:ind w:firstLine="200" w:firstLineChars="200"/>
    </w:pPr>
    <w:rPr>
      <w:rFonts w:ascii="宋体" w:cs="宋体"/>
      <w:sz w:val="24"/>
      <w:szCs w:val="24"/>
    </w:rPr>
  </w:style>
  <w:style w:type="paragraph" w:customStyle="1" w:styleId="314">
    <w:name w:val="标题 3（绿盟科技）"/>
    <w:basedOn w:val="5"/>
    <w:next w:val="1"/>
    <w:qFormat/>
    <w:uiPriority w:val="0"/>
    <w:pPr>
      <w:tabs>
        <w:tab w:val="left" w:pos="720"/>
        <w:tab w:val="left" w:pos="960"/>
      </w:tabs>
      <w:spacing w:line="415" w:lineRule="auto"/>
      <w:ind w:left="907" w:hanging="907"/>
      <w:jc w:val="left"/>
    </w:pPr>
    <w:rPr>
      <w:rFonts w:ascii="Arial" w:hAnsi="Arial" w:eastAsia="黑体"/>
      <w:bCs w:val="0"/>
      <w:kern w:val="0"/>
      <w:sz w:val="30"/>
      <w:szCs w:val="30"/>
      <w:lang w:val="zh-CN"/>
    </w:rPr>
  </w:style>
  <w:style w:type="paragraph" w:customStyle="1" w:styleId="31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6">
    <w:name w:val="Item List"/>
    <w:basedOn w:val="1"/>
    <w:qFormat/>
    <w:uiPriority w:val="0"/>
    <w:pPr>
      <w:widowControl/>
      <w:tabs>
        <w:tab w:val="left" w:pos="2126"/>
      </w:tabs>
      <w:overflowPunct w:val="0"/>
      <w:autoSpaceDE w:val="0"/>
      <w:autoSpaceDN w:val="0"/>
      <w:adjustRightInd w:val="0"/>
      <w:spacing w:line="300" w:lineRule="exact"/>
      <w:ind w:left="2126" w:hanging="425"/>
      <w:textAlignment w:val="baseline"/>
    </w:pPr>
    <w:rPr>
      <w:kern w:val="0"/>
      <w:szCs w:val="20"/>
    </w:rPr>
  </w:style>
  <w:style w:type="paragraph" w:customStyle="1" w:styleId="317">
    <w:name w:val="缩进正文"/>
    <w:basedOn w:val="1"/>
    <w:qFormat/>
    <w:uiPriority w:val="0"/>
    <w:pPr>
      <w:adjustRightInd w:val="0"/>
      <w:spacing w:before="100" w:after="100" w:line="360" w:lineRule="auto"/>
      <w:textAlignment w:val="baseline"/>
    </w:pPr>
    <w:rPr>
      <w:sz w:val="24"/>
      <w:szCs w:val="20"/>
    </w:rPr>
  </w:style>
  <w:style w:type="paragraph" w:customStyle="1" w:styleId="318">
    <w:name w:val="插图题注"/>
    <w:basedOn w:val="1"/>
    <w:next w:val="1"/>
    <w:qFormat/>
    <w:uiPriority w:val="0"/>
    <w:pPr>
      <w:numPr>
        <w:ilvl w:val="0"/>
        <w:numId w:val="8"/>
      </w:numPr>
      <w:tabs>
        <w:tab w:val="left" w:pos="3960"/>
      </w:tabs>
      <w:spacing w:after="240" w:afterLines="100"/>
      <w:jc w:val="center"/>
    </w:pPr>
    <w:rPr>
      <w:rFonts w:ascii="Arial" w:hAnsi="Arial"/>
      <w:sz w:val="18"/>
      <w:szCs w:val="18"/>
    </w:rPr>
  </w:style>
  <w:style w:type="paragraph" w:customStyle="1" w:styleId="319">
    <w:name w:val="VMWBodyText"/>
    <w:qFormat/>
    <w:uiPriority w:val="0"/>
    <w:pPr>
      <w:spacing w:after="160" w:line="288" w:lineRule="auto"/>
    </w:pPr>
    <w:rPr>
      <w:rFonts w:ascii="Arial" w:hAnsi="Arial" w:eastAsia="Calibri" w:cs="Times New Roman"/>
      <w:color w:val="000000"/>
      <w:sz w:val="21"/>
      <w:szCs w:val="22"/>
      <w:lang w:val="en-GB" w:eastAsia="en-US" w:bidi="ar-SA"/>
    </w:rPr>
  </w:style>
  <w:style w:type="paragraph" w:customStyle="1" w:styleId="320">
    <w:name w:val="font9"/>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321">
    <w:name w:val="节标题"/>
    <w:basedOn w:val="1"/>
    <w:qFormat/>
    <w:uiPriority w:val="0"/>
    <w:pPr>
      <w:widowControl/>
      <w:spacing w:before="50" w:beforeLines="50" w:after="50" w:afterLines="50" w:line="600" w:lineRule="exact"/>
      <w:jc w:val="left"/>
      <w:outlineLvl w:val="1"/>
    </w:pPr>
    <w:rPr>
      <w:rFonts w:ascii="Arial Narrow" w:hAnsi="Arial Narrow" w:eastAsia="华文中宋"/>
      <w:b/>
      <w:kern w:val="0"/>
      <w:sz w:val="32"/>
      <w:szCs w:val="24"/>
    </w:rPr>
  </w:style>
  <w:style w:type="paragraph" w:customStyle="1" w:styleId="322">
    <w:name w:val="Block Label"/>
    <w:basedOn w:val="1"/>
    <w:next w:val="1"/>
    <w:qFormat/>
    <w:uiPriority w:val="0"/>
    <w:pPr>
      <w:keepNext/>
      <w:keepLines/>
      <w:widowControl/>
      <w:topLinePunct/>
      <w:adjustRightInd w:val="0"/>
      <w:snapToGrid w:val="0"/>
      <w:spacing w:before="300" w:after="80" w:line="240" w:lineRule="atLeast"/>
      <w:jc w:val="left"/>
      <w:outlineLvl w:val="3"/>
    </w:pPr>
    <w:rPr>
      <w:rFonts w:ascii="Book Antiqua" w:hAnsi="Book Antiqua" w:eastAsia="黑体" w:cs="Book Antiqua"/>
      <w:bCs/>
      <w:kern w:val="0"/>
      <w:sz w:val="26"/>
      <w:szCs w:val="26"/>
    </w:rPr>
  </w:style>
  <w:style w:type="paragraph" w:customStyle="1" w:styleId="323">
    <w:name w:val="正"/>
    <w:basedOn w:val="1"/>
    <w:qFormat/>
    <w:uiPriority w:val="0"/>
    <w:pPr>
      <w:ind w:firstLine="525"/>
    </w:pPr>
    <w:rPr>
      <w:spacing w:val="20"/>
      <w:szCs w:val="20"/>
    </w:rPr>
  </w:style>
  <w:style w:type="paragraph" w:customStyle="1" w:styleId="324">
    <w:name w:val="5b_Body w/ bullets"/>
    <w:qFormat/>
    <w:uiPriority w:val="0"/>
    <w:pPr>
      <w:widowControl w:val="0"/>
      <w:tabs>
        <w:tab w:val="left" w:pos="302"/>
      </w:tabs>
      <w:suppressAutoHyphens/>
      <w:autoSpaceDE w:val="0"/>
      <w:autoSpaceDN w:val="0"/>
      <w:adjustRightInd w:val="0"/>
      <w:spacing w:after="60" w:line="230" w:lineRule="atLeast"/>
      <w:ind w:left="141"/>
      <w:textAlignment w:val="center"/>
    </w:pPr>
    <w:rPr>
      <w:rFonts w:ascii="Arial" w:hAnsi="Arial" w:eastAsia="宋体" w:cs="GothamNarrow-Light"/>
      <w:color w:val="000000"/>
      <w:sz w:val="18"/>
      <w:szCs w:val="18"/>
      <w:lang w:val="en-US" w:eastAsia="en-US" w:bidi="en-US"/>
    </w:rPr>
  </w:style>
  <w:style w:type="paragraph" w:customStyle="1" w:styleId="325">
    <w:name w:val="Fig. caption"/>
    <w:basedOn w:val="1"/>
    <w:qFormat/>
    <w:uiPriority w:val="0"/>
    <w:pPr>
      <w:widowControl/>
      <w:spacing w:before="120" w:after="120"/>
      <w:jc w:val="center"/>
    </w:pPr>
    <w:rPr>
      <w:rFonts w:ascii="Arial" w:hAnsi="Arial"/>
      <w:b/>
      <w:color w:val="333333"/>
      <w:kern w:val="0"/>
      <w:sz w:val="20"/>
      <w:szCs w:val="20"/>
      <w:lang w:val="de-DE" w:eastAsia="de-DE"/>
    </w:rPr>
  </w:style>
  <w:style w:type="paragraph" w:customStyle="1" w:styleId="326">
    <w:name w:val="footer Style"/>
    <w:basedOn w:val="1"/>
    <w:qFormat/>
    <w:uiPriority w:val="0"/>
    <w:pPr>
      <w:widowControl/>
    </w:pPr>
    <w:rPr>
      <w:rFonts w:ascii="Arial" w:hAnsi="Arial"/>
      <w:color w:val="333333"/>
      <w:kern w:val="0"/>
      <w:sz w:val="12"/>
      <w:szCs w:val="12"/>
      <w:lang w:val="en-GB" w:eastAsia="de-DE"/>
    </w:rPr>
  </w:style>
  <w:style w:type="paragraph" w:customStyle="1" w:styleId="327">
    <w:name w:val="Char Char2"/>
    <w:basedOn w:val="16"/>
    <w:qFormat/>
    <w:uiPriority w:val="0"/>
    <w:rPr>
      <w:rFonts w:ascii="Tahoma" w:hAnsi="Tahoma" w:eastAsia="等线"/>
      <w:sz w:val="24"/>
      <w:szCs w:val="24"/>
      <w:shd w:val="clear" w:color="auto" w:fill="auto"/>
    </w:rPr>
  </w:style>
  <w:style w:type="paragraph" w:customStyle="1" w:styleId="328">
    <w:name w:val="VMWHeading2"/>
    <w:next w:val="319"/>
    <w:qFormat/>
    <w:uiPriority w:val="0"/>
    <w:pPr>
      <w:keepNext/>
      <w:keepLines/>
      <w:spacing w:before="200" w:after="200" w:line="288" w:lineRule="auto"/>
      <w:outlineLvl w:val="1"/>
    </w:pPr>
    <w:rPr>
      <w:rFonts w:ascii="Arial" w:hAnsi="Arial" w:eastAsia="Calibri" w:cs="Times New Roman"/>
      <w:color w:val="1776B2"/>
      <w:sz w:val="28"/>
      <w:szCs w:val="22"/>
      <w:lang w:val="en-GB" w:eastAsia="en-US" w:bidi="ar-SA"/>
    </w:rPr>
  </w:style>
  <w:style w:type="paragraph" w:customStyle="1" w:styleId="329">
    <w:name w:val="TOC 标题1"/>
    <w:basedOn w:val="4"/>
    <w:next w:val="1"/>
    <w:qFormat/>
    <w:uiPriority w:val="39"/>
    <w:pPr>
      <w:widowControl/>
      <w:tabs>
        <w:tab w:val="left" w:pos="1932"/>
      </w:tabs>
      <w:spacing w:before="480" w:after="0" w:line="276" w:lineRule="auto"/>
      <w:jc w:val="left"/>
      <w:outlineLvl w:val="9"/>
    </w:pPr>
    <w:rPr>
      <w:rFonts w:ascii="Cambria" w:hAnsi="Cambria"/>
      <w:color w:val="365F91"/>
      <w:kern w:val="0"/>
      <w:sz w:val="28"/>
      <w:szCs w:val="28"/>
      <w:lang w:val="zh-CN"/>
    </w:rPr>
  </w:style>
  <w:style w:type="paragraph" w:customStyle="1" w:styleId="330">
    <w:name w:val="Char1"/>
    <w:basedOn w:val="1"/>
    <w:qFormat/>
    <w:uiPriority w:val="0"/>
    <w:rPr>
      <w:szCs w:val="24"/>
    </w:rPr>
  </w:style>
  <w:style w:type="paragraph" w:customStyle="1" w:styleId="331">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32">
    <w:name w:val="Char4 Char Char Char Char Char"/>
    <w:basedOn w:val="1"/>
    <w:qFormat/>
    <w:uiPriority w:val="0"/>
    <w:rPr>
      <w:rFonts w:ascii="Tahoma" w:hAnsi="Tahoma"/>
      <w:sz w:val="24"/>
      <w:szCs w:val="20"/>
    </w:rPr>
  </w:style>
  <w:style w:type="paragraph" w:customStyle="1" w:styleId="33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34">
    <w:name w:val="VMWHeading1"/>
    <w:next w:val="1"/>
    <w:qFormat/>
    <w:uiPriority w:val="0"/>
    <w:pPr>
      <w:pageBreakBefore/>
      <w:pBdr>
        <w:top w:val="single" w:color="004D6B" w:sz="8" w:space="1"/>
        <w:left w:val="single" w:color="004D6B" w:sz="8" w:space="4"/>
        <w:bottom w:val="single" w:color="004D6B" w:sz="8" w:space="1"/>
        <w:right w:val="single" w:color="004D6B" w:sz="8" w:space="4"/>
      </w:pBdr>
      <w:shd w:val="clear" w:color="auto" w:fill="004D6B"/>
      <w:spacing w:after="160" w:line="288" w:lineRule="auto"/>
      <w:outlineLvl w:val="0"/>
    </w:pPr>
    <w:rPr>
      <w:rFonts w:ascii="Arial" w:hAnsi="Arial" w:eastAsia="Calibri" w:cs="Times New Roman"/>
      <w:color w:val="FFFFFF"/>
      <w:sz w:val="36"/>
      <w:szCs w:val="22"/>
      <w:lang w:val="en-GB" w:eastAsia="en-US" w:bidi="ar-SA"/>
    </w:rPr>
  </w:style>
  <w:style w:type="paragraph" w:customStyle="1" w:styleId="335">
    <w:name w:val="VMWFCContact"/>
    <w:qFormat/>
    <w:uiPriority w:val="0"/>
    <w:pPr>
      <w:spacing w:line="288" w:lineRule="auto"/>
    </w:pPr>
    <w:rPr>
      <w:rFonts w:ascii="Arial" w:hAnsi="Arial" w:eastAsia="Calibri" w:cs="Times New Roman"/>
      <w:color w:val="1F497D"/>
      <w:sz w:val="24"/>
      <w:szCs w:val="22"/>
      <w:lang w:val="en-GB" w:eastAsia="en-US" w:bidi="ar-SA"/>
    </w:rPr>
  </w:style>
  <w:style w:type="paragraph" w:customStyle="1" w:styleId="336">
    <w:name w:val="font0"/>
    <w:basedOn w:val="1"/>
    <w:qFormat/>
    <w:uiPriority w:val="0"/>
    <w:pPr>
      <w:widowControl/>
      <w:spacing w:before="100" w:beforeAutospacing="1" w:after="100" w:afterAutospacing="1"/>
      <w:jc w:val="left"/>
    </w:pPr>
    <w:rPr>
      <w:rFonts w:ascii="宋体" w:hAnsi="宋体" w:cs="宋体"/>
      <w:color w:val="000000"/>
      <w:kern w:val="0"/>
      <w:sz w:val="22"/>
    </w:rPr>
  </w:style>
  <w:style w:type="paragraph" w:customStyle="1" w:styleId="33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3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39">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rPr>
  </w:style>
  <w:style w:type="paragraph" w:customStyle="1" w:styleId="340">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kern w:val="0"/>
      <w:sz w:val="24"/>
      <w:szCs w:val="24"/>
    </w:rPr>
  </w:style>
  <w:style w:type="paragraph" w:customStyle="1" w:styleId="341">
    <w:name w:val="Table Heading"/>
    <w:qFormat/>
    <w:uiPriority w:val="0"/>
    <w:pPr>
      <w:keepNext/>
      <w:snapToGrid w:val="0"/>
      <w:spacing w:before="80" w:after="80"/>
      <w:jc w:val="center"/>
    </w:pPr>
    <w:rPr>
      <w:rFonts w:ascii="Arial" w:hAnsi="Arial" w:eastAsia="黑体" w:cs="Arial"/>
      <w:sz w:val="18"/>
      <w:szCs w:val="18"/>
      <w:lang w:val="en-US" w:eastAsia="zh-CN" w:bidi="ar-SA"/>
    </w:rPr>
  </w:style>
  <w:style w:type="paragraph" w:customStyle="1" w:styleId="342">
    <w:name w:val="Char Char37 Char Char1"/>
    <w:basedOn w:val="1"/>
    <w:qFormat/>
    <w:uiPriority w:val="0"/>
    <w:rPr>
      <w:szCs w:val="24"/>
    </w:rPr>
  </w:style>
  <w:style w:type="paragraph" w:customStyle="1" w:styleId="343">
    <w:name w:val="font10"/>
    <w:basedOn w:val="1"/>
    <w:qFormat/>
    <w:uiPriority w:val="0"/>
    <w:pPr>
      <w:widowControl/>
      <w:spacing w:before="100" w:beforeAutospacing="1" w:after="100" w:afterAutospacing="1"/>
      <w:jc w:val="left"/>
    </w:pPr>
    <w:rPr>
      <w:rFonts w:ascii="Calibri" w:hAnsi="Calibri" w:cs="Calibri"/>
      <w:kern w:val="0"/>
      <w:sz w:val="20"/>
      <w:szCs w:val="20"/>
    </w:rPr>
  </w:style>
  <w:style w:type="paragraph" w:customStyle="1" w:styleId="344">
    <w:name w:val="列出段落1"/>
    <w:basedOn w:val="1"/>
    <w:qFormat/>
    <w:uiPriority w:val="34"/>
    <w:pPr>
      <w:ind w:firstLine="420" w:firstLineChars="200"/>
    </w:pPr>
  </w:style>
  <w:style w:type="paragraph" w:customStyle="1" w:styleId="345">
    <w:name w:val="样式 正文首行缩进 + 首行缩进:  2 字符"/>
    <w:basedOn w:val="43"/>
    <w:qFormat/>
    <w:uiPriority w:val="0"/>
    <w:pPr>
      <w:widowControl/>
      <w:autoSpaceDE w:val="0"/>
      <w:autoSpaceDN w:val="0"/>
      <w:adjustRightInd w:val="0"/>
      <w:spacing w:after="0" w:line="360" w:lineRule="auto"/>
      <w:ind w:firstLine="0"/>
      <w:textAlignment w:val="baseline"/>
    </w:pPr>
    <w:rPr>
      <w:rFonts w:eastAsia="等线"/>
      <w:kern w:val="0"/>
      <w:sz w:val="24"/>
      <w:lang w:val="zh-CN"/>
    </w:rPr>
  </w:style>
  <w:style w:type="character" w:customStyle="1" w:styleId="346">
    <w:name w:val="font31"/>
    <w:basedOn w:val="47"/>
    <w:qFormat/>
    <w:uiPriority w:val="0"/>
    <w:rPr>
      <w:rFonts w:ascii="Calibri" w:hAnsi="Calibri" w:cs="Calibri"/>
      <w:color w:val="000000"/>
      <w:sz w:val="22"/>
      <w:szCs w:val="22"/>
      <w:u w:val="none"/>
    </w:rPr>
  </w:style>
  <w:style w:type="character" w:customStyle="1" w:styleId="347">
    <w:name w:val="font41"/>
    <w:basedOn w:val="47"/>
    <w:qFormat/>
    <w:uiPriority w:val="0"/>
    <w:rPr>
      <w:rFonts w:hint="eastAsia" w:ascii="仿宋" w:hAnsi="仿宋" w:eastAsia="仿宋" w:cs="仿宋"/>
      <w:color w:val="000000"/>
      <w:sz w:val="22"/>
      <w:szCs w:val="22"/>
      <w:u w:val="none"/>
    </w:rPr>
  </w:style>
  <w:style w:type="character" w:customStyle="1" w:styleId="348">
    <w:name w:val="font21"/>
    <w:basedOn w:val="47"/>
    <w:qFormat/>
    <w:uiPriority w:val="0"/>
    <w:rPr>
      <w:rFonts w:hint="eastAsia" w:ascii="仿宋" w:hAnsi="仿宋" w:eastAsia="仿宋" w:cs="仿宋"/>
      <w:color w:val="000000"/>
      <w:sz w:val="21"/>
      <w:szCs w:val="21"/>
      <w:u w:val="none"/>
    </w:rPr>
  </w:style>
  <w:style w:type="paragraph" w:customStyle="1" w:styleId="349">
    <w:name w:val="Normal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350">
    <w:name w:val="Normal_6"/>
    <w:qFormat/>
    <w:uiPriority w:val="0"/>
    <w:rPr>
      <w:rFonts w:ascii="Times New Roman" w:hAnsi="Times New Roman" w:eastAsia="Times New Roman" w:cs="Times New Roman"/>
      <w:sz w:val="24"/>
      <w:szCs w:val="24"/>
      <w:lang w:val="en-US" w:eastAsia="zh-CN" w:bidi="ar-SA"/>
    </w:rPr>
  </w:style>
  <w:style w:type="paragraph" w:customStyle="1" w:styleId="351">
    <w:name w:val="Normal_12"/>
    <w:next w:val="352"/>
    <w:qFormat/>
    <w:uiPriority w:val="0"/>
    <w:pPr>
      <w:widowControl w:val="0"/>
      <w:jc w:val="both"/>
    </w:pPr>
    <w:rPr>
      <w:rFonts w:ascii="Calibri" w:hAnsi="Calibri" w:eastAsia="宋体" w:cs="Times New Roman"/>
      <w:kern w:val="2"/>
      <w:sz w:val="21"/>
      <w:szCs w:val="22"/>
      <w:lang w:val="en-US" w:eastAsia="zh-CN" w:bidi="ar-SA"/>
    </w:rPr>
  </w:style>
  <w:style w:type="paragraph" w:customStyle="1" w:styleId="352">
    <w:name w:val="Body Text First Indent_0"/>
    <w:basedOn w:val="351"/>
    <w:qFormat/>
    <w:uiPriority w:val="0"/>
    <w:pPr>
      <w:tabs>
        <w:tab w:val="left" w:pos="1078"/>
        <w:tab w:val="left" w:pos="1638"/>
        <w:tab w:val="left" w:pos="3920"/>
        <w:tab w:val="left" w:pos="5670"/>
      </w:tabs>
      <w:adjustRightInd w:val="0"/>
      <w:spacing w:after="60" w:line="312" w:lineRule="auto"/>
      <w:ind w:firstLine="567"/>
    </w:pPr>
    <w:rPr>
      <w:rFonts w:ascii="Arial" w:hAnsi="Arial"/>
      <w:kern w:val="0"/>
      <w:sz w:val="28"/>
    </w:rPr>
  </w:style>
  <w:style w:type="paragraph" w:customStyle="1" w:styleId="353">
    <w:name w:val="Normal_10"/>
    <w:qFormat/>
    <w:uiPriority w:val="0"/>
    <w:rPr>
      <w:rFonts w:ascii="Times New Roman" w:hAnsi="Times New Roman" w:eastAsia="Times New Roman" w:cs="Times New Roman"/>
      <w:sz w:val="24"/>
      <w:szCs w:val="24"/>
      <w:lang w:val="en-US" w:eastAsia="zh-CN" w:bidi="ar-SA"/>
    </w:rPr>
  </w:style>
  <w:style w:type="paragraph" w:customStyle="1" w:styleId="354">
    <w:name w:val="Normal_15_0"/>
    <w:qFormat/>
    <w:uiPriority w:val="0"/>
    <w:pPr>
      <w:widowControl w:val="0"/>
      <w:jc w:val="both"/>
    </w:pPr>
    <w:rPr>
      <w:rFonts w:ascii="等线" w:hAnsi="等线" w:eastAsia="等线" w:cs="Arial"/>
      <w:lang w:val="en-US" w:eastAsia="zh-CN" w:bidi="ar-SA"/>
    </w:rPr>
  </w:style>
  <w:style w:type="paragraph" w:customStyle="1" w:styleId="355">
    <w:name w:val="Normal_18_0"/>
    <w:qFormat/>
    <w:uiPriority w:val="0"/>
    <w:rPr>
      <w:rFonts w:ascii="Times New Roman" w:hAnsi="Times New Roman" w:eastAsia="Times New Roman" w:cs="Times New Roman"/>
      <w:sz w:val="24"/>
      <w:szCs w:val="24"/>
      <w:lang w:val="en-US" w:eastAsia="zh-CN" w:bidi="ar-SA"/>
    </w:rPr>
  </w:style>
  <w:style w:type="paragraph" w:customStyle="1" w:styleId="356">
    <w:name w:val="Normal_16"/>
    <w:qFormat/>
    <w:uiPriority w:val="0"/>
    <w:pPr>
      <w:widowControl w:val="0"/>
      <w:jc w:val="both"/>
    </w:pPr>
    <w:rPr>
      <w:rFonts w:ascii="Calibri" w:hAnsi="Calibri" w:eastAsia="宋体" w:cs="Times New Roman"/>
      <w:kern w:val="2"/>
      <w:sz w:val="21"/>
      <w:szCs w:val="22"/>
      <w:lang w:val="en-US" w:eastAsia="zh-CN" w:bidi="ar-SA"/>
    </w:rPr>
  </w:style>
  <w:style w:type="paragraph" w:customStyle="1" w:styleId="357">
    <w:name w:val="Normal_24"/>
    <w:qFormat/>
    <w:uiPriority w:val="0"/>
    <w:pPr>
      <w:spacing w:line="360" w:lineRule="auto"/>
      <w:ind w:firstLine="200" w:firstLineChars="200"/>
      <w:jc w:val="both"/>
    </w:pPr>
    <w:rPr>
      <w:rFonts w:ascii="Times New Roman" w:hAnsi="Times New Roman" w:eastAsia="宋体" w:cs="Arial"/>
      <w:sz w:val="21"/>
      <w:szCs w:val="22"/>
      <w:lang w:val="en-US" w:eastAsia="zh-CN" w:bidi="ar-SA"/>
    </w:rPr>
  </w:style>
  <w:style w:type="paragraph" w:customStyle="1" w:styleId="358">
    <w:name w:val="Normal_28"/>
    <w:qFormat/>
    <w:uiPriority w:val="0"/>
    <w:rPr>
      <w:rFonts w:ascii="Times New Roman" w:hAnsi="Times New Roman" w:eastAsia="Times New Roman" w:cs="Times New Roman"/>
      <w:sz w:val="24"/>
      <w:szCs w:val="24"/>
      <w:lang w:val="en-US" w:eastAsia="en-US" w:bidi="ar-SA"/>
    </w:rPr>
  </w:style>
  <w:style w:type="paragraph" w:customStyle="1" w:styleId="359">
    <w:name w:val="Normal_26"/>
    <w:qFormat/>
    <w:uiPriority w:val="0"/>
    <w:pPr>
      <w:spacing w:line="360" w:lineRule="auto"/>
      <w:ind w:firstLine="200" w:firstLineChars="200"/>
      <w:jc w:val="both"/>
    </w:pPr>
    <w:rPr>
      <w:rFonts w:ascii="Times New Roman" w:hAnsi="Times New Roman" w:eastAsia="宋体" w:cs="Arial"/>
      <w:sz w:val="21"/>
      <w:szCs w:val="22"/>
      <w:lang w:eastAsia="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2611C3-3A62-47EA-9B24-548DE01E781E}">
  <ds:schemaRefs/>
</ds:datastoreItem>
</file>

<file path=docProps/app.xml><?xml version="1.0" encoding="utf-8"?>
<Properties xmlns="http://schemas.openxmlformats.org/officeDocument/2006/extended-properties" xmlns:vt="http://schemas.openxmlformats.org/officeDocument/2006/docPropsVTypes">
  <Template>Normal</Template>
  <Company>Company</Company>
  <Pages>86</Pages>
  <Words>22287</Words>
  <Characters>24459</Characters>
  <Lines>414</Lines>
  <Paragraphs>116</Paragraphs>
  <TotalTime>29</TotalTime>
  <ScaleCrop>false</ScaleCrop>
  <LinksUpToDate>false</LinksUpToDate>
  <CharactersWithSpaces>24781</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2022-06-27T12:37:00Z</dcterms:created>
  <dc:creator>dreamsummit</dc:creator>
  <cp:lastModifiedBy>Administrator</cp:lastModifiedBy>
  <cp:lastPrinted>2023-04-04T08:21:00Z</cp:lastPrinted>
  <dcterms:modified xsi:type="dcterms:W3CDTF">2026-07-17T03:21:57Z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63CD85ADAA2D4368A44E144EF559D9BE</vt:lpwstr>
  </property>
  <property fmtid="{D5CDD505-2E9C-101B-9397-08002B2CF9AE}" pid="4" name="KSOTemplateDocerSaveRecord">
    <vt:lpwstr>eyJoZGlkIjoiNTkyYmUwNTJjMGU3MWUxMjYwMWJjMjRkMzBlZGMzNWEiLCJ1c2VySWQiOiIyNjYyNDk4NzQifQ==</vt:lpwstr>
  </property>
</Properties>
</file>