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eastAsia="黑体"/>
          <w:b/>
          <w:bCs/>
          <w:color w:val="000000"/>
          <w:sz w:val="32"/>
          <w:szCs w:val="32"/>
        </w:rPr>
      </w:pPr>
      <w:r>
        <w:rPr>
          <w:rFonts w:hint="eastAsia" w:eastAsia="黑体"/>
          <w:b/>
          <w:bCs/>
          <w:color w:val="000000"/>
          <w:sz w:val="32"/>
          <w:szCs w:val="32"/>
        </w:rPr>
        <w:t>永善至盐津高速公路投资人暨合作承包建设者二次招标</w:t>
      </w:r>
    </w:p>
    <w:p>
      <w:pPr>
        <w:spacing w:line="440" w:lineRule="exact"/>
        <w:jc w:val="center"/>
        <w:rPr>
          <w:rFonts w:eastAsia="黑体"/>
          <w:b/>
          <w:bCs/>
          <w:color w:val="000000"/>
          <w:sz w:val="32"/>
          <w:szCs w:val="32"/>
        </w:rPr>
      </w:pPr>
      <w:r>
        <w:rPr>
          <w:rFonts w:eastAsia="黑体"/>
          <w:b/>
          <w:bCs/>
          <w:color w:val="000000"/>
          <w:sz w:val="32"/>
          <w:szCs w:val="32"/>
        </w:rPr>
        <w:t>公告</w:t>
      </w:r>
    </w:p>
    <w:p>
      <w:pPr>
        <w:pStyle w:val="5"/>
        <w:jc w:val="center"/>
        <w:rPr>
          <w:rFonts w:hint="default" w:eastAsia="黑体"/>
          <w:lang w:val="en-US" w:eastAsia="zh-CN"/>
        </w:rPr>
      </w:pPr>
      <w:r>
        <w:rPr>
          <w:rFonts w:hint="eastAsia" w:eastAsia="黑体"/>
          <w:b/>
          <w:bCs/>
          <w:color w:val="000000"/>
          <w:sz w:val="28"/>
          <w:szCs w:val="28"/>
          <w:lang w:val="en-US" w:eastAsia="zh-CN"/>
        </w:rPr>
        <w:t>项目编号：2022309</w:t>
      </w:r>
    </w:p>
    <w:p>
      <w:pPr>
        <w:pStyle w:val="3"/>
        <w:spacing w:before="240" w:after="240" w:line="240" w:lineRule="atLeast"/>
        <w:rPr>
          <w:color w:val="000000"/>
          <w:sz w:val="28"/>
          <w:szCs w:val="28"/>
        </w:rPr>
      </w:pPr>
      <w:bookmarkStart w:id="0" w:name="_Toc19603"/>
      <w:bookmarkStart w:id="1" w:name="_Toc503235714"/>
      <w:bookmarkStart w:id="2" w:name="_Toc514139860"/>
      <w:r>
        <w:rPr>
          <w:color w:val="000000"/>
          <w:sz w:val="28"/>
          <w:szCs w:val="28"/>
        </w:rPr>
        <w:t xml:space="preserve">1. </w:t>
      </w:r>
      <w:r>
        <w:rPr>
          <w:rFonts w:eastAsia="黑体"/>
          <w:color w:val="000000"/>
          <w:sz w:val="28"/>
          <w:szCs w:val="28"/>
        </w:rPr>
        <w:t>招标条件</w:t>
      </w:r>
      <w:bookmarkEnd w:id="0"/>
      <w:bookmarkEnd w:id="1"/>
      <w:bookmarkEnd w:id="2"/>
    </w:p>
    <w:p>
      <w:pPr>
        <w:spacing w:line="400" w:lineRule="atLeast"/>
        <w:ind w:firstLine="480" w:firstLineChars="200"/>
        <w:rPr>
          <w:rFonts w:eastAsia="黑体"/>
          <w:color w:val="000000"/>
          <w:sz w:val="28"/>
          <w:szCs w:val="28"/>
        </w:rPr>
      </w:pPr>
      <w:r>
        <w:rPr>
          <w:rFonts w:hint="eastAsia"/>
          <w:color w:val="000000"/>
          <w:sz w:val="24"/>
          <w:highlight w:val="none"/>
        </w:rPr>
        <w:t>本招标项目永善至盐津高速公路 (以下简称“本项目”)已由云南省发展和改革委员会以《云南省发展和改革委员会关于永善至盐津高速公路工程可行性研究报告的批复》(云发改基础〔2022〕780号)批准。本项目业主为昭通市永盐高速公路投资开发有限公司，招标人为昭通市高速公路投资发展有限责任公司 （以下简称“招标人”），招标代理机构为贵州智聚招标造价咨询有限公司（以下简称“招标代理机构”）。建设资金来自地方自筹和银行贷款。经昭通市人民政府同意，本项目采用“投资人暨合作承包建设者”方式进行建设。本项目已具备招标条件，现采用资格后审方式对本项目投资人暨合作承包建设者进行公开招标。</w:t>
      </w:r>
      <w:r>
        <w:rPr>
          <w:color w:val="000000"/>
          <w:sz w:val="24"/>
          <w:highlight w:val="none"/>
        </w:rPr>
        <w:t xml:space="preserve"> </w:t>
      </w:r>
      <w:r>
        <w:rPr>
          <w:rFonts w:hint="eastAsia"/>
          <w:color w:val="000000"/>
          <w:sz w:val="24"/>
          <w:highlight w:val="none"/>
        </w:rPr>
        <w:t xml:space="preserve"> </w:t>
      </w:r>
      <w:r>
        <w:rPr>
          <w:color w:val="000000"/>
          <w:sz w:val="24"/>
        </w:rPr>
        <w:t xml:space="preserve"> </w:t>
      </w:r>
      <w:bookmarkStart w:id="3" w:name="_Toc514139861"/>
      <w:bookmarkStart w:id="4" w:name="_Toc503235715"/>
    </w:p>
    <w:p>
      <w:pPr>
        <w:pStyle w:val="3"/>
        <w:spacing w:before="240" w:after="240" w:line="240" w:lineRule="atLeast"/>
        <w:rPr>
          <w:rFonts w:eastAsia="黑体"/>
          <w:color w:val="000000"/>
          <w:sz w:val="28"/>
          <w:szCs w:val="28"/>
        </w:rPr>
      </w:pPr>
      <w:bookmarkStart w:id="5" w:name="_Toc2884"/>
      <w:r>
        <w:rPr>
          <w:rFonts w:eastAsia="黑体"/>
          <w:color w:val="000000"/>
          <w:sz w:val="28"/>
          <w:szCs w:val="28"/>
        </w:rPr>
        <w:t>2. 项目概况与招标范围</w:t>
      </w:r>
      <w:bookmarkEnd w:id="3"/>
      <w:bookmarkEnd w:id="4"/>
      <w:bookmarkEnd w:id="5"/>
    </w:p>
    <w:p>
      <w:pPr>
        <w:spacing w:line="500" w:lineRule="exact"/>
        <w:ind w:firstLine="480" w:firstLineChars="200"/>
        <w:rPr>
          <w:rFonts w:hint="eastAsia"/>
          <w:color w:val="000000"/>
          <w:sz w:val="24"/>
        </w:rPr>
      </w:pPr>
      <w:r>
        <w:rPr>
          <w:color w:val="000000"/>
          <w:sz w:val="24"/>
        </w:rPr>
        <w:t>2.</w:t>
      </w:r>
      <w:r>
        <w:rPr>
          <w:rFonts w:hint="eastAsia"/>
          <w:color w:val="000000"/>
          <w:sz w:val="24"/>
        </w:rPr>
        <w:t>1项目概况</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2.1建设地点：本项目位于云南省昭通市境内。</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2.2建设规模：</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lang w:val="en-US" w:eastAsia="zh-CN"/>
        </w:rPr>
        <w:t>项目起于</w:t>
      </w:r>
      <w:r>
        <w:rPr>
          <w:rFonts w:hint="eastAsia" w:hAnsi="宋体"/>
          <w:color w:val="000000"/>
          <w:sz w:val="24"/>
          <w:highlight w:val="none"/>
        </w:rPr>
        <w:t>永善县南侧染坊坡附近与G4216沿江高速永善支线的止点顺接，路线向东南经松林岗，中坝后，路线转向东，经吞都村，马路村，中和坝，新春村，在肖家店子穿越山体设置9120m鹅山特长隧道，路线沿G213走廊布设线位，经木杆镇，在竹麻林与G85银昆高速设置T型枢纽互通（入口匝道渐变段终点距离G85竹麻林隧道进口610m），后与G85银昆高速共线3.82km，完全利用昭乐高速青龙咀至水田新区段11.2km，路线继续向西设置关河悬索桥跨越关河，路线向东沿S206盐连公路走廊布线，经牛寨乡河口村后进入四川省境内，接规划的四川筠连至叙永高速公路。路线运营里程长83.331km，（包括利用G85银昆高速3.82km，昭乐高速水田新区至青龙咀段11.2km），建设里程68.311km。本项目全线按照双向四车道高速公路标准建设，设计速度采用80km/h，路基宽度25.5m。G85共线段设计速度采用60km/h，路基宽度22.5m，青水高速利用段设计速度采用80km/h，路基宽度25.5m。</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主要控制点：永善县城、木杆镇、中和镇、盐津县城、牛寨乡。</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特大桥4623/4（m/座），大桥16305/43（m/座）</w:t>
      </w:r>
      <w:r>
        <w:rPr>
          <w:rFonts w:hint="eastAsia" w:hAnsi="宋体"/>
          <w:color w:val="000000"/>
          <w:sz w:val="24"/>
          <w:highlight w:val="none"/>
          <w:lang w:eastAsia="zh-CN"/>
        </w:rPr>
        <w:t>，</w:t>
      </w:r>
      <w:r>
        <w:rPr>
          <w:rFonts w:hint="eastAsia" w:hAnsi="宋体"/>
          <w:color w:val="000000"/>
          <w:sz w:val="24"/>
          <w:highlight w:val="none"/>
        </w:rPr>
        <w:t>中小桥298/4（m/座），特长隧道31325/6（m/座），长隧道6664/4（m/座），中隧道1995/3（m/座），桥隧合计占路线总长的比例为89.60%。互通式立交3处，其中枢纽型互通1处，服务型互通2处（完全利用昭乐高速青龙咀至水田新区段的青龙咀枢纽互通和盐津互通服务型互通1处），U型转弯1对。</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估算总投资约为1651242.36万元，其中建筑安装工程费约为1287380.80万元。</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2.3 计划工期：48个月。</w:t>
      </w:r>
    </w:p>
    <w:p>
      <w:pPr>
        <w:spacing w:line="400" w:lineRule="atLeast"/>
        <w:ind w:firstLine="480" w:firstLineChars="200"/>
        <w:rPr>
          <w:rFonts w:hint="eastAsia"/>
          <w:bCs/>
          <w:color w:val="000000"/>
          <w:sz w:val="24"/>
          <w:highlight w:val="none"/>
        </w:rPr>
      </w:pPr>
      <w:r>
        <w:rPr>
          <w:rFonts w:hint="eastAsia" w:hAnsi="宋体"/>
          <w:color w:val="000000"/>
          <w:sz w:val="24"/>
          <w:highlight w:val="none"/>
        </w:rPr>
        <w:t>2.4 招标范围及标段划分：招标范围为选择永善至盐津高速公路投资人暨合作承包建设者。其中，合作承包建设范围为本项目进场道路、路基、路面、桥涵、隧道、交叉工程、景观绿化及环保水保工程、交通安全设施工程、沿线房屋建筑设施工程（含加油站、充电站）、消防工程、隧道机电工程及监控、收费、通信三大系统工程</w:t>
      </w:r>
      <w:r>
        <w:rPr>
          <w:rFonts w:hint="eastAsia" w:hAnsi="宋体"/>
          <w:color w:val="000000"/>
          <w:sz w:val="24"/>
          <w:highlight w:val="none"/>
          <w:lang w:eastAsia="zh-CN"/>
        </w:rPr>
        <w:t>、</w:t>
      </w:r>
      <w:r>
        <w:rPr>
          <w:rFonts w:hint="eastAsia" w:hAnsi="宋体"/>
          <w:color w:val="000000"/>
          <w:sz w:val="24"/>
          <w:highlight w:val="none"/>
          <w:lang w:val="en-US" w:eastAsia="zh-CN"/>
        </w:rPr>
        <w:t>连接线</w:t>
      </w:r>
      <w:r>
        <w:rPr>
          <w:rFonts w:hint="eastAsia" w:hAnsi="宋体"/>
          <w:color w:val="000000"/>
          <w:sz w:val="24"/>
          <w:highlight w:val="none"/>
        </w:rPr>
        <w:t>等（不含电力专线工程）施工及缺陷修复。本项目投资人暨合作承包建设者二次招标共划分为1个标段</w:t>
      </w:r>
      <w:r>
        <w:rPr>
          <w:rFonts w:hint="eastAsia"/>
          <w:bCs/>
          <w:color w:val="000000"/>
          <w:sz w:val="24"/>
          <w:highlight w:val="none"/>
        </w:rPr>
        <w:t>，</w:t>
      </w:r>
      <w:r>
        <w:rPr>
          <w:bCs/>
          <w:color w:val="000000"/>
          <w:sz w:val="24"/>
          <w:highlight w:val="none"/>
        </w:rPr>
        <w:t>具体情况</w:t>
      </w:r>
      <w:r>
        <w:rPr>
          <w:rFonts w:hint="eastAsia"/>
          <w:bCs/>
          <w:color w:val="000000"/>
          <w:sz w:val="24"/>
          <w:highlight w:val="none"/>
        </w:rPr>
        <w:t>如下：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2469"/>
        <w:gridCol w:w="874"/>
        <w:gridCol w:w="2660"/>
        <w:gridCol w:w="1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235" w:type="dxa"/>
            <w:noWrap w:val="0"/>
            <w:vAlign w:val="top"/>
          </w:tcPr>
          <w:p>
            <w:pPr>
              <w:pStyle w:val="2"/>
              <w:ind w:firstLine="0" w:firstLineChars="0"/>
              <w:jc w:val="center"/>
              <w:rPr>
                <w:rFonts w:hint="eastAsia"/>
                <w:color w:val="000000"/>
                <w:szCs w:val="21"/>
                <w:highlight w:val="none"/>
              </w:rPr>
            </w:pPr>
            <w:r>
              <w:rPr>
                <w:rFonts w:hint="eastAsia"/>
                <w:color w:val="000000"/>
                <w:szCs w:val="21"/>
                <w:highlight w:val="none"/>
              </w:rPr>
              <w:t>标段长度</w:t>
            </w:r>
          </w:p>
          <w:p>
            <w:pPr>
              <w:pStyle w:val="2"/>
              <w:ind w:firstLine="0" w:firstLineChars="0"/>
              <w:jc w:val="center"/>
              <w:rPr>
                <w:color w:val="000000"/>
                <w:szCs w:val="21"/>
                <w:highlight w:val="none"/>
              </w:rPr>
            </w:pPr>
            <w:r>
              <w:rPr>
                <w:rFonts w:hint="eastAsia"/>
                <w:color w:val="000000"/>
                <w:szCs w:val="21"/>
                <w:highlight w:val="none"/>
              </w:rPr>
              <w:t>(km)</w:t>
            </w:r>
          </w:p>
        </w:tc>
        <w:tc>
          <w:tcPr>
            <w:tcW w:w="2469" w:type="dxa"/>
            <w:noWrap w:val="0"/>
            <w:vAlign w:val="top"/>
          </w:tcPr>
          <w:p>
            <w:pPr>
              <w:pStyle w:val="2"/>
              <w:ind w:firstLine="0" w:firstLineChars="0"/>
              <w:jc w:val="center"/>
              <w:rPr>
                <w:color w:val="000000"/>
                <w:szCs w:val="21"/>
                <w:highlight w:val="none"/>
              </w:rPr>
            </w:pPr>
            <w:r>
              <w:rPr>
                <w:rFonts w:hint="eastAsia"/>
                <w:color w:val="000000"/>
                <w:szCs w:val="21"/>
                <w:highlight w:val="none"/>
              </w:rPr>
              <w:t>主要工程</w:t>
            </w:r>
          </w:p>
        </w:tc>
        <w:tc>
          <w:tcPr>
            <w:tcW w:w="874" w:type="dxa"/>
            <w:noWrap w:val="0"/>
            <w:vAlign w:val="top"/>
          </w:tcPr>
          <w:p>
            <w:pPr>
              <w:pStyle w:val="2"/>
              <w:ind w:firstLine="0" w:firstLineChars="0"/>
              <w:jc w:val="center"/>
              <w:rPr>
                <w:rFonts w:hint="eastAsia"/>
                <w:color w:val="000000"/>
                <w:szCs w:val="21"/>
                <w:highlight w:val="none"/>
              </w:rPr>
            </w:pPr>
            <w:r>
              <w:rPr>
                <w:rFonts w:hint="eastAsia"/>
                <w:color w:val="000000"/>
                <w:szCs w:val="21"/>
                <w:highlight w:val="none"/>
              </w:rPr>
              <w:t>估算总投资</w:t>
            </w:r>
          </w:p>
          <w:p>
            <w:pPr>
              <w:pStyle w:val="2"/>
              <w:ind w:firstLine="0" w:firstLineChars="0"/>
              <w:jc w:val="center"/>
              <w:rPr>
                <w:color w:val="000000"/>
                <w:szCs w:val="21"/>
                <w:highlight w:val="none"/>
              </w:rPr>
            </w:pPr>
            <w:r>
              <w:rPr>
                <w:rFonts w:hint="eastAsia"/>
                <w:color w:val="000000"/>
                <w:szCs w:val="21"/>
                <w:highlight w:val="none"/>
              </w:rPr>
              <w:t>(亿元)</w:t>
            </w:r>
          </w:p>
        </w:tc>
        <w:tc>
          <w:tcPr>
            <w:tcW w:w="2660" w:type="dxa"/>
            <w:noWrap w:val="0"/>
            <w:vAlign w:val="top"/>
          </w:tcPr>
          <w:p>
            <w:pPr>
              <w:pStyle w:val="2"/>
              <w:ind w:firstLine="0" w:firstLineChars="0"/>
              <w:jc w:val="center"/>
              <w:rPr>
                <w:color w:val="000000"/>
                <w:szCs w:val="21"/>
                <w:highlight w:val="none"/>
              </w:rPr>
            </w:pPr>
            <w:r>
              <w:rPr>
                <w:rFonts w:hint="eastAsia"/>
                <w:color w:val="000000"/>
                <w:szCs w:val="21"/>
                <w:highlight w:val="none"/>
              </w:rPr>
              <w:t>招标范围</w:t>
            </w:r>
          </w:p>
        </w:tc>
        <w:tc>
          <w:tcPr>
            <w:tcW w:w="1482" w:type="dxa"/>
            <w:noWrap w:val="0"/>
            <w:vAlign w:val="top"/>
          </w:tcPr>
          <w:p>
            <w:pPr>
              <w:pStyle w:val="2"/>
              <w:ind w:firstLine="0" w:firstLineChars="0"/>
              <w:jc w:val="center"/>
              <w:rPr>
                <w:color w:val="000000"/>
                <w:szCs w:val="21"/>
                <w:highlight w:val="none"/>
              </w:rPr>
            </w:pPr>
            <w:r>
              <w:rPr>
                <w:rFonts w:hint="eastAsia"/>
                <w:color w:val="000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235" w:type="dxa"/>
            <w:noWrap w:val="0"/>
            <w:vAlign w:val="center"/>
          </w:tcPr>
          <w:p>
            <w:pPr>
              <w:widowControl/>
              <w:jc w:val="center"/>
              <w:textAlignment w:val="center"/>
              <w:rPr>
                <w:color w:val="000000"/>
                <w:szCs w:val="21"/>
                <w:highlight w:val="none"/>
              </w:rPr>
            </w:pPr>
            <w:r>
              <w:rPr>
                <w:rFonts w:hint="eastAsia"/>
                <w:color w:val="000000"/>
                <w:szCs w:val="21"/>
                <w:highlight w:val="none"/>
              </w:rPr>
              <w:t>68.311</w:t>
            </w:r>
          </w:p>
        </w:tc>
        <w:tc>
          <w:tcPr>
            <w:tcW w:w="2469" w:type="dxa"/>
            <w:noWrap w:val="0"/>
            <w:vAlign w:val="center"/>
          </w:tcPr>
          <w:p>
            <w:pPr>
              <w:widowControl/>
              <w:jc w:val="left"/>
              <w:textAlignment w:val="top"/>
              <w:rPr>
                <w:color w:val="000000"/>
                <w:szCs w:val="21"/>
                <w:highlight w:val="none"/>
              </w:rPr>
            </w:pPr>
            <w:r>
              <w:rPr>
                <w:rStyle w:val="10"/>
                <w:rFonts w:hint="default"/>
                <w:color w:val="000000"/>
                <w:szCs w:val="21"/>
                <w:highlight w:val="none"/>
                <w:lang w:bidi="ar"/>
              </w:rPr>
              <w:t>特大桥4623/4（m/座）、大桥16305/43（m/座），中小桥298/4（m/座），</w:t>
            </w:r>
            <w:r>
              <w:rPr>
                <w:rStyle w:val="10"/>
                <w:rFonts w:hint="eastAsia" w:eastAsia="宋体"/>
                <w:color w:val="000000"/>
                <w:szCs w:val="21"/>
                <w:highlight w:val="none"/>
                <w:lang w:val="en-US" w:eastAsia="zh-CN" w:bidi="ar"/>
              </w:rPr>
              <w:t xml:space="preserve">   </w:t>
            </w:r>
            <w:r>
              <w:rPr>
                <w:rStyle w:val="10"/>
                <w:rFonts w:hint="default"/>
                <w:color w:val="000000"/>
                <w:szCs w:val="21"/>
                <w:highlight w:val="none"/>
                <w:lang w:bidi="ar"/>
              </w:rPr>
              <w:t>特长隧道31325/6（m/座），长隧道6664/4（m/座），中隧道1995/3（m/座）</w:t>
            </w:r>
            <w:r>
              <w:rPr>
                <w:rStyle w:val="10"/>
                <w:rFonts w:hint="eastAsia" w:eastAsia="宋体"/>
                <w:color w:val="000000"/>
                <w:szCs w:val="21"/>
                <w:highlight w:val="none"/>
                <w:lang w:eastAsia="zh-CN" w:bidi="ar"/>
              </w:rPr>
              <w:t>。</w:t>
            </w:r>
          </w:p>
        </w:tc>
        <w:tc>
          <w:tcPr>
            <w:tcW w:w="874" w:type="dxa"/>
            <w:noWrap w:val="0"/>
            <w:vAlign w:val="center"/>
          </w:tcPr>
          <w:p>
            <w:pPr>
              <w:widowControl/>
              <w:jc w:val="center"/>
              <w:textAlignment w:val="center"/>
              <w:rPr>
                <w:color w:val="000000"/>
                <w:szCs w:val="21"/>
                <w:highlight w:val="none"/>
              </w:rPr>
            </w:pPr>
            <w:r>
              <w:rPr>
                <w:rFonts w:hint="eastAsia" w:ascii="宋体" w:hAnsi="宋体" w:cs="宋体"/>
                <w:color w:val="000000"/>
                <w:kern w:val="0"/>
                <w:szCs w:val="21"/>
                <w:highlight w:val="none"/>
                <w:lang w:bidi="ar"/>
              </w:rPr>
              <w:t>165</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bidi="ar"/>
              </w:rPr>
              <w:t xml:space="preserve">12 </w:t>
            </w:r>
          </w:p>
        </w:tc>
        <w:tc>
          <w:tcPr>
            <w:tcW w:w="2660" w:type="dxa"/>
            <w:noWrap w:val="0"/>
            <w:vAlign w:val="center"/>
          </w:tcPr>
          <w:p>
            <w:pPr>
              <w:pStyle w:val="2"/>
              <w:ind w:firstLine="0" w:firstLineChars="0"/>
              <w:rPr>
                <w:color w:val="000000"/>
                <w:szCs w:val="21"/>
                <w:highlight w:val="none"/>
              </w:rPr>
            </w:pPr>
            <w:r>
              <w:rPr>
                <w:rFonts w:hint="eastAsia"/>
                <w:color w:val="000000"/>
                <w:szCs w:val="21"/>
                <w:highlight w:val="none"/>
              </w:rPr>
              <w:t>投资暨合作承包建设，合作承包建设范围为</w:t>
            </w:r>
            <w:r>
              <w:rPr>
                <w:color w:val="000000"/>
                <w:szCs w:val="21"/>
                <w:highlight w:val="none"/>
              </w:rPr>
              <w:t>本项目进场道路、路基、路面、桥涵、隧道、交叉工程、景观绿化及环保水保工程、交通安全设施工程、沿线房屋建筑设施工程</w:t>
            </w:r>
            <w:r>
              <w:rPr>
                <w:rFonts w:hint="eastAsia"/>
                <w:color w:val="000000"/>
                <w:szCs w:val="21"/>
                <w:highlight w:val="none"/>
              </w:rPr>
              <w:t>（含加油站、充电站）</w:t>
            </w:r>
            <w:r>
              <w:rPr>
                <w:color w:val="000000"/>
                <w:szCs w:val="21"/>
                <w:highlight w:val="none"/>
              </w:rPr>
              <w:t>、</w:t>
            </w:r>
            <w:r>
              <w:rPr>
                <w:rFonts w:hint="eastAsia"/>
                <w:color w:val="000000"/>
                <w:szCs w:val="21"/>
                <w:highlight w:val="none"/>
              </w:rPr>
              <w:t>消防工程</w:t>
            </w:r>
            <w:r>
              <w:rPr>
                <w:rFonts w:hint="eastAsia"/>
                <w:color w:val="000000"/>
                <w:szCs w:val="21"/>
                <w:highlight w:val="none"/>
                <w:lang w:eastAsia="zh-CN"/>
              </w:rPr>
              <w:t>、</w:t>
            </w:r>
            <w:r>
              <w:rPr>
                <w:color w:val="000000"/>
                <w:szCs w:val="21"/>
                <w:highlight w:val="none"/>
              </w:rPr>
              <w:t>隧道机电工程及监控、收费、通信三大系统工程</w:t>
            </w:r>
            <w:r>
              <w:rPr>
                <w:rFonts w:hint="eastAsia"/>
                <w:color w:val="000000"/>
                <w:szCs w:val="21"/>
                <w:highlight w:val="none"/>
                <w:lang w:eastAsia="zh-CN"/>
              </w:rPr>
              <w:t>、</w:t>
            </w:r>
            <w:r>
              <w:rPr>
                <w:rFonts w:hint="eastAsia"/>
                <w:color w:val="000000"/>
                <w:szCs w:val="21"/>
                <w:highlight w:val="none"/>
                <w:lang w:val="en-US" w:eastAsia="zh-CN"/>
              </w:rPr>
              <w:t>连接线</w:t>
            </w:r>
            <w:r>
              <w:rPr>
                <w:color w:val="000000"/>
                <w:szCs w:val="21"/>
                <w:highlight w:val="none"/>
              </w:rPr>
              <w:t>等（不含电力专线工程）施工及缺陷修复</w:t>
            </w:r>
          </w:p>
        </w:tc>
        <w:tc>
          <w:tcPr>
            <w:tcW w:w="1482" w:type="dxa"/>
            <w:noWrap w:val="0"/>
            <w:vAlign w:val="top"/>
          </w:tcPr>
          <w:p>
            <w:pPr>
              <w:pStyle w:val="2"/>
              <w:ind w:firstLine="0" w:firstLineChars="0"/>
              <w:rPr>
                <w:color w:val="000000"/>
                <w:szCs w:val="21"/>
                <w:highlight w:val="none"/>
              </w:rPr>
            </w:pPr>
            <w:r>
              <w:rPr>
                <w:rFonts w:hint="eastAsia"/>
                <w:color w:val="000000"/>
                <w:szCs w:val="21"/>
                <w:highlight w:val="none"/>
              </w:rPr>
              <w:t>电力专线工程指由业主负责建（架）设与运维的本项目35kv线路及变电站、10kv专线，不含10kv线路T接到各施工用电点的线路和变压器。</w:t>
            </w:r>
          </w:p>
        </w:tc>
      </w:tr>
    </w:tbl>
    <w:p>
      <w:pPr>
        <w:pStyle w:val="11"/>
        <w:spacing w:line="400" w:lineRule="atLeast"/>
        <w:jc w:val="left"/>
        <w:rPr>
          <w:rFonts w:hint="eastAsia"/>
          <w:b/>
          <w:color w:val="000000"/>
          <w:sz w:val="22"/>
          <w:szCs w:val="22"/>
          <w:highlight w:val="none"/>
        </w:rPr>
      </w:pPr>
      <w:r>
        <w:rPr>
          <w:rFonts w:hint="eastAsia"/>
          <w:b/>
          <w:color w:val="000000"/>
          <w:sz w:val="22"/>
          <w:szCs w:val="22"/>
          <w:highlight w:val="none"/>
        </w:rPr>
        <w:t>注：①桥梁、隧道均按双幅座、双幅长度计；</w:t>
      </w:r>
    </w:p>
    <w:p>
      <w:pPr>
        <w:pStyle w:val="11"/>
        <w:spacing w:line="400" w:lineRule="atLeast"/>
        <w:ind w:firstLine="442" w:firstLineChars="200"/>
        <w:jc w:val="left"/>
        <w:rPr>
          <w:b/>
          <w:color w:val="000000"/>
          <w:sz w:val="22"/>
          <w:szCs w:val="22"/>
          <w:highlight w:val="none"/>
        </w:rPr>
      </w:pPr>
      <w:r>
        <w:rPr>
          <w:rFonts w:hint="eastAsia"/>
          <w:b/>
          <w:color w:val="000000"/>
          <w:sz w:val="22"/>
          <w:szCs w:val="22"/>
          <w:highlight w:val="none"/>
        </w:rPr>
        <w:t>②里程、桥梁、隧道数量最终按施工图设计为准。</w:t>
      </w:r>
    </w:p>
    <w:p>
      <w:pPr>
        <w:spacing w:line="400" w:lineRule="atLeast"/>
        <w:ind w:firstLine="480" w:firstLineChars="200"/>
        <w:rPr>
          <w:rFonts w:hAnsi="宋体"/>
          <w:color w:val="000000"/>
          <w:sz w:val="24"/>
          <w:highlight w:val="none"/>
        </w:rPr>
      </w:pPr>
      <w:r>
        <w:rPr>
          <w:rFonts w:hint="eastAsia" w:hAnsi="宋体"/>
          <w:color w:val="000000"/>
          <w:sz w:val="24"/>
          <w:highlight w:val="none"/>
        </w:rPr>
        <w:t>2.5 合作模式</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2.5.1招标人已为项目具体实施成立了项目公司，项目公司负责项目投融资、建设管理、运营、养护等。中标人即为项目公司增资扩股社会投资人，出资额为人民币18.3亿元（其中，以增资扩股方式出资项目资本金6.4亿元，剩余11.9亿元可以其他方式出资）。同时，由中标人承担合作承包建设范围内的施工任务。中标人按合同约定可在项目交工验收合格之日后5年内转让项目公司全部股权及其他注入投资权益（转让前，需完成合作承包建设范围内工程结算），原有股东优先受让。</w:t>
      </w:r>
    </w:p>
    <w:p>
      <w:pPr>
        <w:spacing w:line="400" w:lineRule="atLeast"/>
        <w:ind w:firstLine="480" w:firstLineChars="200"/>
        <w:rPr>
          <w:rFonts w:hint="eastAsia" w:hAnsi="宋体" w:eastAsia="宋体"/>
          <w:color w:val="000000"/>
          <w:sz w:val="24"/>
          <w:highlight w:val="none"/>
          <w:lang w:eastAsia="zh-CN"/>
        </w:rPr>
      </w:pPr>
      <w:r>
        <w:rPr>
          <w:rFonts w:hint="eastAsia" w:hAnsi="宋体"/>
          <w:color w:val="000000"/>
          <w:sz w:val="24"/>
          <w:highlight w:val="none"/>
        </w:rPr>
        <w:t>2.5.2中标人投入本项目的</w:t>
      </w:r>
      <w:r>
        <w:rPr>
          <w:rFonts w:hint="eastAsia" w:hAnsi="宋体"/>
          <w:color w:val="000000"/>
          <w:sz w:val="24"/>
          <w:highlight w:val="none"/>
          <w:lang w:val="en-US" w:eastAsia="zh-CN"/>
        </w:rPr>
        <w:t>出资额</w:t>
      </w:r>
      <w:r>
        <w:rPr>
          <w:rFonts w:hint="eastAsia" w:hAnsi="宋体"/>
          <w:color w:val="000000"/>
          <w:sz w:val="24"/>
          <w:highlight w:val="none"/>
        </w:rPr>
        <w:t>须在中标通知书发出之日</w:t>
      </w:r>
      <w:r>
        <w:rPr>
          <w:rFonts w:hint="eastAsia" w:hAnsi="宋体"/>
          <w:color w:val="000000"/>
          <w:sz w:val="24"/>
          <w:highlight w:val="none"/>
          <w:lang w:val="en-US" w:eastAsia="zh-CN"/>
        </w:rPr>
        <w:t>起</w:t>
      </w:r>
      <w:r>
        <w:rPr>
          <w:rFonts w:hint="eastAsia" w:hAnsi="宋体"/>
          <w:color w:val="000000"/>
          <w:sz w:val="24"/>
          <w:highlight w:val="none"/>
        </w:rPr>
        <w:t>的30天内足额到位至项目公司账户，否则，招标人有权取消投标人的中标资格。在签订增资扩股协议，完成增资扩股且提交履约保证金后，签订合作承包建设合同</w:t>
      </w:r>
      <w:r>
        <w:rPr>
          <w:rFonts w:hint="eastAsia" w:hAnsi="宋体"/>
          <w:color w:val="000000"/>
          <w:sz w:val="24"/>
          <w:highlight w:val="none"/>
          <w:lang w:eastAsia="zh-CN"/>
        </w:rPr>
        <w:t>。</w:t>
      </w:r>
    </w:p>
    <w:p>
      <w:pPr>
        <w:spacing w:line="400" w:lineRule="atLeast"/>
        <w:ind w:firstLine="480" w:firstLineChars="200"/>
        <w:rPr>
          <w:rFonts w:hint="eastAsia" w:hAnsi="宋体"/>
          <w:color w:val="000000"/>
          <w:sz w:val="24"/>
          <w:highlight w:val="none"/>
        </w:rPr>
      </w:pPr>
      <w:r>
        <w:rPr>
          <w:rFonts w:hint="eastAsia" w:hAnsi="宋体"/>
          <w:color w:val="000000"/>
          <w:sz w:val="24"/>
          <w:highlight w:val="none"/>
        </w:rPr>
        <w:t>2.5.3项目资本金</w:t>
      </w:r>
      <w:r>
        <w:rPr>
          <w:rFonts w:hint="eastAsia" w:hAnsi="宋体"/>
          <w:color w:val="000000"/>
          <w:sz w:val="24"/>
          <w:highlight w:val="none"/>
          <w:lang w:val="en-US" w:eastAsia="zh-CN"/>
        </w:rPr>
        <w:t>以及中标人出资额</w:t>
      </w:r>
      <w:r>
        <w:rPr>
          <w:rFonts w:hint="eastAsia" w:hAnsi="宋体"/>
          <w:color w:val="000000"/>
          <w:sz w:val="24"/>
          <w:highlight w:val="none"/>
        </w:rPr>
        <w:t>以外的其余建设资金由项目公司依法融资。招标人负责协助项目公司获取融资，中标人按要求提供资料。中标人不承担项目公司融资担保及运营期亏损、现金流缺口弥补责任，同时也不享有项目公司利润分配。</w:t>
      </w:r>
    </w:p>
    <w:p>
      <w:pPr>
        <w:pStyle w:val="2"/>
        <w:spacing w:line="400" w:lineRule="exact"/>
        <w:ind w:firstLine="480"/>
        <w:rPr>
          <w:rFonts w:hint="eastAsia" w:hAnsi="宋体"/>
          <w:color w:val="000000"/>
          <w:sz w:val="24"/>
          <w:highlight w:val="none"/>
        </w:rPr>
      </w:pPr>
      <w:r>
        <w:rPr>
          <w:rFonts w:hint="eastAsia" w:hAnsi="宋体"/>
          <w:color w:val="000000"/>
          <w:sz w:val="24"/>
          <w:highlight w:val="none"/>
        </w:rPr>
        <w:t>2.5.4合作承包建设合同价格确定原则：</w:t>
      </w:r>
    </w:p>
    <w:p>
      <w:pPr>
        <w:pStyle w:val="2"/>
        <w:spacing w:line="400" w:lineRule="exact"/>
        <w:ind w:firstLine="480"/>
        <w:rPr>
          <w:rFonts w:hint="eastAsia" w:hAnsi="宋体"/>
          <w:color w:val="000000"/>
          <w:sz w:val="24"/>
          <w:highlight w:val="none"/>
        </w:rPr>
      </w:pPr>
      <w:r>
        <w:rPr>
          <w:rFonts w:hint="eastAsia" w:hAnsi="宋体"/>
          <w:color w:val="000000"/>
          <w:sz w:val="24"/>
          <w:highlight w:val="none"/>
        </w:rPr>
        <w:t>合作承包建设合同价格按经交通运输主管部门批复的初步设计概算“相关费用”及投资人投标时填报的下浮率确定。其中，初步设计概算“相关费用”按以下规定计算：</w:t>
      </w:r>
    </w:p>
    <w:p>
      <w:pPr>
        <w:pStyle w:val="2"/>
        <w:spacing w:line="400" w:lineRule="exact"/>
        <w:ind w:firstLine="480"/>
        <w:rPr>
          <w:rFonts w:hint="eastAsia" w:hAnsi="宋体"/>
          <w:color w:val="000000"/>
          <w:sz w:val="24"/>
          <w:highlight w:val="none"/>
        </w:rPr>
      </w:pPr>
      <w:r>
        <w:rPr>
          <w:rFonts w:hint="eastAsia" w:hAnsi="宋体"/>
          <w:color w:val="000000"/>
          <w:sz w:val="24"/>
          <w:highlight w:val="none"/>
        </w:rPr>
        <w:t>①批复概算“第一部分 建筑安装工程费”扣除电力专线工程建筑安装工程费及桥梁施工监控、桥梁健康监测系统、隧道监测（地质超前预报、监控量测及质量检测）、桩基检测、钢结构第三方检测、高边坡稳定监测、环水保监测费用以后的金额。其中，电力专线工程建筑安装工程费以批复概算中列支的金额为准，桥梁施工监控、桥梁健康监测系统、隧道监测（地质超前预报、监控量测及质量检测）、桩基检测、钢结构第三方检测、高边坡稳定监测、环水保监测费用以发包人招标确定的金额为准；</w:t>
      </w:r>
    </w:p>
    <w:p>
      <w:pPr>
        <w:pStyle w:val="2"/>
        <w:spacing w:line="400" w:lineRule="exact"/>
        <w:ind w:firstLine="480"/>
        <w:rPr>
          <w:rFonts w:hint="eastAsia" w:hAnsi="宋体"/>
          <w:color w:val="000000"/>
          <w:sz w:val="24"/>
          <w:highlight w:val="none"/>
        </w:rPr>
      </w:pPr>
      <w:r>
        <w:rPr>
          <w:rFonts w:hint="eastAsia" w:hAnsi="宋体"/>
          <w:color w:val="000000"/>
          <w:sz w:val="24"/>
          <w:highlight w:val="none"/>
        </w:rPr>
        <w:t>②批复概算“第二部分 土地使用及拆迁补偿费”中临时用地费用扣除前期报件中办理临时用地报批已支付的费用；</w:t>
      </w:r>
    </w:p>
    <w:p>
      <w:pPr>
        <w:spacing w:line="500" w:lineRule="exact"/>
        <w:ind w:firstLine="480" w:firstLineChars="200"/>
        <w:rPr>
          <w:rFonts w:hint="eastAsia" w:hAnsi="宋体"/>
          <w:color w:val="000000"/>
          <w:sz w:val="24"/>
          <w:highlight w:val="none"/>
        </w:rPr>
      </w:pPr>
      <w:r>
        <w:rPr>
          <w:rFonts w:hint="eastAsia" w:hAnsi="宋体"/>
          <w:color w:val="000000"/>
          <w:sz w:val="24"/>
          <w:highlight w:val="none"/>
        </w:rPr>
        <w:t>③工程保险费，以发包人招标确定的保险费为准。</w:t>
      </w:r>
    </w:p>
    <w:p>
      <w:pPr>
        <w:pStyle w:val="3"/>
        <w:spacing w:before="240" w:after="240" w:line="240" w:lineRule="atLeast"/>
        <w:rPr>
          <w:rFonts w:eastAsia="黑体"/>
          <w:color w:val="000000"/>
          <w:sz w:val="28"/>
          <w:szCs w:val="28"/>
        </w:rPr>
      </w:pPr>
      <w:bookmarkStart w:id="6" w:name="_Toc514139862"/>
      <w:bookmarkStart w:id="7" w:name="_Toc503235716"/>
      <w:bookmarkStart w:id="8" w:name="_Toc603"/>
      <w:r>
        <w:rPr>
          <w:rFonts w:eastAsia="黑体"/>
          <w:color w:val="000000"/>
          <w:sz w:val="28"/>
          <w:szCs w:val="28"/>
        </w:rPr>
        <w:t>3. 投标人资格要求</w:t>
      </w:r>
      <w:bookmarkEnd w:id="6"/>
      <w:bookmarkEnd w:id="7"/>
      <w:bookmarkEnd w:id="8"/>
    </w:p>
    <w:p>
      <w:pPr>
        <w:spacing w:line="400" w:lineRule="atLeast"/>
        <w:ind w:firstLine="480" w:firstLineChars="200"/>
        <w:rPr>
          <w:rFonts w:hint="eastAsia"/>
          <w:color w:val="000000"/>
          <w:sz w:val="24"/>
          <w:highlight w:val="none"/>
        </w:rPr>
      </w:pPr>
      <w:bookmarkStart w:id="9" w:name="_Toc19848"/>
      <w:bookmarkStart w:id="10" w:name="_Toc514139863"/>
      <w:r>
        <w:rPr>
          <w:rFonts w:hint="eastAsia"/>
          <w:color w:val="000000"/>
          <w:sz w:val="24"/>
          <w:highlight w:val="none"/>
        </w:rPr>
        <w:t>3.1鉴于本次招标为投资人暨合作承包建设者招标，投标人须同时具备投资能力和施工能力。</w:t>
      </w:r>
    </w:p>
    <w:p>
      <w:pPr>
        <w:spacing w:line="400" w:lineRule="atLeast"/>
        <w:ind w:firstLine="480" w:firstLineChars="200"/>
        <w:rPr>
          <w:rFonts w:hint="eastAsia"/>
          <w:color w:val="000000"/>
          <w:sz w:val="24"/>
          <w:highlight w:val="none"/>
        </w:rPr>
      </w:pPr>
      <w:r>
        <w:rPr>
          <w:rFonts w:hint="eastAsia"/>
          <w:color w:val="000000"/>
          <w:sz w:val="24"/>
          <w:highlight w:val="none"/>
        </w:rPr>
        <w:t>3.1.1投标人的资质要求：</w:t>
      </w:r>
    </w:p>
    <w:tbl>
      <w:tblPr>
        <w:tblStyle w:val="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62"/>
        <w:gridCol w:w="78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162" w:type="dxa"/>
            <w:noWrap w:val="0"/>
            <w:vAlign w:val="center"/>
          </w:tcPr>
          <w:p>
            <w:pPr>
              <w:pStyle w:val="12"/>
              <w:topLinePunct/>
              <w:spacing w:line="360" w:lineRule="atLeast"/>
              <w:jc w:val="center"/>
              <w:rPr>
                <w:rFonts w:ascii="Times New Roman" w:hAnsi="Times New Roman"/>
                <w:color w:val="000000"/>
                <w:szCs w:val="24"/>
                <w:highlight w:val="none"/>
              </w:rPr>
            </w:pPr>
            <w:r>
              <w:rPr>
                <w:rFonts w:ascii="Times New Roman" w:hAnsi="Times New Roman"/>
                <w:color w:val="000000"/>
                <w:szCs w:val="24"/>
                <w:highlight w:val="none"/>
              </w:rPr>
              <w:t>标段</w:t>
            </w:r>
          </w:p>
        </w:tc>
        <w:tc>
          <w:tcPr>
            <w:tcW w:w="7842" w:type="dxa"/>
            <w:noWrap w:val="0"/>
            <w:vAlign w:val="center"/>
          </w:tcPr>
          <w:p>
            <w:pPr>
              <w:pStyle w:val="12"/>
              <w:topLinePunct/>
              <w:spacing w:line="360" w:lineRule="atLeast"/>
              <w:jc w:val="center"/>
              <w:rPr>
                <w:rFonts w:ascii="Times New Roman" w:hAnsi="Times New Roman"/>
                <w:color w:val="000000"/>
                <w:szCs w:val="24"/>
                <w:highlight w:val="none"/>
              </w:rPr>
            </w:pPr>
            <w:r>
              <w:rPr>
                <w:rFonts w:hint="eastAsia" w:ascii="Times New Roman" w:hAnsi="Times New Roman"/>
                <w:color w:val="000000"/>
                <w:szCs w:val="24"/>
                <w:highlight w:val="none"/>
              </w:rPr>
              <w:t>施工企业资质等级要求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79" w:hRule="atLeast"/>
        </w:trPr>
        <w:tc>
          <w:tcPr>
            <w:tcW w:w="1162" w:type="dxa"/>
            <w:noWrap w:val="0"/>
            <w:vAlign w:val="center"/>
          </w:tcPr>
          <w:p>
            <w:pPr>
              <w:pStyle w:val="11"/>
              <w:spacing w:line="400" w:lineRule="atLeast"/>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7842" w:type="dxa"/>
            <w:noWrap w:val="0"/>
            <w:vAlign w:val="center"/>
          </w:tcPr>
          <w:p>
            <w:pPr>
              <w:pStyle w:val="11"/>
              <w:spacing w:line="360" w:lineRule="auto"/>
              <w:ind w:firstLine="480" w:firstLineChars="200"/>
              <w:rPr>
                <w:rFonts w:hint="eastAsia"/>
                <w:color w:val="000000"/>
                <w:sz w:val="24"/>
                <w:highlight w:val="none"/>
              </w:rPr>
            </w:pPr>
            <w:r>
              <w:rPr>
                <w:rFonts w:hint="eastAsia"/>
                <w:color w:val="000000"/>
                <w:sz w:val="24"/>
                <w:highlight w:val="none"/>
              </w:rPr>
              <w:t>应同时满足：</w:t>
            </w:r>
          </w:p>
          <w:p>
            <w:pPr>
              <w:pStyle w:val="11"/>
              <w:spacing w:line="360" w:lineRule="auto"/>
              <w:ind w:firstLine="480" w:firstLineChars="200"/>
              <w:rPr>
                <w:rFonts w:hint="eastAsia"/>
                <w:color w:val="000000"/>
                <w:sz w:val="24"/>
                <w:highlight w:val="none"/>
              </w:rPr>
            </w:pPr>
            <w:r>
              <w:rPr>
                <w:rFonts w:hint="eastAsia"/>
                <w:color w:val="000000"/>
                <w:sz w:val="24"/>
                <w:highlight w:val="none"/>
              </w:rPr>
              <w:t>①在中华人民共和国境内依法注册、具备独立企业法人资格，且合法存续，没有出现被公司登记机关列入异常名录，包括被列入严重违法失信企业名单、吊销营业执照、注销或处于注销清算等不良状态；</w:t>
            </w:r>
          </w:p>
          <w:p>
            <w:pPr>
              <w:pStyle w:val="11"/>
              <w:spacing w:line="360" w:lineRule="auto"/>
              <w:ind w:firstLine="480" w:firstLineChars="200"/>
              <w:rPr>
                <w:rFonts w:hint="eastAsia"/>
                <w:color w:val="000000"/>
                <w:sz w:val="24"/>
                <w:highlight w:val="none"/>
              </w:rPr>
            </w:pPr>
            <w:r>
              <w:rPr>
                <w:rFonts w:hint="eastAsia"/>
                <w:color w:val="000000"/>
                <w:sz w:val="24"/>
                <w:highlight w:val="none"/>
              </w:rPr>
              <w:t>②满足以下a、b、c中的任一项，且具备有效的安全生产许可证：a)具有公路工程施工总承包特级资质；b)具有公路工程施工总承包壹级资质和隧道工程专业承包壹级资质；c)具有房屋建筑、公路、铁路、市政公用、港口与航道、水利水电等类别中任意1类施工总承包特级资质和其中2类施工总承包壹级资质；</w:t>
            </w:r>
          </w:p>
          <w:p>
            <w:pPr>
              <w:pStyle w:val="11"/>
              <w:spacing w:line="360" w:lineRule="auto"/>
              <w:ind w:firstLine="480" w:firstLineChars="200"/>
              <w:rPr>
                <w:color w:val="000000"/>
                <w:sz w:val="24"/>
                <w:highlight w:val="none"/>
              </w:rPr>
            </w:pPr>
            <w:r>
              <w:rPr>
                <w:rFonts w:hint="eastAsia"/>
                <w:color w:val="000000"/>
                <w:sz w:val="24"/>
                <w:highlight w:val="none"/>
              </w:rPr>
              <w:t>③具有省级及以上交通运输主管部门认定的公路水运工程试验检测机构公路工程综合类乙级（及以上）资质或委托具有公路水运工程试验检测机构公路工程综合类乙级（及以上）资质的试验检测机构组建工地试验室。</w:t>
            </w:r>
          </w:p>
        </w:tc>
      </w:tr>
    </w:tbl>
    <w:p>
      <w:pPr>
        <w:spacing w:line="400" w:lineRule="atLeast"/>
        <w:ind w:firstLine="480" w:firstLineChars="200"/>
        <w:rPr>
          <w:rFonts w:hint="eastAsia"/>
          <w:color w:val="000000"/>
          <w:sz w:val="24"/>
          <w:highlight w:val="none"/>
        </w:rPr>
      </w:pPr>
      <w:r>
        <w:rPr>
          <w:rFonts w:hint="eastAsia"/>
          <w:color w:val="000000"/>
          <w:sz w:val="24"/>
          <w:highlight w:val="none"/>
        </w:rPr>
        <w:t>3.1.2投标人的财务要求：</w:t>
      </w:r>
    </w:p>
    <w:tbl>
      <w:tblPr>
        <w:tblStyle w:val="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80"/>
        <w:gridCol w:w="782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53" w:hRule="atLeast"/>
        </w:trPr>
        <w:tc>
          <w:tcPr>
            <w:tcW w:w="1180" w:type="dxa"/>
            <w:noWrap w:val="0"/>
            <w:vAlign w:val="center"/>
          </w:tcPr>
          <w:p>
            <w:pPr>
              <w:pStyle w:val="11"/>
              <w:adjustRightInd w:val="0"/>
              <w:snapToGrid w:val="0"/>
              <w:spacing w:line="300" w:lineRule="auto"/>
              <w:jc w:val="center"/>
              <w:rPr>
                <w:color w:val="000000"/>
                <w:sz w:val="24"/>
                <w:highlight w:val="none"/>
              </w:rPr>
            </w:pPr>
            <w:r>
              <w:rPr>
                <w:color w:val="000000"/>
                <w:sz w:val="24"/>
                <w:highlight w:val="none"/>
              </w:rPr>
              <w:t>标段</w:t>
            </w:r>
          </w:p>
        </w:tc>
        <w:tc>
          <w:tcPr>
            <w:tcW w:w="7824" w:type="dxa"/>
            <w:noWrap w:val="0"/>
            <w:vAlign w:val="center"/>
          </w:tcPr>
          <w:p>
            <w:pPr>
              <w:pStyle w:val="11"/>
              <w:adjustRightInd w:val="0"/>
              <w:snapToGrid w:val="0"/>
              <w:spacing w:line="300" w:lineRule="auto"/>
              <w:jc w:val="center"/>
              <w:rPr>
                <w:color w:val="000000"/>
                <w:sz w:val="24"/>
                <w:highlight w:val="none"/>
              </w:rPr>
            </w:pPr>
            <w:r>
              <w:rPr>
                <w:color w:val="000000"/>
                <w:sz w:val="24"/>
                <w:highlight w:val="none"/>
              </w:rPr>
              <w:t>财务最低要求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79" w:hRule="atLeast"/>
        </w:trPr>
        <w:tc>
          <w:tcPr>
            <w:tcW w:w="1180" w:type="dxa"/>
            <w:noWrap w:val="0"/>
            <w:vAlign w:val="center"/>
          </w:tcPr>
          <w:p>
            <w:pPr>
              <w:pStyle w:val="11"/>
              <w:spacing w:line="400" w:lineRule="atLeast"/>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7824" w:type="dxa"/>
            <w:noWrap w:val="0"/>
            <w:vAlign w:val="center"/>
          </w:tcPr>
          <w:p>
            <w:pPr>
              <w:pStyle w:val="11"/>
              <w:spacing w:line="400" w:lineRule="exact"/>
              <w:ind w:firstLine="480" w:firstLineChars="200"/>
              <w:rPr>
                <w:rFonts w:hint="eastAsia"/>
                <w:color w:val="000000"/>
                <w:sz w:val="24"/>
                <w:highlight w:val="none"/>
              </w:rPr>
            </w:pPr>
            <w:r>
              <w:rPr>
                <w:rFonts w:hint="eastAsia"/>
                <w:color w:val="000000"/>
                <w:sz w:val="24"/>
                <w:highlight w:val="none"/>
              </w:rPr>
              <w:t>①2021年年末总资产150亿元人民币以上；2021年年末净资产18亿元人民币以上；</w:t>
            </w:r>
          </w:p>
          <w:p>
            <w:pPr>
              <w:pStyle w:val="11"/>
              <w:spacing w:line="400" w:lineRule="exact"/>
              <w:ind w:firstLine="480" w:firstLineChars="200"/>
              <w:rPr>
                <w:color w:val="000000"/>
                <w:sz w:val="24"/>
                <w:highlight w:val="none"/>
              </w:rPr>
            </w:pPr>
            <w:r>
              <w:rPr>
                <w:rFonts w:hint="eastAsia"/>
                <w:color w:val="000000"/>
                <w:sz w:val="24"/>
                <w:highlight w:val="none"/>
              </w:rPr>
              <w:t>②近三年（2019年至2021年，如投标人成立不足三年，则自成立之日以来，下同）年度财务报告应当经具有法定资格的中介机构审计；近三年财务状况良好，没有处于财产被接管、冻结、破产或其他不良状态，无重大不良资产或不良投资项目。</w:t>
            </w:r>
          </w:p>
        </w:tc>
      </w:tr>
    </w:tbl>
    <w:p>
      <w:pPr>
        <w:pStyle w:val="2"/>
        <w:spacing w:line="400" w:lineRule="exact"/>
        <w:ind w:firstLine="480"/>
        <w:rPr>
          <w:color w:val="000000"/>
          <w:sz w:val="24"/>
          <w:highlight w:val="none"/>
        </w:rPr>
      </w:pPr>
      <w:r>
        <w:rPr>
          <w:rFonts w:hint="eastAsia"/>
          <w:color w:val="000000"/>
          <w:sz w:val="24"/>
          <w:highlight w:val="none"/>
        </w:rPr>
        <w:t>3</w:t>
      </w:r>
      <w:r>
        <w:rPr>
          <w:color w:val="000000"/>
          <w:sz w:val="24"/>
          <w:highlight w:val="none"/>
        </w:rPr>
        <w:t xml:space="preserve">.1.3 </w:t>
      </w:r>
      <w:r>
        <w:rPr>
          <w:rFonts w:hint="eastAsia"/>
          <w:color w:val="000000"/>
          <w:sz w:val="24"/>
          <w:highlight w:val="none"/>
        </w:rPr>
        <w:t>投标人自2012年1月1日以来，具有1项单个工程投资总额不少于10亿元人民币的基础设施建设项目（含在建项目)投资的经验。</w:t>
      </w:r>
    </w:p>
    <w:p>
      <w:pPr>
        <w:pStyle w:val="2"/>
        <w:spacing w:line="400" w:lineRule="exact"/>
        <w:ind w:firstLine="480"/>
        <w:rPr>
          <w:rFonts w:hint="eastAsia"/>
          <w:color w:val="000000"/>
          <w:highlight w:val="none"/>
        </w:rPr>
      </w:pPr>
      <w:r>
        <w:rPr>
          <w:rFonts w:hint="eastAsia"/>
          <w:color w:val="000000"/>
          <w:sz w:val="24"/>
          <w:highlight w:val="none"/>
        </w:rPr>
        <w:t>3.2投标人还应在人员、信誉、设备等方面具有相应的能力。</w:t>
      </w:r>
    </w:p>
    <w:p>
      <w:pPr>
        <w:spacing w:line="400" w:lineRule="exact"/>
        <w:ind w:firstLine="480" w:firstLineChars="200"/>
        <w:rPr>
          <w:rFonts w:hint="eastAsia"/>
          <w:color w:val="000000"/>
          <w:sz w:val="24"/>
          <w:highlight w:val="none"/>
        </w:rPr>
      </w:pPr>
      <w:r>
        <w:rPr>
          <w:color w:val="000000"/>
          <w:sz w:val="24"/>
          <w:highlight w:val="none"/>
        </w:rPr>
        <w:t>3.</w:t>
      </w:r>
      <w:r>
        <w:rPr>
          <w:rFonts w:hint="eastAsia"/>
          <w:color w:val="000000"/>
          <w:sz w:val="24"/>
          <w:highlight w:val="none"/>
        </w:rPr>
        <w:t>3</w:t>
      </w:r>
      <w:r>
        <w:rPr>
          <w:color w:val="000000"/>
          <w:sz w:val="24"/>
          <w:highlight w:val="none"/>
        </w:rPr>
        <w:t>本次招标</w:t>
      </w:r>
      <w:r>
        <w:rPr>
          <w:rFonts w:hint="eastAsia"/>
          <w:b/>
          <w:color w:val="000000"/>
          <w:sz w:val="24"/>
          <w:highlight w:val="none"/>
          <w:u w:val="single"/>
        </w:rPr>
        <w:t>接受</w:t>
      </w:r>
      <w:r>
        <w:rPr>
          <w:color w:val="000000"/>
          <w:sz w:val="24"/>
          <w:highlight w:val="none"/>
        </w:rPr>
        <w:t>联合体投标。</w:t>
      </w:r>
      <w:r>
        <w:rPr>
          <w:rFonts w:hint="eastAsia"/>
          <w:color w:val="000000"/>
          <w:sz w:val="24"/>
          <w:highlight w:val="none"/>
        </w:rPr>
        <w:t>联合体投标的，应满足下列要求：</w:t>
      </w:r>
    </w:p>
    <w:p>
      <w:pPr>
        <w:spacing w:line="400" w:lineRule="exact"/>
        <w:ind w:firstLine="480" w:firstLineChars="200"/>
        <w:rPr>
          <w:rFonts w:hint="eastAsia"/>
          <w:color w:val="000000"/>
          <w:sz w:val="24"/>
          <w:highlight w:val="none"/>
        </w:rPr>
      </w:pPr>
      <w:r>
        <w:rPr>
          <w:rFonts w:hint="eastAsia"/>
          <w:color w:val="000000"/>
          <w:sz w:val="24"/>
          <w:highlight w:val="none"/>
        </w:rPr>
        <w:t>①联合体各成员均应满足3.1.1款的第①项、第3.1.2款的第②项的要求；</w:t>
      </w:r>
    </w:p>
    <w:p>
      <w:pPr>
        <w:spacing w:line="400" w:lineRule="exact"/>
        <w:ind w:firstLine="480" w:firstLineChars="200"/>
        <w:rPr>
          <w:rFonts w:hint="eastAsia"/>
          <w:color w:val="000000"/>
          <w:sz w:val="24"/>
          <w:highlight w:val="none"/>
        </w:rPr>
      </w:pPr>
      <w:r>
        <w:rPr>
          <w:rFonts w:hint="eastAsia"/>
          <w:color w:val="000000"/>
          <w:sz w:val="24"/>
          <w:highlight w:val="none"/>
        </w:rPr>
        <w:t>②联合体总体能力满足3.1.1款的第②、③项、第3.1.2款的第①项的要求；</w:t>
      </w:r>
    </w:p>
    <w:p>
      <w:pPr>
        <w:spacing w:line="400" w:lineRule="exact"/>
        <w:ind w:firstLine="480" w:firstLineChars="200"/>
        <w:rPr>
          <w:rFonts w:hint="eastAsia"/>
          <w:color w:val="000000"/>
          <w:sz w:val="24"/>
          <w:highlight w:val="none"/>
        </w:rPr>
      </w:pPr>
      <w:r>
        <w:rPr>
          <w:rFonts w:hint="eastAsia"/>
          <w:color w:val="000000"/>
          <w:sz w:val="24"/>
          <w:highlight w:val="none"/>
        </w:rPr>
        <w:t>③联合体成员应具备与其承担的工程内容相适应的资质；</w:t>
      </w:r>
    </w:p>
    <w:p>
      <w:pPr>
        <w:spacing w:line="400" w:lineRule="exact"/>
        <w:ind w:firstLine="480" w:firstLineChars="200"/>
        <w:rPr>
          <w:rFonts w:hint="eastAsia"/>
          <w:color w:val="000000"/>
          <w:sz w:val="24"/>
          <w:highlight w:val="none"/>
        </w:rPr>
      </w:pPr>
      <w:r>
        <w:rPr>
          <w:rFonts w:hint="eastAsia"/>
          <w:color w:val="000000"/>
          <w:sz w:val="24"/>
          <w:highlight w:val="none"/>
        </w:rPr>
        <w:t>④联合体各方均不得再以自己名义单独或参加其他联合体在同一标段的投标；</w:t>
      </w:r>
    </w:p>
    <w:p>
      <w:pPr>
        <w:spacing w:line="400" w:lineRule="exact"/>
        <w:ind w:firstLine="480" w:firstLineChars="200"/>
        <w:rPr>
          <w:color w:val="000000"/>
          <w:sz w:val="24"/>
          <w:highlight w:val="none"/>
        </w:rPr>
      </w:pPr>
      <w:r>
        <w:rPr>
          <w:rFonts w:hint="eastAsia" w:ascii="宋体" w:hAnsi="宋体" w:cs="宋体"/>
          <w:color w:val="000000"/>
          <w:sz w:val="24"/>
          <w:highlight w:val="none"/>
        </w:rPr>
        <w:t>⑤</w:t>
      </w:r>
      <w:r>
        <w:rPr>
          <w:rFonts w:hint="eastAsia"/>
          <w:color w:val="000000"/>
          <w:sz w:val="24"/>
          <w:highlight w:val="none"/>
        </w:rPr>
        <w:t xml:space="preserve">联合体所有成员数量不得超过 </w:t>
      </w:r>
      <w:r>
        <w:rPr>
          <w:rFonts w:hint="eastAsia"/>
          <w:color w:val="000000"/>
          <w:sz w:val="24"/>
          <w:highlight w:val="none"/>
          <w:lang w:val="en-US" w:eastAsia="zh-CN"/>
        </w:rPr>
        <w:t>4</w:t>
      </w:r>
      <w:r>
        <w:rPr>
          <w:rFonts w:hint="eastAsia"/>
          <w:color w:val="000000"/>
          <w:sz w:val="24"/>
          <w:highlight w:val="none"/>
        </w:rPr>
        <w:t>家。</w:t>
      </w:r>
    </w:p>
    <w:p>
      <w:pPr>
        <w:tabs>
          <w:tab w:val="left" w:pos="360"/>
        </w:tabs>
        <w:spacing w:line="400" w:lineRule="exact"/>
        <w:ind w:firstLine="480" w:firstLineChars="200"/>
        <w:rPr>
          <w:color w:val="000000"/>
          <w:sz w:val="24"/>
          <w:highlight w:val="none"/>
        </w:rPr>
      </w:pPr>
      <w:r>
        <w:rPr>
          <w:color w:val="000000"/>
          <w:sz w:val="24"/>
          <w:highlight w:val="none"/>
        </w:rPr>
        <w:t>3</w:t>
      </w:r>
      <w:r>
        <w:rPr>
          <w:rFonts w:hint="eastAsia"/>
          <w:color w:val="000000"/>
          <w:sz w:val="24"/>
          <w:highlight w:val="none"/>
        </w:rPr>
        <w:t xml:space="preserve">.4 </w:t>
      </w:r>
      <w:r>
        <w:rPr>
          <w:color w:val="000000"/>
          <w:sz w:val="24"/>
          <w:highlight w:val="none"/>
        </w:rPr>
        <w:t>与招标人存在利害关系可能影响招标公正性的</w:t>
      </w:r>
      <w:r>
        <w:rPr>
          <w:rFonts w:hint="eastAsia"/>
          <w:color w:val="000000"/>
          <w:sz w:val="24"/>
          <w:highlight w:val="none"/>
        </w:rPr>
        <w:t>单位</w:t>
      </w:r>
      <w:r>
        <w:rPr>
          <w:color w:val="000000"/>
          <w:sz w:val="24"/>
          <w:highlight w:val="none"/>
        </w:rPr>
        <w:t>，不得参加投标</w:t>
      </w:r>
      <w:r>
        <w:rPr>
          <w:rFonts w:hint="eastAsia"/>
          <w:color w:val="000000"/>
          <w:sz w:val="24"/>
          <w:highlight w:val="none"/>
        </w:rPr>
        <w:t>。单位负责人为同一人或存在控股、管理关系的不同单位，不得参加同一标段投标，否则，相关投标均无效。</w:t>
      </w:r>
    </w:p>
    <w:p>
      <w:pPr>
        <w:tabs>
          <w:tab w:val="left" w:pos="360"/>
        </w:tabs>
        <w:spacing w:line="400" w:lineRule="atLeast"/>
        <w:ind w:firstLine="480" w:firstLineChars="200"/>
        <w:rPr>
          <w:color w:val="000000"/>
          <w:sz w:val="24"/>
          <w:highlight w:val="none"/>
        </w:rPr>
      </w:pPr>
      <w:r>
        <w:rPr>
          <w:rFonts w:hint="eastAsia"/>
          <w:color w:val="000000"/>
          <w:sz w:val="24"/>
          <w:highlight w:val="none"/>
        </w:rPr>
        <w:t>3.5投标人在国家企业信用信息公示系统（http:// www.gsxt.gov.cn/）中未被列入严重违法失信企业名单、在“信用中国”网站（http://www.creditchina.gov.cn/）中未被列入失信被执行人名单。</w:t>
      </w:r>
    </w:p>
    <w:p>
      <w:pPr>
        <w:spacing w:line="400" w:lineRule="exact"/>
        <w:ind w:firstLine="480" w:firstLineChars="200"/>
        <w:rPr>
          <w:rFonts w:hint="eastAsia"/>
          <w:color w:val="000000"/>
          <w:sz w:val="24"/>
          <w:highlight w:val="none"/>
        </w:rPr>
      </w:pPr>
      <w:r>
        <w:rPr>
          <w:rFonts w:hint="eastAsia"/>
          <w:color w:val="000000"/>
          <w:sz w:val="24"/>
          <w:highlight w:val="none"/>
        </w:rPr>
        <w:t>3.6按照《昭通市保障农民工工资支付工作领导小组办公室关于加强工资支付信用审查有关事项的通知》（昭保支办发〔2018〕6号）要求，</w:t>
      </w:r>
      <w:r>
        <w:rPr>
          <w:rFonts w:hint="eastAsia"/>
          <w:b/>
          <w:bCs/>
          <w:color w:val="000000"/>
          <w:sz w:val="24"/>
          <w:highlight w:val="none"/>
        </w:rPr>
        <w:t>各投标人须于招标文件获取截止时间前</w:t>
      </w:r>
      <w:r>
        <w:rPr>
          <w:rFonts w:hint="eastAsia"/>
          <w:color w:val="000000"/>
          <w:sz w:val="24"/>
          <w:highlight w:val="none"/>
        </w:rPr>
        <w:t>，将企业社会统一信用代码证（扫描件）和《工资支付信用记录查询申请表》（下载网址</w:t>
      </w:r>
      <w:r>
        <w:rPr>
          <w:rFonts w:hint="eastAsia"/>
          <w:color w:val="000000"/>
          <w:sz w:val="24"/>
          <w:highlight w:val="none"/>
        </w:rPr>
        <w:fldChar w:fldCharType="begin"/>
      </w:r>
      <w:r>
        <w:rPr>
          <w:rFonts w:hint="eastAsia"/>
          <w:color w:val="000000"/>
          <w:sz w:val="24"/>
          <w:highlight w:val="none"/>
        </w:rPr>
        <w:instrText xml:space="preserve"> HYPERLINK "http://rsj.zt.gov.cn/pages_8_12570.aspx" </w:instrText>
      </w:r>
      <w:r>
        <w:rPr>
          <w:rFonts w:hint="eastAsia"/>
          <w:color w:val="000000"/>
          <w:sz w:val="24"/>
          <w:highlight w:val="none"/>
        </w:rPr>
        <w:fldChar w:fldCharType="separate"/>
      </w:r>
      <w:r>
        <w:rPr>
          <w:rFonts w:hint="eastAsia"/>
          <w:color w:val="000000"/>
          <w:sz w:val="24"/>
          <w:highlight w:val="none"/>
        </w:rPr>
        <w:t>http://www.zt.gov.cn/</w:t>
      </w:r>
      <w:r>
        <w:rPr>
          <w:rFonts w:hint="eastAsia"/>
          <w:color w:val="000000"/>
          <w:sz w:val="24"/>
          <w:highlight w:val="none"/>
        </w:rPr>
        <w:fldChar w:fldCharType="end"/>
      </w:r>
      <w:r>
        <w:rPr>
          <w:rFonts w:hint="eastAsia"/>
          <w:color w:val="000000"/>
          <w:sz w:val="24"/>
          <w:highlight w:val="none"/>
        </w:rPr>
        <w:t>lanmu/zwgk/contents/1904/159458.html）报昭通市劳动保障监察支队（电子邮箱ztxysc@126.com），昭通市劳动保障监察支队收到并审查后，于项目当日开标9时前向交易中心统一反馈工资支付信用审查情况提交评标委员会评审。对未按时提供工资支付信用查询申请或有拖欠农民工工资行为的各类企业，一律不得参与本项目投标。</w:t>
      </w:r>
    </w:p>
    <w:p>
      <w:pPr>
        <w:spacing w:line="400" w:lineRule="exact"/>
        <w:ind w:firstLine="480" w:firstLineChars="200"/>
        <w:rPr>
          <w:rFonts w:hint="eastAsia"/>
          <w:color w:val="000000"/>
          <w:sz w:val="24"/>
          <w:highlight w:val="none"/>
        </w:rPr>
      </w:pPr>
      <w:r>
        <w:rPr>
          <w:rFonts w:hint="eastAsia"/>
          <w:color w:val="000000"/>
          <w:sz w:val="24"/>
          <w:highlight w:val="none"/>
        </w:rPr>
        <w:t>3.7 本项目农民工工资管理按《保障农民工工资支付条例》（国务院令第724号）执行。投标人中标后必须实行人工费与工程款分账管理制度，并设立农民工工资专用账户进行管理，实行按月足额支付农民工工资。</w:t>
      </w:r>
    </w:p>
    <w:p>
      <w:pPr>
        <w:pStyle w:val="3"/>
        <w:spacing w:before="240" w:after="240" w:line="240" w:lineRule="atLeast"/>
        <w:rPr>
          <w:rFonts w:hint="eastAsia" w:eastAsia="黑体"/>
          <w:color w:val="000000"/>
          <w:sz w:val="28"/>
          <w:szCs w:val="28"/>
        </w:rPr>
      </w:pPr>
      <w:r>
        <w:rPr>
          <w:rFonts w:eastAsia="黑体"/>
          <w:color w:val="000000"/>
          <w:sz w:val="28"/>
          <w:szCs w:val="28"/>
        </w:rPr>
        <w:t xml:space="preserve">4. </w:t>
      </w:r>
      <w:r>
        <w:rPr>
          <w:rFonts w:hint="eastAsia" w:eastAsia="黑体"/>
          <w:color w:val="000000"/>
          <w:sz w:val="28"/>
          <w:szCs w:val="28"/>
        </w:rPr>
        <w:t>评标办法</w:t>
      </w:r>
      <w:bookmarkEnd w:id="9"/>
      <w:bookmarkEnd w:id="10"/>
    </w:p>
    <w:p>
      <w:pPr>
        <w:tabs>
          <w:tab w:val="left" w:pos="360"/>
        </w:tabs>
        <w:spacing w:line="400" w:lineRule="atLeast"/>
        <w:ind w:firstLine="480" w:firstLineChars="200"/>
        <w:rPr>
          <w:rFonts w:hint="eastAsia"/>
          <w:color w:val="000000"/>
          <w:sz w:val="24"/>
        </w:rPr>
      </w:pPr>
      <w:r>
        <w:rPr>
          <w:color w:val="000000"/>
          <w:sz w:val="24"/>
        </w:rPr>
        <w:t>本项目评标采用</w:t>
      </w:r>
      <w:r>
        <w:rPr>
          <w:rFonts w:hint="eastAsia"/>
          <w:b/>
          <w:bCs/>
          <w:color w:val="000000"/>
          <w:sz w:val="24"/>
        </w:rPr>
        <w:t>综合评分法。</w:t>
      </w:r>
    </w:p>
    <w:p>
      <w:pPr>
        <w:pStyle w:val="3"/>
        <w:spacing w:before="240" w:after="240" w:line="240" w:lineRule="atLeast"/>
        <w:rPr>
          <w:rFonts w:eastAsia="黑体"/>
          <w:color w:val="000000"/>
          <w:sz w:val="28"/>
          <w:szCs w:val="28"/>
        </w:rPr>
      </w:pPr>
      <w:bookmarkStart w:id="11" w:name="_Toc514139864"/>
      <w:bookmarkStart w:id="12" w:name="_Toc503235718"/>
      <w:bookmarkStart w:id="13" w:name="_Toc15575"/>
      <w:r>
        <w:rPr>
          <w:rFonts w:eastAsia="黑体"/>
          <w:color w:val="000000"/>
          <w:sz w:val="28"/>
          <w:szCs w:val="28"/>
        </w:rPr>
        <w:t>5.</w:t>
      </w:r>
      <w:bookmarkEnd w:id="11"/>
      <w:bookmarkEnd w:id="12"/>
      <w:r>
        <w:rPr>
          <w:rFonts w:hint="eastAsia" w:eastAsia="黑体"/>
          <w:color w:val="000000"/>
          <w:sz w:val="28"/>
          <w:szCs w:val="28"/>
        </w:rPr>
        <w:t xml:space="preserve"> </w:t>
      </w:r>
      <w:r>
        <w:rPr>
          <w:rFonts w:eastAsia="黑体"/>
          <w:color w:val="000000"/>
          <w:sz w:val="28"/>
          <w:szCs w:val="28"/>
        </w:rPr>
        <w:t>招标文件的获取</w:t>
      </w:r>
      <w:bookmarkEnd w:id="13"/>
      <w:r>
        <w:rPr>
          <w:rFonts w:eastAsia="黑体"/>
          <w:color w:val="000000"/>
          <w:sz w:val="28"/>
          <w:szCs w:val="28"/>
        </w:rPr>
        <w:tab/>
      </w:r>
    </w:p>
    <w:p>
      <w:pPr>
        <w:topLinePunct/>
        <w:spacing w:line="400" w:lineRule="atLeast"/>
        <w:ind w:firstLine="480" w:firstLineChars="200"/>
        <w:rPr>
          <w:color w:val="000000"/>
          <w:sz w:val="24"/>
          <w:highlight w:val="none"/>
        </w:rPr>
      </w:pPr>
      <w:r>
        <w:rPr>
          <w:rFonts w:hint="eastAsia"/>
          <w:color w:val="000000"/>
          <w:sz w:val="24"/>
        </w:rPr>
        <w:t>5.1</w:t>
      </w:r>
      <w:r>
        <w:rPr>
          <w:rFonts w:hint="eastAsia"/>
          <w:color w:val="000000"/>
          <w:sz w:val="24"/>
          <w:highlight w:val="none"/>
        </w:rPr>
        <w:t>凡有意参加投标者，请于</w:t>
      </w:r>
      <w:r>
        <w:rPr>
          <w:rFonts w:hint="eastAsia"/>
          <w:color w:val="000000"/>
          <w:sz w:val="24"/>
          <w:highlight w:val="none"/>
          <w:u w:val="single"/>
        </w:rPr>
        <w:t>2022</w:t>
      </w:r>
      <w:r>
        <w:rPr>
          <w:rFonts w:hint="eastAsia"/>
          <w:color w:val="000000"/>
          <w:sz w:val="24"/>
          <w:highlight w:val="none"/>
        </w:rPr>
        <w:t>年</w:t>
      </w:r>
      <w:r>
        <w:rPr>
          <w:rFonts w:hint="eastAsia"/>
          <w:color w:val="000000"/>
          <w:sz w:val="24"/>
          <w:highlight w:val="none"/>
          <w:u w:val="single"/>
          <w:lang w:val="en-US" w:eastAsia="zh-CN"/>
        </w:rPr>
        <w:t>10</w:t>
      </w:r>
      <w:r>
        <w:rPr>
          <w:rFonts w:hint="eastAsia"/>
          <w:color w:val="000000"/>
          <w:sz w:val="24"/>
          <w:highlight w:val="none"/>
        </w:rPr>
        <w:t>月</w:t>
      </w:r>
      <w:r>
        <w:rPr>
          <w:rFonts w:hint="eastAsia"/>
          <w:color w:val="000000"/>
          <w:sz w:val="24"/>
          <w:highlight w:val="none"/>
          <w:u w:val="single"/>
          <w:lang w:val="en-US" w:eastAsia="zh-CN"/>
        </w:rPr>
        <w:t>19</w:t>
      </w:r>
      <w:r>
        <w:rPr>
          <w:rFonts w:hint="eastAsia"/>
          <w:color w:val="000000"/>
          <w:sz w:val="24"/>
          <w:highlight w:val="none"/>
        </w:rPr>
        <w:t>日</w:t>
      </w:r>
      <w:r>
        <w:rPr>
          <w:rFonts w:hint="eastAsia"/>
          <w:color w:val="000000"/>
          <w:sz w:val="24"/>
          <w:highlight w:val="none"/>
          <w:u w:val="single"/>
        </w:rPr>
        <w:t xml:space="preserve"> 9</w:t>
      </w:r>
      <w:r>
        <w:rPr>
          <w:rFonts w:hint="eastAsia"/>
          <w:color w:val="000000"/>
          <w:sz w:val="24"/>
          <w:highlight w:val="none"/>
        </w:rPr>
        <w:t>时</w:t>
      </w:r>
      <w:r>
        <w:rPr>
          <w:rFonts w:hint="eastAsia"/>
          <w:color w:val="000000"/>
          <w:sz w:val="24"/>
          <w:highlight w:val="none"/>
          <w:u w:val="single"/>
        </w:rPr>
        <w:t>00</w:t>
      </w:r>
      <w:r>
        <w:rPr>
          <w:rFonts w:hint="eastAsia"/>
          <w:color w:val="000000"/>
          <w:sz w:val="24"/>
          <w:highlight w:val="none"/>
        </w:rPr>
        <w:t>分至</w:t>
      </w:r>
      <w:r>
        <w:rPr>
          <w:rFonts w:hint="eastAsia"/>
          <w:color w:val="000000"/>
          <w:sz w:val="24"/>
          <w:highlight w:val="none"/>
          <w:u w:val="single"/>
        </w:rPr>
        <w:t xml:space="preserve"> 2022</w:t>
      </w:r>
      <w:r>
        <w:rPr>
          <w:rFonts w:hint="eastAsia"/>
          <w:color w:val="000000"/>
          <w:sz w:val="24"/>
          <w:highlight w:val="none"/>
        </w:rPr>
        <w:t>年</w:t>
      </w:r>
      <w:r>
        <w:rPr>
          <w:rFonts w:hint="eastAsia"/>
          <w:color w:val="000000"/>
          <w:sz w:val="24"/>
          <w:highlight w:val="none"/>
          <w:u w:val="single"/>
          <w:lang w:val="en-US" w:eastAsia="zh-CN"/>
        </w:rPr>
        <w:t>10</w:t>
      </w:r>
      <w:r>
        <w:rPr>
          <w:rFonts w:hint="eastAsia"/>
          <w:color w:val="000000"/>
          <w:sz w:val="24"/>
          <w:highlight w:val="none"/>
        </w:rPr>
        <w:t>月</w:t>
      </w:r>
      <w:r>
        <w:rPr>
          <w:rFonts w:hint="eastAsia"/>
          <w:color w:val="000000"/>
          <w:sz w:val="24"/>
          <w:highlight w:val="none"/>
          <w:u w:val="single"/>
          <w:lang w:val="en-US" w:eastAsia="zh-CN"/>
        </w:rPr>
        <w:t>25</w:t>
      </w:r>
      <w:r>
        <w:rPr>
          <w:rFonts w:hint="eastAsia"/>
          <w:color w:val="000000"/>
          <w:sz w:val="24"/>
          <w:highlight w:val="none"/>
        </w:rPr>
        <w:t>日</w:t>
      </w:r>
      <w:r>
        <w:rPr>
          <w:rFonts w:hint="eastAsia"/>
          <w:color w:val="000000"/>
          <w:sz w:val="24"/>
          <w:highlight w:val="none"/>
          <w:u w:val="single"/>
        </w:rPr>
        <w:t>23</w:t>
      </w:r>
      <w:r>
        <w:rPr>
          <w:rFonts w:hint="eastAsia"/>
          <w:color w:val="000000"/>
          <w:sz w:val="24"/>
          <w:highlight w:val="none"/>
        </w:rPr>
        <w:t xml:space="preserve"> 时</w:t>
      </w:r>
      <w:r>
        <w:rPr>
          <w:rFonts w:hint="eastAsia"/>
          <w:color w:val="000000"/>
          <w:sz w:val="24"/>
          <w:highlight w:val="none"/>
          <w:u w:val="single"/>
        </w:rPr>
        <w:t>59</w:t>
      </w:r>
      <w:r>
        <w:rPr>
          <w:rFonts w:hint="eastAsia"/>
          <w:color w:val="000000"/>
          <w:sz w:val="24"/>
          <w:highlight w:val="none"/>
        </w:rPr>
        <w:t>分（北京时间，下同） ，登录云南省公共资源交易信息网（网址：http://ggzy.yn.gov.cn），选择“昭通市”，</w:t>
      </w:r>
      <w:r>
        <w:rPr>
          <w:color w:val="000000"/>
          <w:sz w:val="24"/>
          <w:highlight w:val="none"/>
        </w:rPr>
        <w:t>凭企业数字证书（CA）在网上获取电子招标文件及其它招标资料</w:t>
      </w:r>
      <w:r>
        <w:rPr>
          <w:rFonts w:hint="eastAsia"/>
          <w:color w:val="000000"/>
          <w:sz w:val="24"/>
          <w:highlight w:val="none"/>
        </w:rPr>
        <w:t>，电子招标文件格式为*.BZBJ</w:t>
      </w:r>
      <w:r>
        <w:rPr>
          <w:color w:val="000000"/>
          <w:sz w:val="24"/>
          <w:highlight w:val="none"/>
        </w:rPr>
        <w:t>；未办理企业数字证书（CA）的企业需要按照云南省公共资源交易电子认证的要求，办理企业数字证书（CA），并在</w:t>
      </w:r>
      <w:r>
        <w:rPr>
          <w:rFonts w:hint="eastAsia"/>
          <w:color w:val="000000"/>
          <w:sz w:val="24"/>
          <w:highlight w:val="none"/>
        </w:rPr>
        <w:t>云南省公共资源交易信息网（网址：http://ggzy.yn.gov.cn），选择“昭通市”</w:t>
      </w:r>
      <w:r>
        <w:rPr>
          <w:color w:val="000000"/>
          <w:sz w:val="24"/>
          <w:highlight w:val="none"/>
        </w:rPr>
        <w:t>（CA</w:t>
      </w:r>
      <w:r>
        <w:rPr>
          <w:rFonts w:hint="eastAsia"/>
          <w:color w:val="000000"/>
          <w:sz w:val="24"/>
          <w:highlight w:val="none"/>
        </w:rPr>
        <w:t>办理</w:t>
      </w:r>
      <w:r>
        <w:rPr>
          <w:color w:val="000000"/>
          <w:sz w:val="24"/>
          <w:highlight w:val="none"/>
        </w:rPr>
        <w:t>）完成注册通过后，获取招标文件。</w:t>
      </w:r>
      <w:r>
        <w:rPr>
          <w:b/>
          <w:bCs/>
          <w:color w:val="000000"/>
          <w:sz w:val="24"/>
          <w:highlight w:val="none"/>
        </w:rPr>
        <w:t>注：此为获取招标文件的唯一途径。</w:t>
      </w:r>
    </w:p>
    <w:p>
      <w:pPr>
        <w:pStyle w:val="3"/>
        <w:spacing w:before="240" w:after="240" w:line="240" w:lineRule="atLeast"/>
        <w:rPr>
          <w:rFonts w:eastAsia="黑体"/>
          <w:color w:val="000000"/>
          <w:sz w:val="28"/>
          <w:szCs w:val="28"/>
        </w:rPr>
      </w:pPr>
      <w:bookmarkStart w:id="14" w:name="_Toc5589"/>
      <w:bookmarkStart w:id="15" w:name="_Toc514139865"/>
      <w:bookmarkStart w:id="16" w:name="_Toc503235719"/>
      <w:r>
        <w:rPr>
          <w:rFonts w:eastAsia="黑体"/>
          <w:color w:val="000000"/>
          <w:sz w:val="28"/>
          <w:szCs w:val="28"/>
        </w:rPr>
        <w:t>6. 投标文件的递交及相关事宜</w:t>
      </w:r>
      <w:bookmarkEnd w:id="14"/>
      <w:bookmarkEnd w:id="15"/>
      <w:bookmarkEnd w:id="16"/>
    </w:p>
    <w:p>
      <w:pPr>
        <w:tabs>
          <w:tab w:val="left" w:pos="360"/>
        </w:tabs>
        <w:spacing w:line="400" w:lineRule="atLeast"/>
        <w:ind w:firstLine="480" w:firstLineChars="200"/>
        <w:rPr>
          <w:color w:val="000000"/>
          <w:sz w:val="24"/>
        </w:rPr>
      </w:pPr>
      <w:r>
        <w:rPr>
          <w:color w:val="000000"/>
          <w:sz w:val="24"/>
        </w:rPr>
        <w:t>6.1</w:t>
      </w:r>
      <w:r>
        <w:rPr>
          <w:rFonts w:hint="eastAsia"/>
          <w:color w:val="000000"/>
          <w:sz w:val="24"/>
        </w:rPr>
        <w:t>招标人不组织现场踏勘、不召开投标预备会</w:t>
      </w:r>
      <w:r>
        <w:rPr>
          <w:color w:val="000000"/>
          <w:sz w:val="24"/>
        </w:rPr>
        <w:t>。</w:t>
      </w:r>
    </w:p>
    <w:p>
      <w:pPr>
        <w:spacing w:line="440" w:lineRule="exact"/>
        <w:ind w:firstLine="480" w:firstLineChars="200"/>
        <w:rPr>
          <w:color w:val="000000"/>
          <w:kern w:val="0"/>
          <w:sz w:val="24"/>
          <w:highlight w:val="none"/>
        </w:rPr>
      </w:pPr>
      <w:r>
        <w:rPr>
          <w:color w:val="000000"/>
          <w:sz w:val="24"/>
        </w:rPr>
        <w:t>6.2</w:t>
      </w:r>
      <w:r>
        <w:rPr>
          <w:color w:val="000000"/>
          <w:kern w:val="0"/>
          <w:sz w:val="24"/>
          <w:highlight w:val="none"/>
        </w:rPr>
        <w:t>投标文件递交截止时间（投标截止时间，下同）为：</w:t>
      </w:r>
      <w:r>
        <w:rPr>
          <w:rFonts w:eastAsia="Times New Roman"/>
          <w:color w:val="000000"/>
          <w:kern w:val="0"/>
          <w:sz w:val="24"/>
          <w:highlight w:val="none"/>
          <w:u w:val="single"/>
        </w:rPr>
        <w:t>20</w:t>
      </w:r>
      <w:r>
        <w:rPr>
          <w:color w:val="000000"/>
          <w:kern w:val="0"/>
          <w:sz w:val="24"/>
          <w:highlight w:val="none"/>
          <w:u w:val="single"/>
        </w:rPr>
        <w:t>2</w:t>
      </w:r>
      <w:r>
        <w:rPr>
          <w:rFonts w:hint="eastAsia"/>
          <w:color w:val="000000"/>
          <w:kern w:val="0"/>
          <w:sz w:val="24"/>
          <w:highlight w:val="none"/>
          <w:u w:val="single"/>
        </w:rPr>
        <w:t>2</w:t>
      </w:r>
      <w:r>
        <w:rPr>
          <w:color w:val="000000"/>
          <w:kern w:val="0"/>
          <w:sz w:val="24"/>
          <w:highlight w:val="none"/>
        </w:rPr>
        <w:t>年</w:t>
      </w:r>
      <w:r>
        <w:rPr>
          <w:rFonts w:hint="eastAsia"/>
          <w:color w:val="000000"/>
          <w:sz w:val="24"/>
          <w:highlight w:val="none"/>
          <w:u w:val="single"/>
          <w:lang w:val="en-US" w:eastAsia="zh-CN"/>
        </w:rPr>
        <w:t>11</w:t>
      </w:r>
      <w:r>
        <w:rPr>
          <w:color w:val="000000"/>
          <w:kern w:val="0"/>
          <w:sz w:val="24"/>
          <w:highlight w:val="none"/>
        </w:rPr>
        <w:t>月</w:t>
      </w:r>
      <w:r>
        <w:rPr>
          <w:rFonts w:hint="eastAsia"/>
          <w:color w:val="000000"/>
          <w:sz w:val="24"/>
          <w:highlight w:val="none"/>
          <w:u w:val="single"/>
          <w:lang w:val="en-US" w:eastAsia="zh-CN"/>
        </w:rPr>
        <w:t>11</w:t>
      </w:r>
      <w:r>
        <w:rPr>
          <w:color w:val="000000"/>
          <w:kern w:val="0"/>
          <w:sz w:val="24"/>
          <w:highlight w:val="none"/>
        </w:rPr>
        <w:t>日</w:t>
      </w:r>
      <w:r>
        <w:rPr>
          <w:rFonts w:hint="eastAsia"/>
          <w:color w:val="000000"/>
          <w:kern w:val="0"/>
          <w:sz w:val="24"/>
          <w:highlight w:val="none"/>
        </w:rPr>
        <w:t>0</w:t>
      </w:r>
      <w:r>
        <w:rPr>
          <w:rFonts w:hint="eastAsia"/>
          <w:color w:val="000000"/>
          <w:kern w:val="0"/>
          <w:sz w:val="24"/>
          <w:highlight w:val="none"/>
          <w:u w:val="single"/>
        </w:rPr>
        <w:t>9</w:t>
      </w:r>
      <w:r>
        <w:rPr>
          <w:color w:val="000000"/>
          <w:kern w:val="0"/>
          <w:sz w:val="24"/>
          <w:highlight w:val="none"/>
        </w:rPr>
        <w:t>时</w:t>
      </w:r>
      <w:r>
        <w:rPr>
          <w:rFonts w:hint="eastAsia"/>
          <w:color w:val="000000"/>
          <w:kern w:val="0"/>
          <w:sz w:val="24"/>
          <w:highlight w:val="none"/>
          <w:u w:val="single"/>
          <w:lang w:val="en-US" w:eastAsia="zh-CN"/>
        </w:rPr>
        <w:t>3</w:t>
      </w:r>
      <w:r>
        <w:rPr>
          <w:rFonts w:hint="eastAsia"/>
          <w:color w:val="000000"/>
          <w:kern w:val="0"/>
          <w:sz w:val="24"/>
          <w:highlight w:val="none"/>
          <w:u w:val="single"/>
        </w:rPr>
        <w:t>0</w:t>
      </w:r>
      <w:r>
        <w:rPr>
          <w:color w:val="000000"/>
          <w:kern w:val="0"/>
          <w:sz w:val="24"/>
          <w:highlight w:val="none"/>
        </w:rPr>
        <w:t>分。</w:t>
      </w:r>
    </w:p>
    <w:p>
      <w:pPr>
        <w:spacing w:line="400" w:lineRule="atLeast"/>
        <w:ind w:firstLine="480" w:firstLineChars="200"/>
        <w:rPr>
          <w:rFonts w:hint="eastAsia"/>
          <w:color w:val="000000"/>
          <w:sz w:val="24"/>
          <w:highlight w:val="none"/>
        </w:rPr>
      </w:pPr>
      <w:r>
        <w:rPr>
          <w:rFonts w:hint="eastAsia"/>
          <w:color w:val="000000"/>
          <w:sz w:val="24"/>
          <w:highlight w:val="none"/>
        </w:rPr>
        <w:t xml:space="preserve">网上递交网址：云南省公共资源交易信息网（网址：http://ggzy.yn.gov.cn），选择“昭通市”，投标人须在投标截止时间前完成所有投标文件的上传，网上确认电子签名，并打印“上传投标文件回执”（如因修改重新上传投标文件后，需再次确认并打印回执），投标截止时间前未完成投标文件传输的，视为撤回投标文件。 </w:t>
      </w:r>
    </w:p>
    <w:p>
      <w:pPr>
        <w:spacing w:line="400" w:lineRule="atLeast"/>
        <w:ind w:firstLine="480" w:firstLineChars="200"/>
        <w:rPr>
          <w:rFonts w:hint="eastAsia"/>
          <w:color w:val="000000"/>
          <w:sz w:val="24"/>
        </w:rPr>
      </w:pPr>
      <w:r>
        <w:rPr>
          <w:rFonts w:hint="eastAsia"/>
          <w:color w:val="000000"/>
          <w:sz w:val="24"/>
          <w:highlight w:val="none"/>
        </w:rPr>
        <w:t>网上递交电子投标文件后，不再递交刻录投标文件的光盘。</w:t>
      </w:r>
    </w:p>
    <w:p>
      <w:pPr>
        <w:spacing w:line="400" w:lineRule="atLeast"/>
        <w:ind w:firstLine="480" w:firstLineChars="200"/>
        <w:rPr>
          <w:rFonts w:hint="eastAsia"/>
          <w:color w:val="000000"/>
          <w:sz w:val="24"/>
          <w:highlight w:val="none"/>
        </w:rPr>
      </w:pPr>
      <w:r>
        <w:rPr>
          <w:rFonts w:hint="eastAsia"/>
          <w:color w:val="000000"/>
          <w:sz w:val="24"/>
        </w:rPr>
        <w:t>6.3</w:t>
      </w:r>
      <w:r>
        <w:rPr>
          <w:rFonts w:hint="eastAsia"/>
          <w:color w:val="000000"/>
          <w:sz w:val="24"/>
          <w:highlight w:val="none"/>
        </w:rPr>
        <w:t>开标方式：网上远程开标。</w:t>
      </w:r>
    </w:p>
    <w:p>
      <w:pPr>
        <w:spacing w:line="400" w:lineRule="atLeast"/>
        <w:ind w:firstLine="480" w:firstLineChars="200"/>
        <w:rPr>
          <w:rFonts w:hint="eastAsia"/>
          <w:color w:val="000000"/>
          <w:sz w:val="24"/>
          <w:highlight w:val="none"/>
        </w:rPr>
      </w:pPr>
      <w:r>
        <w:rPr>
          <w:rFonts w:hint="eastAsia"/>
          <w:color w:val="000000"/>
          <w:sz w:val="24"/>
          <w:highlight w:val="none"/>
        </w:rPr>
        <w:t>投标人</w:t>
      </w:r>
      <w:r>
        <w:rPr>
          <w:rFonts w:hint="eastAsia"/>
          <w:color w:val="000000"/>
          <w:sz w:val="24"/>
          <w:highlight w:val="none"/>
          <w:lang w:val="en-US" w:eastAsia="zh-CN"/>
        </w:rPr>
        <w:t>进入</w:t>
      </w:r>
      <w:r>
        <w:rPr>
          <w:rFonts w:hint="eastAsia"/>
          <w:color w:val="000000"/>
          <w:sz w:val="24"/>
          <w:highlight w:val="none"/>
        </w:rPr>
        <w:t>云南省公共资源交易信息网（网址：http://ggzy.yn.gov.cn），选择“昭通市”，按照办事指南中《云南省公共资源交易电子化平台智能开标系统培训教材》（适用投标人和供应商），在截标时间前提前进入到“网上开标室”，根据网上远程解密、开标要求，在下达投标文件解密指令后30分钟内完成远程解密、查看开标一览表等相关操作。若投标人没有在规定时间完成以上相关操作，则视为其撤销投标文件，放弃投标。</w:t>
      </w:r>
    </w:p>
    <w:p>
      <w:pPr>
        <w:spacing w:line="400" w:lineRule="atLeast"/>
        <w:ind w:firstLine="480" w:firstLineChars="200"/>
        <w:rPr>
          <w:rFonts w:hint="eastAsia"/>
          <w:color w:val="000000"/>
          <w:sz w:val="24"/>
          <w:highlight w:val="none"/>
        </w:rPr>
      </w:pPr>
      <w:r>
        <w:rPr>
          <w:rFonts w:hint="eastAsia"/>
          <w:color w:val="000000"/>
          <w:sz w:val="24"/>
          <w:highlight w:val="none"/>
        </w:rPr>
        <w:t>因开标系统、开标现场网络、设备及其他特殊原因，导致不能正常解密投标文件的，经核实和上报相关部门同意后，可再次下达网上解密指令来延长解密时间。</w:t>
      </w:r>
    </w:p>
    <w:p>
      <w:pPr>
        <w:spacing w:line="400" w:lineRule="atLeast"/>
        <w:ind w:firstLine="480" w:firstLineChars="200"/>
        <w:rPr>
          <w:rFonts w:hint="eastAsia"/>
          <w:color w:val="000000"/>
          <w:sz w:val="24"/>
          <w:highlight w:val="none"/>
        </w:rPr>
      </w:pPr>
      <w:r>
        <w:rPr>
          <w:rFonts w:hint="eastAsia"/>
          <w:color w:val="000000"/>
          <w:sz w:val="24"/>
          <w:highlight w:val="none"/>
        </w:rPr>
        <w:t>开标过程中如有疑问，可以在线提出异议，由代理机构（招标人）回复。在规定的统一提出异议时间内不提出异议的，视为对开标结果无异议。</w:t>
      </w:r>
    </w:p>
    <w:p>
      <w:pPr>
        <w:spacing w:line="400" w:lineRule="atLeast"/>
        <w:ind w:firstLine="480" w:firstLineChars="200"/>
        <w:rPr>
          <w:rFonts w:hint="eastAsia"/>
          <w:color w:val="000000"/>
          <w:sz w:val="24"/>
          <w:highlight w:val="none"/>
        </w:rPr>
      </w:pPr>
      <w:r>
        <w:rPr>
          <w:rFonts w:hint="eastAsia"/>
          <w:color w:val="000000"/>
          <w:sz w:val="24"/>
          <w:highlight w:val="none"/>
        </w:rPr>
        <w:t>技术服务咨询：北京筑龙信息技术有限责任公司</w:t>
      </w:r>
    </w:p>
    <w:p>
      <w:pPr>
        <w:spacing w:line="400" w:lineRule="atLeast"/>
        <w:ind w:firstLine="480" w:firstLineChars="200"/>
        <w:rPr>
          <w:rFonts w:hint="eastAsia"/>
          <w:color w:val="000000"/>
          <w:sz w:val="24"/>
          <w:highlight w:val="none"/>
        </w:rPr>
      </w:pPr>
      <w:r>
        <w:rPr>
          <w:rFonts w:hint="eastAsia"/>
          <w:color w:val="000000"/>
          <w:sz w:val="24"/>
          <w:highlight w:val="none"/>
        </w:rPr>
        <w:t>服务热线：010-86483801。</w:t>
      </w:r>
    </w:p>
    <w:p>
      <w:pPr>
        <w:spacing w:line="400" w:lineRule="atLeast"/>
        <w:ind w:firstLine="480" w:firstLineChars="200"/>
        <w:rPr>
          <w:rFonts w:hint="eastAsia"/>
          <w:color w:val="000000"/>
          <w:sz w:val="24"/>
        </w:rPr>
      </w:pPr>
      <w:r>
        <w:rPr>
          <w:rFonts w:hint="eastAsia"/>
          <w:color w:val="000000"/>
          <w:sz w:val="24"/>
          <w:highlight w:val="none"/>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pPr>
        <w:spacing w:line="400" w:lineRule="atLeast"/>
        <w:ind w:firstLine="480" w:firstLineChars="200"/>
        <w:rPr>
          <w:rFonts w:hint="eastAsia"/>
          <w:color w:val="000000"/>
          <w:sz w:val="24"/>
        </w:rPr>
      </w:pPr>
      <w:r>
        <w:rPr>
          <w:rFonts w:hint="eastAsia"/>
          <w:color w:val="000000"/>
          <w:sz w:val="24"/>
        </w:rPr>
        <w:t>6.4特别说明</w:t>
      </w:r>
    </w:p>
    <w:p>
      <w:pPr>
        <w:spacing w:line="400" w:lineRule="atLeast"/>
        <w:ind w:firstLine="480" w:firstLineChars="200"/>
        <w:rPr>
          <w:rFonts w:hint="eastAsia"/>
          <w:color w:val="000000"/>
          <w:sz w:val="24"/>
          <w:highlight w:val="none"/>
        </w:rPr>
      </w:pPr>
      <w:bookmarkStart w:id="17" w:name="_Toc2511"/>
      <w:r>
        <w:rPr>
          <w:rFonts w:hint="eastAsia"/>
          <w:color w:val="000000"/>
          <w:sz w:val="24"/>
          <w:highlight w:val="none"/>
        </w:rPr>
        <w:t>公共资源进场交易疫情防控工作实行业主单位负责制。招标人要会同代理机构建立防控处置和报告机制，严格落实防控工作要求，组织完成本项目各方参与主体检测体温，扫描“健康码”、“行程码”二维码，填报《公共资源交易进场人员健康申报表》《公共资源进场交易进场人员登记表》。</w:t>
      </w:r>
    </w:p>
    <w:p>
      <w:pPr>
        <w:spacing w:line="400" w:lineRule="atLeast"/>
        <w:ind w:firstLine="480" w:firstLineChars="200"/>
        <w:rPr>
          <w:rFonts w:hint="eastAsia"/>
          <w:color w:val="000000"/>
          <w:sz w:val="24"/>
          <w:highlight w:val="none"/>
        </w:rPr>
      </w:pPr>
      <w:r>
        <w:rPr>
          <w:rFonts w:hint="eastAsia" w:ascii="Calibri" w:hAnsi="Calibri" w:eastAsia="宋体" w:cs="Calibri"/>
          <w:b w:val="0"/>
          <w:bCs w:val="0"/>
          <w:color w:val="000000"/>
          <w:kern w:val="2"/>
          <w:sz w:val="24"/>
          <w:szCs w:val="24"/>
          <w:highlight w:val="none"/>
          <w:lang w:val="en-US" w:eastAsia="zh-CN" w:bidi="ar-SA"/>
        </w:rPr>
        <w:t>请本项目各方参与主体（招标人代表、代理机构人员、行业主管部门人员等）携带本人身份证，自行佩戴口罩，在交易中心开标等候区进行体温检测并登记。如有发热（体温大于等于37.3℃）、干咳、乏力等不适症状、14天内与新冠肺炎确诊或疑似病例有密切接触、14天内有境外旅居史（港台地区和国外其他国家或地区）、14天内来自或途经新冠肺炎疫情高风险地区、14天内来自或途经新冠肺炎疫情中风险地区（具体的高风险地区、中风险地区以官方实时通报的为准）等应主动回避。</w:t>
      </w:r>
    </w:p>
    <w:p>
      <w:pPr>
        <w:pStyle w:val="3"/>
        <w:spacing w:before="240" w:after="240" w:line="240" w:lineRule="atLeast"/>
        <w:rPr>
          <w:rFonts w:eastAsia="黑体"/>
          <w:color w:val="000000"/>
          <w:sz w:val="28"/>
          <w:szCs w:val="28"/>
        </w:rPr>
      </w:pPr>
      <w:r>
        <w:rPr>
          <w:rFonts w:hint="eastAsia" w:eastAsia="黑体"/>
          <w:color w:val="000000"/>
          <w:sz w:val="28"/>
          <w:szCs w:val="28"/>
        </w:rPr>
        <w:t>7</w:t>
      </w:r>
      <w:r>
        <w:rPr>
          <w:rFonts w:eastAsia="黑体"/>
          <w:color w:val="000000"/>
          <w:sz w:val="28"/>
          <w:szCs w:val="28"/>
        </w:rPr>
        <w:t>.发布公告的媒介</w:t>
      </w:r>
      <w:bookmarkEnd w:id="17"/>
    </w:p>
    <w:p>
      <w:pPr>
        <w:pStyle w:val="4"/>
        <w:topLinePunct/>
        <w:spacing w:line="400" w:lineRule="atLeast"/>
        <w:ind w:firstLine="480" w:firstLineChars="200"/>
        <w:rPr>
          <w:rFonts w:hint="eastAsia" w:eastAsia="黑体"/>
          <w:color w:val="000000"/>
          <w:sz w:val="28"/>
          <w:szCs w:val="28"/>
        </w:rPr>
      </w:pPr>
      <w:bookmarkStart w:id="18" w:name="_Toc514139868"/>
      <w:bookmarkStart w:id="19" w:name="_Toc503235721"/>
      <w:r>
        <w:rPr>
          <w:rFonts w:ascii="Times New Roman"/>
          <w:color w:val="000000"/>
          <w:szCs w:val="24"/>
          <w:highlight w:val="none"/>
        </w:rPr>
        <w:t>本次招标公告在</w:t>
      </w:r>
      <w:r>
        <w:rPr>
          <w:rFonts w:hint="eastAsia" w:ascii="Times New Roman"/>
          <w:color w:val="000000"/>
          <w:szCs w:val="24"/>
          <w:highlight w:val="none"/>
        </w:rPr>
        <w:t>云南省公共资源交易信息网（网址：http://ggzy.yn.gov.cn，选择“昭通市”）</w:t>
      </w:r>
      <w:r>
        <w:rPr>
          <w:rFonts w:ascii="Times New Roman"/>
          <w:color w:val="000000"/>
          <w:szCs w:val="24"/>
          <w:highlight w:val="none"/>
        </w:rPr>
        <w:t>上发布。</w:t>
      </w:r>
    </w:p>
    <w:p>
      <w:pPr>
        <w:pStyle w:val="3"/>
        <w:spacing w:before="240" w:after="240" w:line="240" w:lineRule="atLeast"/>
        <w:rPr>
          <w:rFonts w:eastAsia="黑体"/>
          <w:color w:val="000000"/>
          <w:sz w:val="28"/>
          <w:szCs w:val="28"/>
        </w:rPr>
      </w:pPr>
      <w:bookmarkStart w:id="20" w:name="_Toc5617"/>
      <w:r>
        <w:rPr>
          <w:rFonts w:hint="eastAsia" w:eastAsia="黑体"/>
          <w:color w:val="000000"/>
          <w:sz w:val="28"/>
          <w:szCs w:val="28"/>
        </w:rPr>
        <w:t>8</w:t>
      </w:r>
      <w:r>
        <w:rPr>
          <w:rFonts w:eastAsia="黑体"/>
          <w:color w:val="000000"/>
          <w:sz w:val="28"/>
          <w:szCs w:val="28"/>
        </w:rPr>
        <w:t>. 联系方式</w:t>
      </w:r>
      <w:bookmarkEnd w:id="18"/>
      <w:bookmarkEnd w:id="19"/>
      <w:bookmarkEnd w:id="20"/>
    </w:p>
    <w:p>
      <w:pPr>
        <w:tabs>
          <w:tab w:val="left" w:pos="426"/>
        </w:tabs>
        <w:adjustRightInd w:val="0"/>
        <w:snapToGrid w:val="0"/>
        <w:spacing w:line="360" w:lineRule="auto"/>
        <w:ind w:firstLine="480" w:firstLineChars="200"/>
        <w:rPr>
          <w:rFonts w:hint="eastAsia"/>
          <w:color w:val="000000"/>
          <w:sz w:val="24"/>
          <w:highlight w:val="none"/>
        </w:rPr>
      </w:pPr>
      <w:r>
        <w:rPr>
          <w:rFonts w:hint="eastAsia" w:ascii="宋体" w:hAnsi="宋体" w:cs="宋体"/>
          <w:color w:val="000000"/>
          <w:sz w:val="24"/>
          <w:highlight w:val="none"/>
        </w:rPr>
        <w:t>招标人：</w:t>
      </w:r>
      <w:r>
        <w:rPr>
          <w:rFonts w:hint="eastAsia"/>
          <w:color w:val="000000"/>
          <w:sz w:val="24"/>
          <w:highlight w:val="none"/>
        </w:rPr>
        <w:t>昭通市高速公路投资发展有限责任公司</w:t>
      </w:r>
      <w:bookmarkStart w:id="21" w:name="_GoBack"/>
      <w:bookmarkEnd w:id="21"/>
    </w:p>
    <w:p>
      <w:pPr>
        <w:tabs>
          <w:tab w:val="left" w:pos="426"/>
        </w:tabs>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地址：昭通市昭阳区珠泉路117号</w:t>
      </w:r>
    </w:p>
    <w:p>
      <w:pPr>
        <w:tabs>
          <w:tab w:val="left" w:pos="426"/>
        </w:tabs>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邮政编码：</w:t>
      </w:r>
      <w:r>
        <w:rPr>
          <w:color w:val="000000"/>
          <w:sz w:val="24"/>
          <w:highlight w:val="none"/>
        </w:rPr>
        <w:t>657000</w:t>
      </w:r>
    </w:p>
    <w:p>
      <w:pPr>
        <w:tabs>
          <w:tab w:val="left" w:pos="426"/>
        </w:tabs>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联系人：洪昊天</w:t>
      </w:r>
    </w:p>
    <w:p>
      <w:pPr>
        <w:tabs>
          <w:tab w:val="left" w:pos="426"/>
        </w:tabs>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电话：0870-8884811</w:t>
      </w:r>
    </w:p>
    <w:p>
      <w:pPr>
        <w:spacing w:line="360" w:lineRule="auto"/>
        <w:ind w:firstLine="480" w:firstLineChars="200"/>
        <w:rPr>
          <w:rFonts w:hint="eastAsia" w:ascii="宋体" w:hAnsi="宋体"/>
          <w:color w:val="000000"/>
          <w:sz w:val="24"/>
          <w:highlight w:val="none"/>
        </w:rPr>
      </w:pPr>
    </w:p>
    <w:p>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招标代理：贵州智聚招标造价咨询有限公司</w:t>
      </w:r>
    </w:p>
    <w:p>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地址：贵阳市南明区花溪大道北段85-2裙楼二楼 </w:t>
      </w:r>
    </w:p>
    <w:p>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邮政编码：550002 </w:t>
      </w:r>
    </w:p>
    <w:p>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电话：17874153885 </w:t>
      </w:r>
    </w:p>
    <w:p>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传真：0857-8235900 </w:t>
      </w:r>
    </w:p>
    <w:p>
      <w:pPr>
        <w:topLinePunct/>
        <w:spacing w:line="400" w:lineRule="atLeast"/>
        <w:ind w:firstLine="480" w:firstLineChars="200"/>
      </w:pPr>
      <w:r>
        <w:rPr>
          <w:rFonts w:hint="eastAsia" w:ascii="宋体" w:hAnsi="宋体" w:cs="宋体"/>
          <w:color w:val="000000"/>
          <w:sz w:val="24"/>
          <w:highlight w:val="none"/>
        </w:rPr>
        <w:t xml:space="preserve">联系人：吴天潇 </w:t>
      </w:r>
      <w:r>
        <w:rPr>
          <w:color w:val="000000"/>
          <w:sz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wZjVmMWQwMmQxZDFiMGNmMzBmZGRmYWUyNDRkYzMifQ=="/>
  </w:docVars>
  <w:rsids>
    <w:rsidRoot w:val="4AA86994"/>
    <w:rsid w:val="02C32E43"/>
    <w:rsid w:val="08E215AB"/>
    <w:rsid w:val="16D57A9F"/>
    <w:rsid w:val="2AB77B1B"/>
    <w:rsid w:val="3FC24C7B"/>
    <w:rsid w:val="4AA86994"/>
    <w:rsid w:val="53E86FA7"/>
    <w:rsid w:val="5D7017D6"/>
    <w:rsid w:val="65FC00E2"/>
    <w:rsid w:val="68C34950"/>
    <w:rsid w:val="69BC6A97"/>
    <w:rsid w:val="6D4E5CD8"/>
    <w:rsid w:val="6F5B34D4"/>
    <w:rsid w:val="7BC07A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4">
    <w:name w:val="Body Text 3"/>
    <w:basedOn w:val="1"/>
    <w:qFormat/>
    <w:uiPriority w:val="0"/>
    <w:rPr>
      <w:rFonts w:ascii="宋体"/>
      <w:sz w:val="24"/>
      <w:szCs w:val="20"/>
    </w:rPr>
  </w:style>
  <w:style w:type="paragraph" w:styleId="5">
    <w:name w:val="Body Text"/>
    <w:basedOn w:val="1"/>
    <w:next w:val="6"/>
    <w:qFormat/>
    <w:uiPriority w:val="0"/>
    <w:pPr>
      <w:spacing w:after="120"/>
    </w:pPr>
  </w:style>
  <w:style w:type="paragraph" w:styleId="6">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character" w:styleId="9">
    <w:name w:val="Hyperlink"/>
    <w:qFormat/>
    <w:uiPriority w:val="99"/>
    <w:rPr>
      <w:color w:val="0000FF"/>
      <w:u w:val="single"/>
    </w:rPr>
  </w:style>
  <w:style w:type="character" w:customStyle="1" w:styleId="10">
    <w:name w:val="font21"/>
    <w:qFormat/>
    <w:uiPriority w:val="0"/>
    <w:rPr>
      <w:rFonts w:hint="eastAsia" w:ascii="宋体" w:hAnsi="宋体" w:eastAsia="宋体" w:cs="宋体"/>
      <w:color w:val="FF0000"/>
      <w:sz w:val="20"/>
      <w:szCs w:val="20"/>
      <w:u w:val="none"/>
    </w:rPr>
  </w:style>
  <w:style w:type="paragraph" w:customStyle="1" w:styleId="1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
    <w:name w:val="正文文本 3_0"/>
    <w:basedOn w:val="11"/>
    <w:qFormat/>
    <w:uiPriority w:val="0"/>
    <w:rPr>
      <w:rFonts w:ascii="宋体" w:hAnsi="Calibri"/>
      <w:sz w:val="24"/>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2982</Words>
  <Characters>4000</Characters>
  <Lines>0</Lines>
  <Paragraphs>0</Paragraphs>
  <TotalTime>11</TotalTime>
  <ScaleCrop>false</ScaleCrop>
  <LinksUpToDate>false</LinksUpToDate>
  <CharactersWithSpaces>4034</CharactersWithSpaces>
  <Application>WPS Office_11.1.0.9914_F1E327BC-269C-435d-A152-05C5408002CA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2022-08-25T07:35:00Z</dcterms:created>
  <dc:creator>白村长</dc:creator>
  <cp:lastModifiedBy> CH</cp:lastModifiedBy>
  <dcterms:modified xsi:type="dcterms:W3CDTF">2022-10-18T07:38:06Z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y fmtid="{D5CDD505-2E9C-101B-9397-08002B2CF9AE}" pid="3" name="ICV">
    <vt:lpwstr>85CED2A4FB0E47FE9FAA203E453D7D57</vt:lpwstr>
  </property>
</Properties>
</file>