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2ABDCB">
      <w:pPr>
        <w:pStyle w:val="3"/>
        <w:spacing w:line="276" w:lineRule="auto"/>
        <w:ind w:firstLine="420"/>
        <w:jc w:val="center"/>
        <w:outlineLvl w:val="0"/>
        <w:rPr>
          <w:rFonts w:hint="eastAsia" w:ascii="宋体" w:hAnsi="宋体"/>
          <w:color w:val="auto"/>
          <w:sz w:val="36"/>
          <w:szCs w:val="36"/>
          <w:highlight w:val="none"/>
        </w:rPr>
      </w:pPr>
      <w:r>
        <w:rPr>
          <w:rFonts w:hint="eastAsia" w:ascii="宋体" w:hAnsi="宋体"/>
          <w:color w:val="auto"/>
          <w:sz w:val="36"/>
          <w:szCs w:val="36"/>
          <w:highlight w:val="none"/>
        </w:rPr>
        <w:t>招标公告</w:t>
      </w:r>
    </w:p>
    <w:p w14:paraId="5B69D5DF">
      <w:pPr>
        <w:adjustRightInd w:val="0"/>
        <w:snapToGrid w:val="0"/>
        <w:spacing w:line="360" w:lineRule="auto"/>
        <w:ind w:firstLine="540"/>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．招标条件</w:t>
      </w:r>
    </w:p>
    <w:p w14:paraId="01AA2B48">
      <w:pPr>
        <w:wordWrap w:val="0"/>
        <w:adjustRightInd w:val="0"/>
        <w:snapToGrid w:val="0"/>
        <w:spacing w:line="360" w:lineRule="auto"/>
        <w:ind w:firstLine="525" w:firstLineChars="250"/>
        <w:rPr>
          <w:rFonts w:hint="eastAsia" w:ascii="宋体" w:hAnsi="宋体"/>
          <w:color w:val="auto"/>
          <w:sz w:val="21"/>
          <w:szCs w:val="22"/>
          <w:highlight w:val="none"/>
        </w:rPr>
      </w:pPr>
      <w:r>
        <w:rPr>
          <w:rFonts w:hint="eastAsia" w:ascii="宋体" w:hAnsi="宋体"/>
          <w:color w:val="auto"/>
          <w:sz w:val="21"/>
          <w:szCs w:val="21"/>
          <w:highlight w:val="none"/>
          <w:u w:val="single"/>
        </w:rPr>
        <w:t>环湖截污东岸、南岸管道连通工程</w:t>
      </w:r>
      <w:r>
        <w:rPr>
          <w:rFonts w:hint="eastAsia" w:ascii="宋体" w:hAnsi="宋体"/>
          <w:color w:val="auto"/>
          <w:sz w:val="21"/>
          <w:szCs w:val="21"/>
          <w:highlight w:val="none"/>
        </w:rPr>
        <w:t>已由</w:t>
      </w:r>
      <w:r>
        <w:rPr>
          <w:rFonts w:hint="eastAsia" w:ascii="宋体" w:hAnsi="宋体"/>
          <w:color w:val="auto"/>
          <w:sz w:val="21"/>
          <w:szCs w:val="21"/>
          <w:highlight w:val="none"/>
          <w:u w:val="single"/>
        </w:rPr>
        <w:t>昆明市发展和改革委员会</w:t>
      </w:r>
      <w:r>
        <w:rPr>
          <w:rFonts w:hint="eastAsia" w:ascii="宋体" w:hAnsi="宋体"/>
          <w:color w:val="auto"/>
          <w:sz w:val="21"/>
          <w:szCs w:val="21"/>
          <w:highlight w:val="none"/>
        </w:rPr>
        <w:t>（项目审批、核准或备案机关名称）以</w:t>
      </w:r>
      <w:r>
        <w:rPr>
          <w:rFonts w:hint="eastAsia" w:ascii="宋体" w:hAnsi="宋体"/>
          <w:color w:val="auto"/>
          <w:sz w:val="21"/>
          <w:szCs w:val="21"/>
          <w:highlight w:val="none"/>
          <w:u w:val="single"/>
        </w:rPr>
        <w:t>昆发改资环〔2025〕653号</w:t>
      </w:r>
      <w:r>
        <w:rPr>
          <w:rFonts w:hint="eastAsia" w:ascii="宋体" w:hAnsi="宋体"/>
          <w:color w:val="auto"/>
          <w:sz w:val="21"/>
          <w:szCs w:val="22"/>
          <w:highlight w:val="none"/>
        </w:rPr>
        <w:t>（批文名称及编号）</w:t>
      </w:r>
      <w:r>
        <w:rPr>
          <w:rFonts w:hint="eastAsia" w:ascii="宋体" w:hAnsi="宋体"/>
          <w:color w:val="auto"/>
          <w:sz w:val="21"/>
          <w:szCs w:val="21"/>
          <w:highlight w:val="none"/>
        </w:rPr>
        <w:t>批准建设。项目业主为</w:t>
      </w:r>
      <w:r>
        <w:rPr>
          <w:rFonts w:hint="eastAsia" w:ascii="宋体" w:hAnsi="宋体"/>
          <w:color w:val="auto"/>
          <w:sz w:val="21"/>
          <w:szCs w:val="21"/>
          <w:highlight w:val="none"/>
          <w:u w:val="single"/>
        </w:rPr>
        <w:t>昆明市水务集团有限责任公司</w:t>
      </w:r>
      <w:r>
        <w:rPr>
          <w:rFonts w:hint="eastAsia" w:ascii="宋体" w:hAnsi="宋体"/>
          <w:color w:val="auto"/>
          <w:sz w:val="21"/>
          <w:szCs w:val="21"/>
          <w:highlight w:val="none"/>
        </w:rPr>
        <w:t>，</w:t>
      </w:r>
      <w:r>
        <w:rPr>
          <w:rFonts w:hint="eastAsia" w:ascii="宋体" w:hAnsi="宋体"/>
          <w:snapToGrid w:val="0"/>
          <w:color w:val="auto"/>
          <w:sz w:val="21"/>
          <w:szCs w:val="21"/>
          <w:highlight w:val="none"/>
        </w:rPr>
        <w:t>建设资金来自</w:t>
      </w:r>
      <w:r>
        <w:rPr>
          <w:rFonts w:hint="eastAsia" w:ascii="宋体" w:hAnsi="宋体"/>
          <w:snapToGrid w:val="0"/>
          <w:color w:val="auto"/>
          <w:sz w:val="21"/>
          <w:szCs w:val="21"/>
          <w:highlight w:val="none"/>
          <w:u w:val="single"/>
        </w:rPr>
        <w:t>政府投资</w:t>
      </w:r>
      <w:r>
        <w:rPr>
          <w:rFonts w:hint="eastAsia" w:ascii="宋体" w:hAnsi="宋体"/>
          <w:snapToGrid w:val="0"/>
          <w:color w:val="auto"/>
          <w:sz w:val="21"/>
          <w:szCs w:val="21"/>
          <w:highlight w:val="none"/>
        </w:rPr>
        <w:t>（资金来源），项目出资比例为</w:t>
      </w:r>
      <w:r>
        <w:rPr>
          <w:rFonts w:ascii="宋体" w:hAnsi="宋体"/>
          <w:snapToGrid w:val="0"/>
          <w:color w:val="auto"/>
          <w:sz w:val="21"/>
          <w:szCs w:val="21"/>
          <w:highlight w:val="none"/>
          <w:u w:val="single"/>
        </w:rPr>
        <w:t>100%</w:t>
      </w:r>
      <w:r>
        <w:rPr>
          <w:rFonts w:hint="eastAsia" w:ascii="宋体" w:hAnsi="宋体"/>
          <w:snapToGrid w:val="0"/>
          <w:color w:val="auto"/>
          <w:sz w:val="21"/>
          <w:szCs w:val="21"/>
          <w:highlight w:val="none"/>
        </w:rPr>
        <w:t>，招标人为</w:t>
      </w:r>
      <w:r>
        <w:rPr>
          <w:rFonts w:hint="eastAsia" w:ascii="宋体" w:hAnsi="宋体"/>
          <w:snapToGrid w:val="0"/>
          <w:color w:val="auto"/>
          <w:sz w:val="21"/>
          <w:szCs w:val="21"/>
          <w:highlight w:val="none"/>
          <w:u w:val="single"/>
        </w:rPr>
        <w:t>昆明市水务集团有限责任公司</w:t>
      </w:r>
      <w:r>
        <w:rPr>
          <w:rFonts w:hint="eastAsia" w:ascii="宋体" w:hAnsi="宋体"/>
          <w:color w:val="auto"/>
          <w:sz w:val="21"/>
          <w:szCs w:val="22"/>
          <w:highlight w:val="none"/>
        </w:rPr>
        <w:t>。</w:t>
      </w:r>
      <w:r>
        <w:rPr>
          <w:rFonts w:hint="eastAsia" w:ascii="宋体" w:hAnsi="宋体"/>
          <w:snapToGrid w:val="0"/>
          <w:color w:val="auto"/>
          <w:sz w:val="21"/>
          <w:szCs w:val="21"/>
          <w:highlight w:val="none"/>
        </w:rPr>
        <w:t>项目已具备招标条件，现对本项目</w:t>
      </w:r>
      <w:r>
        <w:rPr>
          <w:rFonts w:hint="eastAsia" w:ascii="宋体" w:hAnsi="宋体"/>
          <w:snapToGrid w:val="0"/>
          <w:color w:val="auto"/>
          <w:sz w:val="21"/>
          <w:szCs w:val="21"/>
          <w:highlight w:val="none"/>
          <w:u w:val="single"/>
        </w:rPr>
        <w:t>勘察设计服务</w:t>
      </w:r>
      <w:r>
        <w:rPr>
          <w:rFonts w:hint="eastAsia" w:ascii="宋体" w:hAnsi="宋体"/>
          <w:snapToGrid w:val="0"/>
          <w:color w:val="auto"/>
          <w:sz w:val="21"/>
          <w:szCs w:val="21"/>
          <w:highlight w:val="none"/>
        </w:rPr>
        <w:t>进行公开招标。</w:t>
      </w:r>
    </w:p>
    <w:p w14:paraId="393C3A1C">
      <w:pPr>
        <w:adjustRightInd w:val="0"/>
        <w:snapToGrid w:val="0"/>
        <w:spacing w:line="360" w:lineRule="auto"/>
        <w:ind w:firstLine="540"/>
        <w:rPr>
          <w:rFonts w:hint="eastAsia" w:ascii="宋体" w:hAnsi="宋体"/>
          <w:color w:val="auto"/>
          <w:sz w:val="24"/>
          <w:szCs w:val="24"/>
          <w:highlight w:val="none"/>
        </w:rPr>
      </w:pPr>
      <w:bookmarkStart w:id="0" w:name="_Toc341643110"/>
      <w:bookmarkStart w:id="1" w:name="_Toc323731337"/>
      <w:r>
        <w:rPr>
          <w:rFonts w:ascii="宋体" w:hAnsi="宋体"/>
          <w:color w:val="auto"/>
          <w:sz w:val="24"/>
          <w:szCs w:val="24"/>
          <w:highlight w:val="none"/>
        </w:rPr>
        <w:t>2</w:t>
      </w:r>
      <w:r>
        <w:rPr>
          <w:rFonts w:hint="eastAsia" w:ascii="宋体" w:hAnsi="宋体"/>
          <w:color w:val="auto"/>
          <w:sz w:val="24"/>
          <w:szCs w:val="24"/>
          <w:highlight w:val="none"/>
        </w:rPr>
        <w:t>．项目概况与招标范围</w:t>
      </w:r>
      <w:bookmarkEnd w:id="0"/>
      <w:bookmarkEnd w:id="1"/>
    </w:p>
    <w:p w14:paraId="5F8E294E">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2.1</w:t>
      </w:r>
      <w:r>
        <w:rPr>
          <w:rFonts w:hint="eastAsia" w:ascii="宋体" w:hAnsi="宋体"/>
          <w:color w:val="auto"/>
          <w:sz w:val="21"/>
          <w:szCs w:val="21"/>
          <w:highlight w:val="none"/>
        </w:rPr>
        <w:t>项目概况：项目在洛龙河水质净化厂内新建10950立方米/小时（17.5万立方米/天）污水泵站1座，并同步建设d2000进水管60米。在捞鱼河水质净化厂内新建78 20立方米/小时（12.5万立方米/天）污水泵站1座，并同步建设d2000进水管510米。新建DN1600污水压力连通管24.5千米连通环湖截污干渠东岸、南岸（晋城段），分为两段，第一段洛龙河水质净化厂新建泵站至环湖截污干渠东岸部分度假区段，总长8.3千米，第二段捞鱼河水质净化厂新建泵站至环湖截污干渠南岸部分晋城段1，总长16.2千米；新建d1500污水重力连通管300米连通环湖截污干渠南岸部分晋城段1及晋城段2。通过以上工程内容实现污水从主城向捞鱼河、淤泥河及白鱼河水质净化厂调度。</w:t>
      </w:r>
    </w:p>
    <w:p w14:paraId="239F1228">
      <w:pPr>
        <w:widowControl w:val="0"/>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本项目总投资为64096.49万元。本项目招标规模约1157.15万元，其中勘察费约406.67万元，初步设计费约750.48万元。（说明：本项目为暂估金额，最终以实际发生的并经审计审定的结果为准）。</w:t>
      </w:r>
    </w:p>
    <w:p w14:paraId="3A99B2F8">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2.3</w:t>
      </w:r>
      <w:r>
        <w:rPr>
          <w:rFonts w:hint="eastAsia" w:ascii="宋体" w:hAnsi="宋体"/>
          <w:color w:val="auto"/>
          <w:sz w:val="21"/>
          <w:szCs w:val="21"/>
          <w:highlight w:val="none"/>
        </w:rPr>
        <w:t>项目实施地点（建设地点）：昆明市官渡区、度假区（大渔片区）、呈贡区、高新区（马金铺片区）及晋宁区。</w:t>
      </w:r>
    </w:p>
    <w:p w14:paraId="017C1CF0">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2.4</w:t>
      </w:r>
      <w:r>
        <w:rPr>
          <w:rFonts w:hint="eastAsia" w:ascii="宋体" w:hAnsi="宋体"/>
          <w:color w:val="auto"/>
          <w:sz w:val="21"/>
          <w:szCs w:val="21"/>
          <w:highlight w:val="none"/>
        </w:rPr>
        <w:t>计划工期：</w:t>
      </w:r>
    </w:p>
    <w:p w14:paraId="52DCA478">
      <w:pPr>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）勘察周期：以招标人下达的通知为准，勘察周期满足本项目的需求，并按招标人的要求完成地质勘察工作及后续服务，工程勘察报告满足各设计阶段技术要求；</w:t>
      </w:r>
    </w:p>
    <w:p w14:paraId="74BD24F5">
      <w:pPr>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）初步设计周期：以招标人下达的通知为准；初步设计（含工程概算）文件及其图纸附件在招标人下达设计任务书后10日内完成。</w:t>
      </w:r>
    </w:p>
    <w:p w14:paraId="4DA5CE96">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2.5</w:t>
      </w:r>
      <w:r>
        <w:rPr>
          <w:rFonts w:hint="eastAsia" w:ascii="宋体" w:hAnsi="宋体"/>
          <w:color w:val="auto"/>
          <w:sz w:val="21"/>
          <w:szCs w:val="21"/>
          <w:highlight w:val="none"/>
        </w:rPr>
        <w:t>招标范围：</w:t>
      </w:r>
      <w:bookmarkStart w:id="2" w:name="_Hlk173852234"/>
    </w:p>
    <w:p w14:paraId="0B8230ED">
      <w:pPr>
        <w:adjustRightInd w:val="0"/>
        <w:snapToGrid w:val="0"/>
        <w:spacing w:line="360" w:lineRule="auto"/>
        <w:ind w:firstLine="420" w:firstLineChars="200"/>
        <w:rPr>
          <w:rFonts w:hint="eastAsia" w:ascii="宋体" w:hAnsi="宋体"/>
          <w:color w:val="auto"/>
          <w:sz w:val="21"/>
          <w:szCs w:val="21"/>
          <w:highlight w:val="none"/>
        </w:rPr>
      </w:pPr>
      <w:bookmarkStart w:id="3" w:name="OLE_LINK2"/>
      <w:r>
        <w:rPr>
          <w:rFonts w:hint="eastAsia" w:ascii="宋体" w:hAnsi="宋体"/>
          <w:color w:val="auto"/>
          <w:sz w:val="21"/>
          <w:szCs w:val="21"/>
          <w:highlight w:val="none"/>
        </w:rPr>
        <w:t xml:space="preserve">（1）完成满足环湖截污东岸、南岸管道连通工程施工及设计要求的所有勘察内容，根据该项目提出详细的岩土工程资料和设计、施工所需的岩土参数，按国家规范进行1:500带状工程测量和E级控制点测量及制作等，并出具符合国家相关要求的成果报告、承担相关缺陷责任。 </w:t>
      </w:r>
    </w:p>
    <w:p w14:paraId="45993A28">
      <w:pPr>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w:t>
      </w:r>
      <w:bookmarkStart w:id="4" w:name="_Hlk217469391"/>
      <w:r>
        <w:rPr>
          <w:rFonts w:hint="eastAsia" w:ascii="宋体" w:hAnsi="宋体"/>
          <w:color w:val="auto"/>
          <w:sz w:val="21"/>
          <w:szCs w:val="21"/>
          <w:highlight w:val="none"/>
        </w:rPr>
        <w:t>完成满足环湖截污东岸、南岸管道连通工程初步设计，编制初步设计概算，向主管部门进行初设报批，并对后续设计施工一体化招标出具技术需求。</w:t>
      </w:r>
      <w:bookmarkEnd w:id="3"/>
      <w:bookmarkEnd w:id="4"/>
    </w:p>
    <w:p w14:paraId="6AAD27A3">
      <w:pPr>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注：</w:t>
      </w:r>
      <w:r>
        <w:rPr>
          <w:rFonts w:hint="eastAsia" w:ascii="宋体" w:hAnsi="宋体"/>
          <w:color w:val="auto"/>
          <w:sz w:val="22"/>
          <w:szCs w:val="22"/>
          <w:highlight w:val="none"/>
        </w:rPr>
        <w:t>具体服务范围以实际委托为准。</w:t>
      </w:r>
      <w:r>
        <w:rPr>
          <w:rFonts w:hint="eastAsia" w:ascii="宋体" w:hAnsi="宋体"/>
          <w:color w:val="auto"/>
          <w:sz w:val="21"/>
          <w:szCs w:val="21"/>
          <w:highlight w:val="none"/>
        </w:rPr>
        <w:t>招标人在项目实施过程中可根据项目实施条件保留对以上招标范围调整（项目缩减或取消）的权利。</w:t>
      </w:r>
      <w:bookmarkEnd w:id="2"/>
    </w:p>
    <w:p w14:paraId="691677E7">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2.6</w:t>
      </w:r>
      <w:r>
        <w:rPr>
          <w:rFonts w:hint="eastAsia" w:ascii="宋体" w:hAnsi="宋体"/>
          <w:color w:val="auto"/>
          <w:sz w:val="21"/>
          <w:szCs w:val="21"/>
          <w:highlight w:val="none"/>
        </w:rPr>
        <w:t>质量标准：</w:t>
      </w:r>
    </w:p>
    <w:p w14:paraId="49D47A39">
      <w:pPr>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）勘察符合《工程勘察通用规范》（GB55017-2021）、《岩土工程勘察规范》（GB 50021-2001）（2009年版）、《建筑地基基础设计规范》（GB50007-2011）、《岩土工程勘察报告编制标准》（CECS:99：98）、《市政工程勘察规范》（CJJ 56-2012）、住房和城乡建设部关于发布建质〔2020〕52号《房屋建筑和市政基础设施工程勘察文件编制深度规定（2020年版）》、住房和城乡建设部关于发布国家标准《工程勘察通用规范》的公告（中华人民共和国住房和城乡建设部公告2021年第168号）等国家、地方及行业现行标准、规范和规程的要求，确保测量、记录、取样和试验成果的准确性、真实性和可靠性，并对提交的勘察成果负终身质量责任，且勘察成果必须满足本项目工程设计及施工的要求，出具的勘察成果文件须达到国家规范合格标准并通过相关审查、备案；</w:t>
      </w:r>
    </w:p>
    <w:p w14:paraId="794F6F11">
      <w:pPr>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）设计符合</w:t>
      </w:r>
      <w:bookmarkStart w:id="5" w:name="_Hlk176684712"/>
      <w:r>
        <w:rPr>
          <w:rFonts w:hint="eastAsia" w:ascii="宋体" w:hAnsi="宋体"/>
          <w:color w:val="auto"/>
          <w:sz w:val="21"/>
          <w:szCs w:val="21"/>
          <w:highlight w:val="none"/>
        </w:rPr>
        <w:t>《中华人民共和国行政许可法》、《中华人民共和国城乡规划法》、《市政公用工程设计文件编制深度规定》（建质</w:t>
      </w:r>
      <w:r>
        <w:rPr>
          <w:rFonts w:ascii="宋体" w:hAnsi="宋体"/>
          <w:color w:val="auto"/>
          <w:sz w:val="21"/>
          <w:szCs w:val="21"/>
          <w:highlight w:val="none"/>
        </w:rPr>
        <w:t>[2004]16</w:t>
      </w:r>
      <w:r>
        <w:rPr>
          <w:rFonts w:hint="eastAsia" w:ascii="宋体" w:hAnsi="宋体"/>
          <w:color w:val="auto"/>
          <w:sz w:val="21"/>
          <w:szCs w:val="21"/>
          <w:highlight w:val="none"/>
        </w:rPr>
        <w:t>号）、《给水排水管道工程施工及验收规范》（</w:t>
      </w:r>
      <w:r>
        <w:rPr>
          <w:rFonts w:ascii="宋体" w:hAnsi="宋体"/>
          <w:color w:val="auto"/>
          <w:sz w:val="21"/>
          <w:szCs w:val="21"/>
          <w:highlight w:val="none"/>
        </w:rPr>
        <w:t>GB50268-2008</w:t>
      </w:r>
      <w:r>
        <w:rPr>
          <w:rFonts w:hint="eastAsia" w:ascii="宋体" w:hAnsi="宋体"/>
          <w:color w:val="auto"/>
          <w:sz w:val="21"/>
          <w:szCs w:val="21"/>
          <w:highlight w:val="none"/>
        </w:rPr>
        <w:t>）</w:t>
      </w:r>
      <w:bookmarkEnd w:id="5"/>
      <w:r>
        <w:rPr>
          <w:rFonts w:hint="eastAsia" w:ascii="宋体" w:hAnsi="宋体"/>
          <w:color w:val="auto"/>
          <w:sz w:val="21"/>
          <w:szCs w:val="21"/>
          <w:highlight w:val="none"/>
        </w:rPr>
        <w:t>及国家、地方及行业现行的设计标准、规范和规程的要求，确保设计成果资料完整、真实准确、清晰有据、符合项目实际，且确保设计成果资料通过相关行政主管部门的审批，</w:t>
      </w:r>
      <w:bookmarkStart w:id="6" w:name="OLE_LINK13"/>
      <w:r>
        <w:rPr>
          <w:rFonts w:hint="eastAsia" w:ascii="宋体" w:hAnsi="宋体"/>
          <w:color w:val="auto"/>
          <w:sz w:val="21"/>
          <w:szCs w:val="21"/>
          <w:highlight w:val="none"/>
        </w:rPr>
        <w:t>取得初步设计批复，</w:t>
      </w:r>
      <w:bookmarkEnd w:id="6"/>
      <w:r>
        <w:rPr>
          <w:rFonts w:hint="eastAsia" w:ascii="宋体" w:hAnsi="宋体"/>
          <w:color w:val="auto"/>
          <w:sz w:val="21"/>
          <w:szCs w:val="21"/>
          <w:highlight w:val="none"/>
        </w:rPr>
        <w:t>并对所提供的成果质量负终身责任。</w:t>
      </w:r>
    </w:p>
    <w:p w14:paraId="4AF7331A">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2.7</w:t>
      </w:r>
      <w:r>
        <w:rPr>
          <w:rFonts w:hint="eastAsia" w:ascii="宋体" w:hAnsi="宋体"/>
          <w:color w:val="auto"/>
          <w:sz w:val="21"/>
          <w:szCs w:val="21"/>
          <w:highlight w:val="none"/>
        </w:rPr>
        <w:t>标段划分：本次招标只设一个标段。</w:t>
      </w:r>
    </w:p>
    <w:p w14:paraId="0F319139">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2.8</w:t>
      </w:r>
      <w:r>
        <w:rPr>
          <w:rFonts w:hint="eastAsia" w:ascii="宋体" w:hAnsi="宋体"/>
          <w:color w:val="auto"/>
          <w:sz w:val="21"/>
          <w:szCs w:val="21"/>
          <w:highlight w:val="none"/>
        </w:rPr>
        <w:t>资格审查方式：资格后审。</w:t>
      </w:r>
    </w:p>
    <w:p w14:paraId="7024E37E">
      <w:pPr>
        <w:keepNext/>
        <w:keepLines/>
        <w:adjustRightInd w:val="0"/>
        <w:snapToGrid w:val="0"/>
        <w:spacing w:line="360" w:lineRule="auto"/>
        <w:ind w:firstLine="540"/>
        <w:rPr>
          <w:rFonts w:hint="eastAsia"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．投标人资格要求</w:t>
      </w:r>
    </w:p>
    <w:p w14:paraId="4B45FC86">
      <w:pPr>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3.1 第一中标候选人的行贿犯罪档案信息查询，招标人等可以通过“中国裁判文书网”查询相关信息。若经招标人查询第一中标候选人存在行贿犯罪情形的，取消其中标候选人资格。</w:t>
      </w:r>
    </w:p>
    <w:p w14:paraId="7F2B86CA">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 xml:space="preserve">3.2 </w:t>
      </w:r>
      <w:r>
        <w:rPr>
          <w:rFonts w:hint="eastAsia" w:ascii="宋体" w:hAnsi="宋体"/>
          <w:color w:val="auto"/>
          <w:sz w:val="21"/>
          <w:szCs w:val="21"/>
          <w:highlight w:val="none"/>
        </w:rPr>
        <w:t>本项目对失信被执行人，按照《关于在招标投标活动中对失信被执行人实施联合惩戒的通知》（法【</w:t>
      </w:r>
      <w:r>
        <w:rPr>
          <w:rFonts w:ascii="宋体" w:hAnsi="宋体"/>
          <w:color w:val="auto"/>
          <w:sz w:val="21"/>
          <w:szCs w:val="21"/>
          <w:highlight w:val="none"/>
        </w:rPr>
        <w:t>2016</w:t>
      </w:r>
      <w:r>
        <w:rPr>
          <w:rFonts w:hint="eastAsia" w:ascii="宋体" w:hAnsi="宋体"/>
          <w:color w:val="auto"/>
          <w:sz w:val="21"/>
          <w:szCs w:val="21"/>
          <w:highlight w:val="none"/>
        </w:rPr>
        <w:t>】</w:t>
      </w:r>
      <w:r>
        <w:rPr>
          <w:rFonts w:ascii="宋体" w:hAnsi="宋体"/>
          <w:color w:val="auto"/>
          <w:sz w:val="21"/>
          <w:szCs w:val="21"/>
          <w:highlight w:val="none"/>
        </w:rPr>
        <w:t>285</w:t>
      </w:r>
      <w:r>
        <w:rPr>
          <w:rFonts w:hint="eastAsia" w:ascii="宋体" w:hAnsi="宋体"/>
          <w:color w:val="auto"/>
          <w:sz w:val="21"/>
          <w:szCs w:val="21"/>
          <w:highlight w:val="none"/>
        </w:rPr>
        <w:t>号）执行。通过“信用中国”网站（</w:t>
      </w:r>
      <w:r>
        <w:rPr>
          <w:rFonts w:ascii="宋体" w:hAnsi="宋体"/>
          <w:color w:val="auto"/>
          <w:sz w:val="21"/>
          <w:szCs w:val="21"/>
          <w:highlight w:val="none"/>
        </w:rPr>
        <w:t>www.creditchina.gov.cn</w:t>
      </w:r>
      <w:r>
        <w:rPr>
          <w:rFonts w:hint="eastAsia" w:ascii="宋体" w:hAnsi="宋体"/>
          <w:color w:val="auto"/>
          <w:sz w:val="21"/>
          <w:szCs w:val="21"/>
          <w:highlight w:val="none"/>
        </w:rPr>
        <w:t>）查询投标人是否为失信被执行人，提供给评标委员会。对被列入失信被执行人的投标人处理方法和评标标准：作否决投标处理；对严重失信主体按照《昆明市严重失信主体公共资源交易领域惩戒实施细则》（昆政规【</w:t>
      </w:r>
      <w:r>
        <w:rPr>
          <w:rFonts w:ascii="宋体" w:hAnsi="宋体"/>
          <w:color w:val="auto"/>
          <w:sz w:val="21"/>
          <w:szCs w:val="21"/>
          <w:highlight w:val="none"/>
        </w:rPr>
        <w:t>2019</w:t>
      </w: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号）、</w:t>
      </w:r>
      <w:bookmarkStart w:id="7" w:name="_Hlk163556604"/>
      <w:r>
        <w:rPr>
          <w:rFonts w:hint="eastAsia" w:ascii="宋体" w:hAnsi="宋体"/>
          <w:color w:val="auto"/>
          <w:sz w:val="21"/>
          <w:szCs w:val="21"/>
          <w:highlight w:val="none"/>
        </w:rPr>
        <w:t>《关于规范失信行为的行政处罚信息在公共资源交易领域失信联合惩戒运用的通知》（昆政务通〔</w:t>
      </w:r>
      <w:r>
        <w:rPr>
          <w:rFonts w:ascii="宋体" w:hAnsi="宋体"/>
          <w:color w:val="auto"/>
          <w:sz w:val="21"/>
          <w:szCs w:val="21"/>
          <w:highlight w:val="none"/>
        </w:rPr>
        <w:t>2020</w:t>
      </w:r>
      <w:r>
        <w:rPr>
          <w:rFonts w:hint="eastAsia" w:ascii="宋体" w:hAnsi="宋体"/>
          <w:color w:val="auto"/>
          <w:sz w:val="21"/>
          <w:szCs w:val="21"/>
          <w:highlight w:val="none"/>
        </w:rPr>
        <w:t>〕</w:t>
      </w:r>
      <w:r>
        <w:rPr>
          <w:rFonts w:ascii="宋体" w:hAnsi="宋体"/>
          <w:color w:val="auto"/>
          <w:sz w:val="21"/>
          <w:szCs w:val="21"/>
          <w:highlight w:val="none"/>
        </w:rPr>
        <w:t>9</w:t>
      </w:r>
      <w:r>
        <w:rPr>
          <w:rFonts w:hint="eastAsia" w:ascii="宋体" w:hAnsi="宋体"/>
          <w:color w:val="auto"/>
          <w:sz w:val="21"/>
          <w:szCs w:val="21"/>
          <w:highlight w:val="none"/>
        </w:rPr>
        <w:t>号）执行</w:t>
      </w:r>
      <w:bookmarkEnd w:id="7"/>
      <w:r>
        <w:rPr>
          <w:rFonts w:hint="eastAsia" w:ascii="宋体" w:hAnsi="宋体"/>
          <w:color w:val="auto"/>
          <w:sz w:val="21"/>
          <w:szCs w:val="21"/>
          <w:highlight w:val="none"/>
        </w:rPr>
        <w:t>。</w:t>
      </w:r>
    </w:p>
    <w:p w14:paraId="42DBB319">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 xml:space="preserve">3.3 </w:t>
      </w:r>
      <w:r>
        <w:rPr>
          <w:rFonts w:hint="eastAsia" w:ascii="宋体" w:hAnsi="宋体"/>
          <w:color w:val="auto"/>
          <w:sz w:val="21"/>
          <w:szCs w:val="21"/>
          <w:highlight w:val="none"/>
        </w:rPr>
        <w:t>根据</w:t>
      </w:r>
      <w:bookmarkStart w:id="8" w:name="OLE_LINK1"/>
      <w:r>
        <w:rPr>
          <w:rFonts w:hint="eastAsia" w:ascii="宋体" w:hAnsi="宋体"/>
          <w:color w:val="auto"/>
          <w:sz w:val="21"/>
          <w:szCs w:val="21"/>
          <w:highlight w:val="none"/>
        </w:rPr>
        <w:t>《云南省人民政府办公厅关于全面治理拖欠农民工工资问题的实施意见》（云政办发【</w:t>
      </w:r>
      <w:r>
        <w:rPr>
          <w:rFonts w:ascii="宋体" w:hAnsi="宋体"/>
          <w:color w:val="auto"/>
          <w:sz w:val="21"/>
          <w:szCs w:val="21"/>
          <w:highlight w:val="none"/>
        </w:rPr>
        <w:t>2016</w:t>
      </w:r>
      <w:r>
        <w:rPr>
          <w:rFonts w:hint="eastAsia" w:ascii="宋体" w:hAnsi="宋体"/>
          <w:color w:val="auto"/>
          <w:sz w:val="21"/>
          <w:szCs w:val="21"/>
          <w:highlight w:val="none"/>
        </w:rPr>
        <w:t>】</w:t>
      </w:r>
      <w:r>
        <w:rPr>
          <w:rFonts w:ascii="宋体" w:hAnsi="宋体"/>
          <w:color w:val="auto"/>
          <w:sz w:val="21"/>
          <w:szCs w:val="21"/>
          <w:highlight w:val="none"/>
        </w:rPr>
        <w:t>68</w:t>
      </w:r>
      <w:r>
        <w:rPr>
          <w:rFonts w:hint="eastAsia" w:ascii="宋体" w:hAnsi="宋体"/>
          <w:color w:val="auto"/>
          <w:sz w:val="21"/>
          <w:szCs w:val="21"/>
          <w:highlight w:val="none"/>
        </w:rPr>
        <w:t>号）</w:t>
      </w:r>
      <w:bookmarkEnd w:id="8"/>
      <w:r>
        <w:rPr>
          <w:rFonts w:hint="eastAsia" w:ascii="宋体" w:hAnsi="宋体"/>
          <w:color w:val="auto"/>
          <w:sz w:val="21"/>
          <w:szCs w:val="21"/>
          <w:highlight w:val="none"/>
        </w:rPr>
        <w:t>的规定，在工程项目招投标过程中，若中标人有拖欠工资重大违法行为，取消其中标资格。招标人在发放中标通知书前，应当以查询函的方式统一向当地人社部门函请出具中标人“工资支付信用记录”等相关记录信息。</w:t>
      </w:r>
    </w:p>
    <w:p w14:paraId="639E7257">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3.4</w:t>
      </w:r>
      <w:r>
        <w:rPr>
          <w:rFonts w:hint="eastAsia" w:ascii="宋体" w:hAnsi="宋体"/>
          <w:color w:val="auto"/>
          <w:sz w:val="21"/>
          <w:szCs w:val="21"/>
          <w:highlight w:val="none"/>
        </w:rPr>
        <w:t>其他：</w:t>
      </w:r>
    </w:p>
    <w:p w14:paraId="7365F764">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3.4.1</w:t>
      </w:r>
      <w:r>
        <w:rPr>
          <w:rFonts w:hint="eastAsia" w:ascii="宋体" w:hAnsi="宋体"/>
          <w:color w:val="auto"/>
          <w:sz w:val="21"/>
          <w:szCs w:val="21"/>
          <w:highlight w:val="none"/>
        </w:rPr>
        <w:t>投标人须在中华人民共和国境内注册具有独立承担民事责任能力的合法企业或其他组织，具备有效的营业执照或其它法定证明文件。</w:t>
      </w:r>
      <w:r>
        <w:rPr>
          <w:rFonts w:hint="eastAsia" w:ascii="宋体" w:hAnsi="宋体"/>
          <w:b/>
          <w:bCs/>
          <w:color w:val="auto"/>
          <w:sz w:val="21"/>
          <w:szCs w:val="21"/>
          <w:highlight w:val="none"/>
        </w:rPr>
        <w:t>（若为联合体，联合体各方均须具有）。</w:t>
      </w:r>
    </w:p>
    <w:p w14:paraId="78F5204F">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3.4.2</w:t>
      </w:r>
      <w:r>
        <w:rPr>
          <w:rFonts w:hint="eastAsia" w:ascii="宋体" w:hAnsi="宋体"/>
          <w:color w:val="auto"/>
          <w:sz w:val="21"/>
          <w:szCs w:val="21"/>
          <w:highlight w:val="none"/>
        </w:rPr>
        <w:t>本次招标要求投标人须同时具备以下两项资质：</w:t>
      </w:r>
    </w:p>
    <w:p w14:paraId="7932ABFB">
      <w:pPr>
        <w:adjustRightInd w:val="0"/>
        <w:snapToGrid w:val="0"/>
        <w:spacing w:line="360" w:lineRule="auto"/>
        <w:ind w:firstLine="420" w:firstLineChars="200"/>
        <w:rPr>
          <w:rFonts w:hint="eastAsia" w:ascii="宋体" w:hAnsi="宋体" w:cs="宋体"/>
          <w:b/>
          <w:bCs/>
          <w:color w:val="auto"/>
          <w:sz w:val="21"/>
          <w:szCs w:val="21"/>
          <w:highlight w:val="none"/>
        </w:rPr>
      </w:pPr>
      <w:r>
        <w:rPr>
          <w:rFonts w:hint="eastAsia" w:ascii="宋体" w:hAnsi="宋体" w:cs="宋体"/>
          <w:color w:val="auto"/>
          <w:sz w:val="21"/>
          <w:szCs w:val="21"/>
          <w:highlight w:val="none"/>
        </w:rPr>
        <w:t>（1）勘察资质要求：①. 工程勘察专业类（岩土工程）甲级资质；②. 工程勘察综合甲级资质；满足任一项即可。</w:t>
      </w:r>
      <w:r>
        <w:rPr>
          <w:rFonts w:hint="eastAsia" w:ascii="宋体" w:hAnsi="宋体" w:cs="宋体"/>
          <w:b/>
          <w:bCs/>
          <w:color w:val="auto"/>
          <w:sz w:val="21"/>
          <w:szCs w:val="21"/>
          <w:highlight w:val="none"/>
        </w:rPr>
        <w:t>（若为联合体，联合体中负责具体勘察任务的成员须具有）；</w:t>
      </w:r>
    </w:p>
    <w:p w14:paraId="73F4AD53">
      <w:pPr>
        <w:adjustRightInd w:val="0"/>
        <w:snapToGrid w:val="0"/>
        <w:spacing w:line="360" w:lineRule="auto"/>
        <w:ind w:firstLine="420" w:firstLineChars="200"/>
        <w:rPr>
          <w:rFonts w:hint="eastAsia" w:ascii="宋体" w:hAnsi="宋体" w:cs="宋体"/>
          <w:b/>
          <w:bCs/>
          <w:color w:val="auto"/>
          <w:sz w:val="21"/>
          <w:szCs w:val="21"/>
          <w:highlight w:val="none"/>
        </w:rPr>
      </w:pPr>
      <w:r>
        <w:rPr>
          <w:rFonts w:hint="eastAsia" w:ascii="宋体" w:hAnsi="宋体" w:cs="宋体"/>
          <w:color w:val="auto"/>
          <w:sz w:val="21"/>
          <w:szCs w:val="21"/>
          <w:highlight w:val="none"/>
        </w:rPr>
        <w:t>（2）设计资质要求：①.市政行业（给水工程、排水工程）专业甲级资质；②.市政行业甲级资质；</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 3 \* GB3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③</w: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.工程设计综合甲级资质；满足任一项即可</w:t>
      </w:r>
      <w:r>
        <w:rPr>
          <w:rFonts w:hint="eastAsia" w:ascii="宋体" w:hAnsi="宋体" w:cs="宋体"/>
          <w:b/>
          <w:bCs/>
          <w:color w:val="auto"/>
          <w:sz w:val="21"/>
          <w:szCs w:val="21"/>
          <w:highlight w:val="none"/>
        </w:rPr>
        <w:t>（若为联合体，联合体中负责具体设计任务的成员须具有）；</w:t>
      </w:r>
    </w:p>
    <w:p w14:paraId="4FC90A7C">
      <w:pPr>
        <w:adjustRightInd w:val="0"/>
        <w:snapToGrid w:val="0"/>
        <w:spacing w:line="360" w:lineRule="auto"/>
        <w:ind w:firstLine="420" w:firstLineChars="200"/>
        <w:rPr>
          <w:rFonts w:hint="eastAsia" w:ascii="宋体" w:hAnsi="宋体" w:cs="宋体"/>
          <w:color w:val="auto"/>
          <w:sz w:val="21"/>
          <w:szCs w:val="21"/>
          <w:highlight w:val="none"/>
        </w:rPr>
      </w:pPr>
      <w:r>
        <w:rPr>
          <w:rFonts w:ascii="宋体" w:hAnsi="宋体"/>
          <w:color w:val="auto"/>
          <w:sz w:val="21"/>
          <w:szCs w:val="21"/>
          <w:highlight w:val="none"/>
        </w:rPr>
        <w:t>3.4.3</w:t>
      </w:r>
      <w:r>
        <w:rPr>
          <w:rFonts w:hint="eastAsia" w:ascii="宋体" w:hAnsi="宋体" w:cs="宋体"/>
          <w:color w:val="auto"/>
          <w:sz w:val="21"/>
          <w:szCs w:val="21"/>
          <w:highlight w:val="none"/>
        </w:rPr>
        <w:t>本次招标接受联合体投标，联合体牵头人须为联合体中满足资格要求的设计单位，除符合招标文件对投标人资质条件、能力和信誉的要求外，还应符合下列要求：</w:t>
      </w:r>
    </w:p>
    <w:p w14:paraId="7FBF4B91">
      <w:pPr>
        <w:adjustRightInd w:val="0"/>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（1）联合体各方应签订共同投标协议，明确约定各方拟承担的工作和责任，并将该共同投标协议随投标文件一并提交招标人。</w:t>
      </w:r>
    </w:p>
    <w:p w14:paraId="25C5B5D2">
      <w:pPr>
        <w:adjustRightInd w:val="0"/>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（2）投标人的投标文件及中标后签署的合同协议书对联合体各方均具有法律约束力。</w:t>
      </w:r>
    </w:p>
    <w:p w14:paraId="2EB9B3F8">
      <w:pPr>
        <w:adjustRightInd w:val="0"/>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（3）联合体中标后，联合体各方应当共同与招标人签订合同，为履行合同向招标人承担连带责任。</w:t>
      </w:r>
    </w:p>
    <w:p w14:paraId="56B6962A">
      <w:pPr>
        <w:adjustRightInd w:val="0"/>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（4）在合同履约过程中，若联合体成员之一不能履约或工作质量达不到合同要求及招标人要求的，招标人可与其解除合同，其合同项下的权利义务由联合体牵头人全权承接。各方具体责任承接详见合同条款。</w:t>
      </w:r>
    </w:p>
    <w:p w14:paraId="11249E54">
      <w:pPr>
        <w:adjustRightInd w:val="0"/>
        <w:snapToGrid w:val="0"/>
        <w:spacing w:line="360" w:lineRule="auto"/>
        <w:ind w:firstLine="420" w:firstLineChars="200"/>
        <w:rPr>
          <w:rFonts w:hint="eastAsia" w:ascii="宋体" w:hAnsi="宋体" w:cs="宋体"/>
          <w:color w:val="auto"/>
          <w:sz w:val="21"/>
          <w:szCs w:val="21"/>
          <w:highlight w:val="none"/>
        </w:rPr>
      </w:pPr>
      <w:bookmarkStart w:id="9" w:name="OLE_LINK19"/>
      <w:r>
        <w:rPr>
          <w:rFonts w:hint="eastAsia" w:ascii="宋体" w:hAnsi="宋体" w:cs="宋体"/>
          <w:color w:val="auto"/>
          <w:sz w:val="21"/>
          <w:szCs w:val="21"/>
          <w:highlight w:val="none"/>
        </w:rPr>
        <w:t>（5）联合体各方应提交一份授权书（格式自拟），证明其牵头人资格，该授权书作为投标文件的组成部分一并提交招标人。</w:t>
      </w:r>
    </w:p>
    <w:bookmarkEnd w:id="9"/>
    <w:p w14:paraId="6A966A14">
      <w:pPr>
        <w:adjustRightInd w:val="0"/>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6）二个或二个以上法人或者其他组织可以组成一个联合体，以一个投标人的身份共同投标。联合体各方签订共同投标协议后，不得再以自己名义单独投标，也不得组成新的联合体或参加其他联合体在同一项目中投标。</w:t>
      </w:r>
    </w:p>
    <w:p w14:paraId="47385456">
      <w:pPr>
        <w:adjustRightInd w:val="0"/>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（7）由同一专业的单位组成的联合体，按照资质等级较低的单位确定资质等级。</w:t>
      </w:r>
    </w:p>
    <w:p w14:paraId="228249B1">
      <w:pPr>
        <w:adjustRightInd w:val="0"/>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（8）法律法规关于联合体投标的其他规定。</w:t>
      </w:r>
    </w:p>
    <w:p w14:paraId="3816CE3F">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3.4.4</w:t>
      </w:r>
      <w:r>
        <w:rPr>
          <w:rFonts w:hint="eastAsia" w:ascii="宋体" w:hAnsi="宋体"/>
          <w:color w:val="auto"/>
          <w:sz w:val="21"/>
          <w:szCs w:val="21"/>
          <w:highlight w:val="none"/>
        </w:rPr>
        <w:t>项目组成员须同时满足以下要求：</w:t>
      </w:r>
    </w:p>
    <w:p w14:paraId="42B86992">
      <w:pPr>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）勘察负责人资格要求：具备国家注册土木工程师（岩土）资格证书，提供劳动合同或社保缴费证明</w:t>
      </w:r>
      <w:r>
        <w:rPr>
          <w:rFonts w:hint="eastAsia" w:ascii="宋体" w:hAnsi="宋体"/>
          <w:b/>
          <w:bCs/>
          <w:color w:val="auto"/>
          <w:sz w:val="21"/>
          <w:szCs w:val="21"/>
          <w:highlight w:val="none"/>
        </w:rPr>
        <w:t>（若为联合体，联合体中负责具体勘察任务的成员提供）；</w:t>
      </w:r>
      <w:r>
        <w:rPr>
          <w:rFonts w:ascii="宋体" w:hAnsi="宋体"/>
          <w:color w:val="auto"/>
          <w:sz w:val="21"/>
          <w:szCs w:val="21"/>
          <w:highlight w:val="none"/>
        </w:rPr>
        <w:t xml:space="preserve"> </w:t>
      </w:r>
    </w:p>
    <w:p w14:paraId="73727CAD">
      <w:pPr>
        <w:adjustRightInd w:val="0"/>
        <w:snapToGrid w:val="0"/>
        <w:spacing w:line="360" w:lineRule="auto"/>
        <w:ind w:firstLine="420" w:firstLineChars="200"/>
        <w:rPr>
          <w:rFonts w:hint="eastAsia" w:ascii="宋体" w:hAnsi="宋体"/>
          <w:b/>
          <w:bCs/>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）设计负责人资格要求：具备注册公用设备工程师（给水排水）资格证书，提供劳动合同或社保缴费证明</w:t>
      </w:r>
      <w:r>
        <w:rPr>
          <w:rFonts w:hint="eastAsia" w:ascii="宋体" w:hAnsi="宋体"/>
          <w:b/>
          <w:bCs/>
          <w:color w:val="auto"/>
          <w:sz w:val="21"/>
          <w:szCs w:val="21"/>
          <w:highlight w:val="none"/>
        </w:rPr>
        <w:t>（若为联合体，联合体中负责具体设计任务的成员提供）。</w:t>
      </w:r>
    </w:p>
    <w:p w14:paraId="2F1C698E">
      <w:pPr>
        <w:widowControl w:val="0"/>
        <w:adjustRightInd w:val="0"/>
        <w:snapToGrid w:val="0"/>
        <w:spacing w:line="360" w:lineRule="auto"/>
        <w:ind w:firstLine="420" w:firstLineChars="200"/>
        <w:rPr>
          <w:rFonts w:hint="eastAsia" w:ascii="宋体" w:hAnsi="宋体"/>
          <w:b/>
          <w:bCs/>
          <w:color w:val="auto"/>
          <w:sz w:val="21"/>
          <w:szCs w:val="21"/>
          <w:highlight w:val="none"/>
        </w:rPr>
      </w:pPr>
      <w:r>
        <w:rPr>
          <w:rFonts w:ascii="宋体" w:hAnsi="宋体"/>
          <w:color w:val="auto"/>
          <w:sz w:val="21"/>
          <w:szCs w:val="21"/>
          <w:highlight w:val="none"/>
        </w:rPr>
        <w:t>3.4.5</w:t>
      </w:r>
      <w:r>
        <w:rPr>
          <w:rFonts w:hint="eastAsia" w:ascii="宋体" w:hAnsi="宋体"/>
          <w:color w:val="auto"/>
          <w:sz w:val="21"/>
          <w:szCs w:val="21"/>
          <w:highlight w:val="none"/>
        </w:rPr>
        <w:t>财务状况良好，投标人（独立投标人或联合体牵头单位）应具有良好的财务状况，具备近三年（</w:t>
      </w:r>
      <w:r>
        <w:rPr>
          <w:rFonts w:ascii="宋体" w:hAnsi="宋体"/>
          <w:color w:val="auto"/>
          <w:sz w:val="21"/>
          <w:szCs w:val="21"/>
          <w:highlight w:val="none"/>
        </w:rPr>
        <w:t>202</w:t>
      </w:r>
      <w:r>
        <w:rPr>
          <w:rFonts w:hint="eastAsia" w:ascii="宋体" w:hAnsi="宋体"/>
          <w:color w:val="auto"/>
          <w:sz w:val="21"/>
          <w:szCs w:val="21"/>
          <w:highlight w:val="none"/>
        </w:rPr>
        <w:t>2</w:t>
      </w:r>
      <w:r>
        <w:rPr>
          <w:rFonts w:ascii="宋体" w:hAnsi="宋体"/>
          <w:color w:val="auto"/>
          <w:sz w:val="21"/>
          <w:szCs w:val="21"/>
          <w:highlight w:val="none"/>
        </w:rPr>
        <w:t>-202</w:t>
      </w:r>
      <w:r>
        <w:rPr>
          <w:rFonts w:hint="eastAsia" w:ascii="宋体" w:hAnsi="宋体"/>
          <w:color w:val="auto"/>
          <w:sz w:val="21"/>
          <w:szCs w:val="21"/>
          <w:highlight w:val="none"/>
        </w:rPr>
        <w:t>4）年经审计的审计报告及财务报表（成立时间不足三年的，自成立初年提供；成立时间不足一年的，无需提供）</w:t>
      </w:r>
      <w:r>
        <w:rPr>
          <w:rFonts w:hint="eastAsia" w:ascii="宋体" w:hAnsi="宋体"/>
          <w:b/>
          <w:bCs/>
          <w:color w:val="auto"/>
          <w:sz w:val="21"/>
          <w:szCs w:val="21"/>
          <w:highlight w:val="none"/>
        </w:rPr>
        <w:t>（若为联合体，由联合体牵头人提供）。</w:t>
      </w:r>
    </w:p>
    <w:p w14:paraId="36D7D2EF">
      <w:pPr>
        <w:autoSpaceDE w:val="0"/>
        <w:autoSpaceDN w:val="0"/>
        <w:adjustRightIn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3.4.</w:t>
      </w:r>
      <w:bookmarkStart w:id="10" w:name="_Toc323731339"/>
      <w:bookmarkStart w:id="11" w:name="_Toc341643112"/>
      <w:r>
        <w:rPr>
          <w:rFonts w:hint="eastAsia" w:ascii="宋体" w:hAnsi="宋体"/>
          <w:color w:val="auto"/>
          <w:sz w:val="21"/>
          <w:szCs w:val="21"/>
          <w:highlight w:val="none"/>
        </w:rPr>
        <w:t>6投标人信誉：①近三年</w:t>
      </w:r>
      <w:bookmarkStart w:id="12" w:name="_Hlk125033645"/>
      <w:r>
        <w:rPr>
          <w:rFonts w:hint="eastAsia" w:ascii="宋体" w:hAnsi="宋体"/>
          <w:color w:val="auto"/>
          <w:sz w:val="21"/>
          <w:szCs w:val="21"/>
          <w:highlight w:val="none"/>
        </w:rPr>
        <w:t>（</w:t>
      </w:r>
      <w:r>
        <w:rPr>
          <w:rFonts w:ascii="宋体" w:hAnsi="宋体"/>
          <w:color w:val="auto"/>
          <w:sz w:val="21"/>
          <w:szCs w:val="21"/>
          <w:highlight w:val="none"/>
        </w:rPr>
        <w:t>202</w:t>
      </w:r>
      <w:r>
        <w:rPr>
          <w:rFonts w:hint="eastAsia" w:ascii="宋体" w:hAnsi="宋体"/>
          <w:color w:val="auto"/>
          <w:sz w:val="21"/>
          <w:szCs w:val="21"/>
          <w:highlight w:val="none"/>
        </w:rPr>
        <w:t>2年</w:t>
      </w:r>
      <w:r>
        <w:rPr>
          <w:rFonts w:ascii="宋体" w:hAnsi="宋体"/>
          <w:color w:val="auto"/>
          <w:sz w:val="21"/>
          <w:szCs w:val="21"/>
          <w:highlight w:val="none"/>
        </w:rPr>
        <w:t>1</w:t>
      </w:r>
      <w:r>
        <w:rPr>
          <w:rFonts w:hint="eastAsia" w:ascii="宋体" w:hAnsi="宋体"/>
          <w:color w:val="auto"/>
          <w:sz w:val="21"/>
          <w:szCs w:val="21"/>
          <w:highlight w:val="none"/>
        </w:rPr>
        <w:t>月</w:t>
      </w:r>
      <w:r>
        <w:rPr>
          <w:rFonts w:ascii="宋体" w:hAnsi="宋体"/>
          <w:color w:val="auto"/>
          <w:sz w:val="21"/>
          <w:szCs w:val="21"/>
          <w:highlight w:val="none"/>
        </w:rPr>
        <w:t>1</w:t>
      </w:r>
      <w:r>
        <w:rPr>
          <w:rFonts w:hint="eastAsia" w:ascii="宋体" w:hAnsi="宋体"/>
          <w:color w:val="auto"/>
          <w:sz w:val="21"/>
          <w:szCs w:val="21"/>
          <w:highlight w:val="none"/>
        </w:rPr>
        <w:t>日至今）</w:t>
      </w:r>
      <w:bookmarkEnd w:id="12"/>
      <w:r>
        <w:rPr>
          <w:rFonts w:hint="eastAsia" w:ascii="宋体" w:hAnsi="宋体"/>
          <w:color w:val="auto"/>
          <w:sz w:val="21"/>
          <w:szCs w:val="21"/>
          <w:highlight w:val="none"/>
        </w:rPr>
        <w:t>无因投标人违约或不恰当履约引起的合同中止、纠纷、争议、仲裁和诉讼记录被项目所在地建筑市场监管公共服务平台列入黑名单；投标人在经营活动中没有重大违法记录，投标人没有处于被责令停业，无因企业不良行为记录被项目所在地行政主管部门暂停或取消投标资格，无财产被接管、冻结、破产等状态，没有被项目所在地政府或国家部委禁止市场准入等情形。②投标人未被“信用中国（网址：</w:t>
      </w:r>
      <w:r>
        <w:rPr>
          <w:rFonts w:ascii="宋体" w:hAnsi="宋体"/>
          <w:color w:val="auto"/>
          <w:sz w:val="21"/>
          <w:szCs w:val="21"/>
          <w:highlight w:val="none"/>
        </w:rPr>
        <w:t>https://www.creditchina.gov.cn/</w:t>
      </w:r>
      <w:r>
        <w:rPr>
          <w:rFonts w:hint="eastAsia" w:ascii="宋体" w:hAnsi="宋体"/>
          <w:color w:val="auto"/>
          <w:sz w:val="21"/>
          <w:szCs w:val="21"/>
          <w:highlight w:val="none"/>
        </w:rPr>
        <w:t>）”列入失信被执行人；投标人未被“国家企业信用信息公示系统（网址：</w:t>
      </w:r>
      <w:r>
        <w:rPr>
          <w:rFonts w:ascii="宋体" w:hAnsi="宋体"/>
          <w:color w:val="auto"/>
          <w:sz w:val="21"/>
          <w:szCs w:val="21"/>
          <w:highlight w:val="none"/>
        </w:rPr>
        <w:t>http://www.gsxt.gov.cn/</w:t>
      </w:r>
      <w:r>
        <w:rPr>
          <w:rFonts w:hint="eastAsia" w:ascii="宋体" w:hAnsi="宋体"/>
          <w:color w:val="auto"/>
          <w:sz w:val="21"/>
          <w:szCs w:val="21"/>
          <w:highlight w:val="none"/>
        </w:rPr>
        <w:t>）”列入严重违法失信企业名单（黑名单）；投标人在“云南省政府采购网（网址：</w:t>
      </w:r>
      <w:r>
        <w:rPr>
          <w:rFonts w:ascii="宋体" w:hAnsi="宋体"/>
          <w:color w:val="auto"/>
          <w:sz w:val="21"/>
          <w:szCs w:val="21"/>
          <w:highlight w:val="none"/>
        </w:rPr>
        <w:t>http://www.yngp.com/</w:t>
      </w:r>
      <w:r>
        <w:rPr>
          <w:rFonts w:hint="eastAsia" w:ascii="宋体" w:hAnsi="宋体"/>
          <w:color w:val="auto"/>
          <w:sz w:val="21"/>
          <w:szCs w:val="21"/>
          <w:highlight w:val="none"/>
        </w:rPr>
        <w:t>）”中没有政府采购严重违法失信行为信息记录。</w:t>
      </w:r>
      <w:r>
        <w:rPr>
          <w:rFonts w:hint="eastAsia" w:ascii="宋体" w:hAnsi="宋体"/>
          <w:b/>
          <w:bCs/>
          <w:color w:val="auto"/>
          <w:sz w:val="21"/>
          <w:szCs w:val="21"/>
          <w:highlight w:val="none"/>
        </w:rPr>
        <w:t>（若为联合体，联合体中所有成员均需满足，以招标代理机构查询为准）</w:t>
      </w:r>
      <w:r>
        <w:rPr>
          <w:rFonts w:hint="eastAsia" w:ascii="宋体" w:hAnsi="宋体"/>
          <w:color w:val="auto"/>
          <w:sz w:val="21"/>
          <w:szCs w:val="21"/>
          <w:highlight w:val="none"/>
        </w:rPr>
        <w:t>。项目中标后，经招标人查询若存在查证的以上相关记录，招标人有权取消其中标资格。）</w:t>
      </w:r>
    </w:p>
    <w:p w14:paraId="0FF07A8E">
      <w:pPr>
        <w:keepNext/>
        <w:keepLines/>
        <w:adjustRightInd w:val="0"/>
        <w:snapToGrid w:val="0"/>
        <w:spacing w:line="360" w:lineRule="auto"/>
        <w:ind w:firstLine="540"/>
        <w:rPr>
          <w:rFonts w:hint="eastAsia" w:ascii="宋体" w:hAnsi="宋体"/>
          <w:color w:val="auto"/>
          <w:sz w:val="24"/>
          <w:szCs w:val="24"/>
          <w:highlight w:val="none"/>
        </w:rPr>
      </w:pPr>
      <w:r>
        <w:rPr>
          <w:rFonts w:ascii="宋体" w:hAnsi="宋体"/>
          <w:color w:val="auto"/>
          <w:sz w:val="24"/>
          <w:szCs w:val="24"/>
          <w:highlight w:val="none"/>
        </w:rPr>
        <w:t xml:space="preserve">4. </w:t>
      </w:r>
      <w:r>
        <w:rPr>
          <w:rFonts w:hint="eastAsia" w:ascii="宋体" w:hAnsi="宋体"/>
          <w:color w:val="auto"/>
          <w:sz w:val="24"/>
          <w:szCs w:val="24"/>
          <w:highlight w:val="none"/>
        </w:rPr>
        <w:t>招标文件的获取</w:t>
      </w:r>
      <w:bookmarkEnd w:id="10"/>
      <w:bookmarkEnd w:id="11"/>
    </w:p>
    <w:p w14:paraId="5B9EDD3E">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4.1</w:t>
      </w:r>
      <w:r>
        <w:rPr>
          <w:rFonts w:hint="eastAsia" w:ascii="宋体" w:hAnsi="宋体"/>
          <w:color w:val="auto"/>
          <w:sz w:val="21"/>
          <w:szCs w:val="21"/>
          <w:highlight w:val="none"/>
        </w:rPr>
        <w:t>凡有意参加投标者，请于</w:t>
      </w:r>
      <w:r>
        <w:rPr>
          <w:rFonts w:ascii="宋体" w:hAnsi="宋体"/>
          <w:color w:val="auto"/>
          <w:sz w:val="21"/>
          <w:szCs w:val="21"/>
          <w:highlight w:val="none"/>
        </w:rPr>
        <w:t>202</w:t>
      </w:r>
      <w:r>
        <w:rPr>
          <w:rFonts w:hint="eastAsia" w:ascii="宋体" w:hAnsi="宋体"/>
          <w:color w:val="auto"/>
          <w:sz w:val="21"/>
          <w:szCs w:val="21"/>
          <w:highlight w:val="none"/>
        </w:rPr>
        <w:t>5年</w:t>
      </w:r>
      <w:r>
        <w:rPr>
          <w:rFonts w:ascii="宋体" w:hAnsi="宋体"/>
          <w:color w:val="auto"/>
          <w:sz w:val="21"/>
          <w:szCs w:val="21"/>
          <w:highlight w:val="none"/>
        </w:rPr>
        <w:t xml:space="preserve">  </w:t>
      </w:r>
      <w:r>
        <w:rPr>
          <w:rFonts w:hint="eastAsia" w:ascii="宋体" w:hAnsi="宋体"/>
          <w:color w:val="auto"/>
          <w:sz w:val="21"/>
          <w:szCs w:val="21"/>
          <w:highlight w:val="none"/>
        </w:rPr>
        <w:t>月</w:t>
      </w:r>
      <w:r>
        <w:rPr>
          <w:rFonts w:ascii="宋体" w:hAnsi="宋体"/>
          <w:color w:val="auto"/>
          <w:sz w:val="21"/>
          <w:szCs w:val="21"/>
          <w:highlight w:val="none"/>
        </w:rPr>
        <w:t xml:space="preserve">  </w:t>
      </w:r>
      <w:r>
        <w:rPr>
          <w:rFonts w:hint="eastAsia" w:ascii="宋体" w:hAnsi="宋体"/>
          <w:color w:val="auto"/>
          <w:sz w:val="21"/>
          <w:szCs w:val="21"/>
          <w:highlight w:val="none"/>
        </w:rPr>
        <w:t>日至</w:t>
      </w:r>
      <w:r>
        <w:rPr>
          <w:rFonts w:ascii="宋体" w:hAnsi="宋体"/>
          <w:color w:val="auto"/>
          <w:sz w:val="21"/>
          <w:szCs w:val="21"/>
          <w:highlight w:val="none"/>
        </w:rPr>
        <w:t>202</w:t>
      </w:r>
      <w:r>
        <w:rPr>
          <w:rFonts w:hint="eastAsia" w:ascii="宋体" w:hAnsi="宋体"/>
          <w:color w:val="auto"/>
          <w:sz w:val="21"/>
          <w:szCs w:val="21"/>
          <w:highlight w:val="none"/>
        </w:rPr>
        <w:t>5年</w:t>
      </w:r>
      <w:r>
        <w:rPr>
          <w:rFonts w:ascii="宋体" w:hAnsi="宋体"/>
          <w:color w:val="auto"/>
          <w:sz w:val="21"/>
          <w:szCs w:val="21"/>
          <w:highlight w:val="none"/>
        </w:rPr>
        <w:t xml:space="preserve">  </w:t>
      </w:r>
      <w:r>
        <w:rPr>
          <w:rFonts w:hint="eastAsia" w:ascii="宋体" w:hAnsi="宋体"/>
          <w:color w:val="auto"/>
          <w:sz w:val="21"/>
          <w:szCs w:val="21"/>
          <w:highlight w:val="none"/>
        </w:rPr>
        <w:t>月</w:t>
      </w:r>
      <w:r>
        <w:rPr>
          <w:rFonts w:ascii="宋体" w:hAnsi="宋体"/>
          <w:color w:val="auto"/>
          <w:sz w:val="21"/>
          <w:szCs w:val="21"/>
          <w:highlight w:val="none"/>
        </w:rPr>
        <w:t xml:space="preserve">  </w:t>
      </w:r>
      <w:r>
        <w:rPr>
          <w:rFonts w:hint="eastAsia" w:ascii="宋体" w:hAnsi="宋体"/>
          <w:color w:val="auto"/>
          <w:sz w:val="21"/>
          <w:szCs w:val="21"/>
          <w:highlight w:val="none"/>
        </w:rPr>
        <w:t>日（北京时间，下同）</w:t>
      </w:r>
      <w:r>
        <w:rPr>
          <w:rFonts w:ascii="宋体" w:hAnsi="宋体"/>
          <w:color w:val="auto"/>
          <w:sz w:val="21"/>
          <w:szCs w:val="21"/>
          <w:highlight w:val="none"/>
        </w:rPr>
        <w:t>)</w:t>
      </w:r>
      <w:r>
        <w:rPr>
          <w:rFonts w:hint="eastAsia" w:ascii="宋体" w:hAnsi="宋体"/>
          <w:color w:val="auto"/>
          <w:sz w:val="21"/>
          <w:szCs w:val="21"/>
          <w:highlight w:val="none"/>
        </w:rPr>
        <w:t>［详见云南省公共资源交易平台有关时间安排］，登录云南省公共资源交易平台（网址：</w:t>
      </w:r>
      <w:r>
        <w:rPr>
          <w:rFonts w:ascii="宋体" w:hAnsi="宋体"/>
          <w:color w:val="auto"/>
          <w:sz w:val="21"/>
          <w:szCs w:val="21"/>
          <w:highlight w:val="none"/>
        </w:rPr>
        <w:t>https://ggzy.yn.gov.cn/#/homePage</w:t>
      </w:r>
      <w:r>
        <w:rPr>
          <w:rFonts w:hint="eastAsia" w:ascii="宋体" w:hAnsi="宋体"/>
          <w:color w:val="auto"/>
          <w:sz w:val="21"/>
          <w:szCs w:val="21"/>
          <w:highlight w:val="none"/>
        </w:rPr>
        <w:t>，点击切换至“昆明市”</w:t>
      </w:r>
      <w:r>
        <w:rPr>
          <w:rFonts w:ascii="宋体" w:hAnsi="宋体"/>
          <w:color w:val="auto"/>
          <w:sz w:val="21"/>
          <w:szCs w:val="21"/>
          <w:highlight w:val="none"/>
        </w:rPr>
        <w:t>)</w:t>
      </w:r>
      <w:r>
        <w:rPr>
          <w:rFonts w:hint="eastAsia" w:ascii="宋体" w:hAnsi="宋体"/>
          <w:color w:val="auto"/>
          <w:sz w:val="21"/>
          <w:szCs w:val="21"/>
          <w:highlight w:val="none"/>
        </w:rPr>
        <w:t>，凭企业数字证书（</w:t>
      </w:r>
      <w:r>
        <w:rPr>
          <w:rFonts w:ascii="宋体" w:hAnsi="宋体"/>
          <w:color w:val="auto"/>
          <w:sz w:val="21"/>
          <w:szCs w:val="21"/>
          <w:highlight w:val="none"/>
        </w:rPr>
        <w:t>CA</w:t>
      </w:r>
      <w:r>
        <w:rPr>
          <w:rFonts w:hint="eastAsia" w:ascii="宋体" w:hAnsi="宋体"/>
          <w:color w:val="auto"/>
          <w:sz w:val="21"/>
          <w:szCs w:val="21"/>
          <w:highlight w:val="none"/>
        </w:rPr>
        <w:t>）在网上获取电子招标文件及其它招标资料（含电子招标文件，格式为</w:t>
      </w:r>
      <w:r>
        <w:rPr>
          <w:rFonts w:ascii="宋体" w:hAnsi="宋体"/>
          <w:color w:val="auto"/>
          <w:sz w:val="21"/>
          <w:szCs w:val="21"/>
          <w:highlight w:val="none"/>
        </w:rPr>
        <w:t>*.BZBJ</w:t>
      </w:r>
      <w:r>
        <w:rPr>
          <w:rFonts w:hint="eastAsia" w:ascii="宋体" w:hAnsi="宋体"/>
          <w:color w:val="auto"/>
          <w:sz w:val="21"/>
          <w:szCs w:val="21"/>
          <w:highlight w:val="none"/>
        </w:rPr>
        <w:t>）；未办理企业数字证书（</w:t>
      </w:r>
      <w:r>
        <w:rPr>
          <w:rFonts w:ascii="宋体" w:hAnsi="宋体"/>
          <w:color w:val="auto"/>
          <w:sz w:val="21"/>
          <w:szCs w:val="21"/>
          <w:highlight w:val="none"/>
        </w:rPr>
        <w:t>CA</w:t>
      </w:r>
      <w:r>
        <w:rPr>
          <w:rFonts w:hint="eastAsia" w:ascii="宋体" w:hAnsi="宋体"/>
          <w:color w:val="auto"/>
          <w:sz w:val="21"/>
          <w:szCs w:val="21"/>
          <w:highlight w:val="none"/>
        </w:rPr>
        <w:t>）的企业需要按照昆明市公共资源交易电子认证的要求，办理企业数字证书（</w:t>
      </w:r>
      <w:r>
        <w:rPr>
          <w:rFonts w:ascii="宋体" w:hAnsi="宋体"/>
          <w:color w:val="auto"/>
          <w:sz w:val="21"/>
          <w:szCs w:val="21"/>
          <w:highlight w:val="none"/>
        </w:rPr>
        <w:t>CA</w:t>
      </w:r>
      <w:r>
        <w:rPr>
          <w:rFonts w:hint="eastAsia" w:ascii="宋体" w:hAnsi="宋体"/>
          <w:color w:val="auto"/>
          <w:sz w:val="21"/>
          <w:szCs w:val="21"/>
          <w:highlight w:val="none"/>
        </w:rPr>
        <w:t>），并在云南省公共资源交易平台完成注册通过后，便可获取招标文件，此为获取招标文件的唯一途径。</w:t>
      </w:r>
    </w:p>
    <w:p w14:paraId="74149FE7">
      <w:pPr>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4.2</w:t>
      </w:r>
      <w:r>
        <w:rPr>
          <w:rFonts w:hint="eastAsia" w:ascii="宋体" w:hAnsi="宋体"/>
          <w:color w:val="auto"/>
          <w:sz w:val="21"/>
          <w:szCs w:val="21"/>
          <w:highlight w:val="none"/>
        </w:rPr>
        <w:t>招标文件（含电子招标文件，格式为</w:t>
      </w:r>
      <w:r>
        <w:rPr>
          <w:rFonts w:ascii="宋体" w:hAnsi="宋体"/>
          <w:color w:val="auto"/>
          <w:sz w:val="21"/>
          <w:szCs w:val="21"/>
          <w:highlight w:val="none"/>
        </w:rPr>
        <w:t>*.BZBJ</w:t>
      </w:r>
      <w:r>
        <w:rPr>
          <w:rFonts w:hint="eastAsia" w:ascii="宋体" w:hAnsi="宋体"/>
          <w:color w:val="auto"/>
          <w:sz w:val="21"/>
          <w:szCs w:val="21"/>
          <w:highlight w:val="none"/>
        </w:rPr>
        <w:t>等）供投标人下载使用。</w:t>
      </w:r>
    </w:p>
    <w:p w14:paraId="36511397">
      <w:pPr>
        <w:adjustRightInd w:val="0"/>
        <w:snapToGrid w:val="0"/>
        <w:spacing w:line="360" w:lineRule="auto"/>
        <w:ind w:firstLine="480" w:firstLineChars="200"/>
        <w:rPr>
          <w:rFonts w:hint="eastAsia" w:ascii="宋体" w:hAnsi="宋体"/>
          <w:color w:val="auto"/>
          <w:sz w:val="24"/>
          <w:szCs w:val="24"/>
          <w:highlight w:val="none"/>
        </w:rPr>
      </w:pPr>
      <w:bookmarkStart w:id="13" w:name="_Toc341643113"/>
      <w:bookmarkStart w:id="14" w:name="_Toc323731340"/>
      <w:bookmarkStart w:id="15" w:name="_Toc315699492"/>
      <w:r>
        <w:rPr>
          <w:rFonts w:ascii="宋体" w:hAnsi="宋体"/>
          <w:color w:val="auto"/>
          <w:sz w:val="24"/>
          <w:szCs w:val="24"/>
          <w:highlight w:val="none"/>
        </w:rPr>
        <w:t>5</w:t>
      </w:r>
      <w:r>
        <w:rPr>
          <w:rFonts w:hint="eastAsia" w:ascii="宋体" w:hAnsi="宋体"/>
          <w:color w:val="auto"/>
          <w:sz w:val="24"/>
          <w:szCs w:val="24"/>
          <w:highlight w:val="none"/>
        </w:rPr>
        <w:t>．投标文件的递交</w:t>
      </w:r>
      <w:bookmarkEnd w:id="13"/>
      <w:bookmarkEnd w:id="14"/>
      <w:bookmarkEnd w:id="15"/>
    </w:p>
    <w:p w14:paraId="70F6F5B1">
      <w:pPr>
        <w:widowControl w:val="0"/>
        <w:adjustRightInd w:val="0"/>
        <w:snapToGrid w:val="0"/>
        <w:spacing w:line="360" w:lineRule="auto"/>
        <w:ind w:firstLine="420" w:firstLineChars="200"/>
        <w:rPr>
          <w:rFonts w:hint="eastAsia" w:ascii="宋体" w:hAnsi="宋体"/>
          <w:color w:val="auto"/>
          <w:sz w:val="21"/>
          <w:szCs w:val="21"/>
          <w:highlight w:val="none"/>
        </w:rPr>
      </w:pPr>
      <w:bookmarkStart w:id="16" w:name="_Toc315699493"/>
      <w:bookmarkStart w:id="17" w:name="_Toc341643114"/>
      <w:bookmarkStart w:id="18" w:name="_Toc323731341"/>
      <w:r>
        <w:rPr>
          <w:rFonts w:ascii="宋体" w:hAnsi="宋体"/>
          <w:color w:val="auto"/>
          <w:sz w:val="21"/>
          <w:szCs w:val="21"/>
          <w:highlight w:val="none"/>
        </w:rPr>
        <w:t>5.1</w:t>
      </w:r>
      <w:r>
        <w:rPr>
          <w:rFonts w:hint="eastAsia" w:ascii="宋体" w:hAnsi="宋体"/>
          <w:color w:val="auto"/>
          <w:sz w:val="21"/>
          <w:szCs w:val="21"/>
          <w:highlight w:val="none"/>
        </w:rPr>
        <w:t>投标文件递交的截止时间（投标截止时间，下同）以网上公告时间为准。</w:t>
      </w:r>
    </w:p>
    <w:p w14:paraId="27C429B9">
      <w:pPr>
        <w:widowControl w:val="0"/>
        <w:adjustRightInd w:val="0"/>
        <w:snapToGrid w:val="0"/>
        <w:spacing w:line="360" w:lineRule="auto"/>
        <w:ind w:firstLine="420" w:firstLineChars="200"/>
        <w:rPr>
          <w:rFonts w:hint="eastAsia" w:ascii="宋体" w:hAnsi="宋体"/>
          <w:color w:val="auto"/>
          <w:sz w:val="21"/>
          <w:szCs w:val="21"/>
          <w:highlight w:val="none"/>
        </w:rPr>
      </w:pPr>
      <w:r>
        <w:rPr>
          <w:rFonts w:ascii="宋体" w:hAnsi="宋体"/>
          <w:color w:val="auto"/>
          <w:sz w:val="21"/>
          <w:szCs w:val="21"/>
          <w:highlight w:val="none"/>
        </w:rPr>
        <w:t xml:space="preserve">5.2 </w:t>
      </w:r>
      <w:r>
        <w:rPr>
          <w:rFonts w:hint="eastAsia" w:ascii="宋体" w:hAnsi="宋体"/>
          <w:color w:val="auto"/>
          <w:sz w:val="21"/>
          <w:szCs w:val="21"/>
          <w:highlight w:val="none"/>
        </w:rPr>
        <w:t>电子投标文件递交方式：</w:t>
      </w:r>
    </w:p>
    <w:p w14:paraId="56BDA88B">
      <w:pPr>
        <w:widowControl w:val="0"/>
        <w:adjustRightInd w:val="0"/>
        <w:snapToGrid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网上递交：网上递交网址为：</w:t>
      </w:r>
      <w:r>
        <w:rPr>
          <w:rFonts w:ascii="宋体" w:hAnsi="宋体"/>
          <w:color w:val="auto"/>
          <w:sz w:val="21"/>
          <w:szCs w:val="21"/>
          <w:highlight w:val="none"/>
        </w:rPr>
        <w:t>http://ggzy.yn.gov.cn/ynggfwpt-home-web/#/homePage</w:t>
      </w:r>
      <w:r>
        <w:rPr>
          <w:rFonts w:hint="eastAsia" w:ascii="宋体" w:hAnsi="宋体"/>
          <w:color w:val="auto"/>
          <w:sz w:val="21"/>
          <w:szCs w:val="21"/>
          <w:highlight w:val="none"/>
        </w:rPr>
        <w:t>（详见昆明市公共资源交易平台公共服务系统网上投标操作说明），投标人须在投标截止时间前完成所有投标文件的上传，网上确认电子签名，并打印“上传投标文件回执”，投标截止时间前未完成投标文件传输的，视为撤回投标文件。</w:t>
      </w:r>
    </w:p>
    <w:p w14:paraId="35EBE20E">
      <w:pPr>
        <w:widowControl w:val="0"/>
        <w:adjustRightInd w:val="0"/>
        <w:snapToGrid w:val="0"/>
        <w:spacing w:line="360" w:lineRule="auto"/>
        <w:ind w:firstLine="420" w:firstLineChars="200"/>
        <w:rPr>
          <w:rFonts w:hint="eastAsia" w:ascii="宋体" w:hAnsi="宋体"/>
          <w:bCs/>
          <w:color w:val="auto"/>
          <w:sz w:val="21"/>
          <w:szCs w:val="21"/>
          <w:highlight w:val="none"/>
        </w:rPr>
      </w:pPr>
      <w:r>
        <w:rPr>
          <w:rFonts w:ascii="宋体" w:hAnsi="宋体"/>
          <w:color w:val="auto"/>
          <w:sz w:val="21"/>
          <w:szCs w:val="21"/>
          <w:highlight w:val="none"/>
        </w:rPr>
        <w:t>5.3</w:t>
      </w:r>
      <w:r>
        <w:rPr>
          <w:rFonts w:hint="eastAsia" w:ascii="宋体" w:hAnsi="宋体"/>
          <w:color w:val="auto"/>
          <w:sz w:val="21"/>
          <w:szCs w:val="21"/>
          <w:highlight w:val="none"/>
        </w:rPr>
        <w:t>其他（开标规定等）</w:t>
      </w:r>
      <w:r>
        <w:rPr>
          <w:rFonts w:ascii="宋体" w:hAnsi="宋体"/>
          <w:color w:val="auto"/>
          <w:sz w:val="21"/>
          <w:szCs w:val="21"/>
          <w:highlight w:val="none"/>
        </w:rPr>
        <w:t>:</w:t>
      </w:r>
      <w:r>
        <w:rPr>
          <w:rFonts w:hint="eastAsia" w:ascii="宋体" w:hAnsi="宋体"/>
          <w:color w:val="auto"/>
          <w:sz w:val="21"/>
          <w:szCs w:val="21"/>
          <w:highlight w:val="none"/>
        </w:rPr>
        <w:t>开标采用“智能开标”的方式，云南省公共资源交易平台（</w:t>
      </w:r>
      <w:r>
        <w:rPr>
          <w:rFonts w:ascii="宋体" w:hAnsi="宋体"/>
          <w:color w:val="auto"/>
          <w:sz w:val="21"/>
          <w:szCs w:val="21"/>
          <w:highlight w:val="none"/>
        </w:rPr>
        <w:t>http://ggzy.yn.gov.cn/ynggfwpt-home-web/#/homePage</w:t>
      </w:r>
      <w:r>
        <w:rPr>
          <w:rFonts w:hint="eastAsia" w:ascii="宋体" w:hAnsi="宋体"/>
          <w:color w:val="auto"/>
          <w:sz w:val="21"/>
          <w:szCs w:val="21"/>
          <w:highlight w:val="none"/>
        </w:rPr>
        <w:t>）。注：①智能开标的操作流程详见《云南省公共资源交易电子化平台智能开标系统培训教材（适用投标人和供应商）》（</w:t>
      </w:r>
      <w:r>
        <w:rPr>
          <w:rFonts w:ascii="宋体" w:hAnsi="宋体"/>
          <w:color w:val="auto"/>
          <w:sz w:val="21"/>
          <w:szCs w:val="21"/>
          <w:highlight w:val="none"/>
        </w:rPr>
        <w:t>http://ggzy.yn.gov.cn/ynggfwpt-home-web/#/homePage</w:t>
      </w:r>
      <w:r>
        <w:rPr>
          <w:rFonts w:hint="eastAsia" w:ascii="宋体" w:hAnsi="宋体"/>
          <w:color w:val="auto"/>
          <w:sz w:val="21"/>
          <w:szCs w:val="21"/>
          <w:highlight w:val="none"/>
        </w:rPr>
        <w:t>）及附件。技术操作咨询：北京筑龙信息技术有限责任公司</w:t>
      </w:r>
      <w:r>
        <w:rPr>
          <w:rFonts w:hint="eastAsia" w:ascii="宋体" w:hAnsi="宋体"/>
          <w:bCs/>
          <w:color w:val="auto"/>
          <w:sz w:val="21"/>
          <w:szCs w:val="21"/>
          <w:highlight w:val="none"/>
        </w:rPr>
        <w:t>服务热线：</w:t>
      </w:r>
      <w:r>
        <w:rPr>
          <w:rFonts w:ascii="宋体" w:hAnsi="宋体"/>
          <w:bCs/>
          <w:color w:val="auto"/>
          <w:sz w:val="21"/>
          <w:szCs w:val="21"/>
          <w:highlight w:val="none"/>
        </w:rPr>
        <w:t>010-86483801</w:t>
      </w:r>
      <w:r>
        <w:rPr>
          <w:rFonts w:hint="eastAsia" w:ascii="宋体" w:hAnsi="宋体"/>
          <w:bCs/>
          <w:color w:val="auto"/>
          <w:sz w:val="21"/>
          <w:szCs w:val="21"/>
          <w:highlight w:val="none"/>
        </w:rPr>
        <w:t>。②投标人无需到现场参加开标会议。注：本项目不接受现场递交文件。</w:t>
      </w:r>
    </w:p>
    <w:p w14:paraId="27241825">
      <w:pPr>
        <w:keepNext/>
        <w:adjustRightInd w:val="0"/>
        <w:snapToGrid w:val="0"/>
        <w:spacing w:line="360" w:lineRule="auto"/>
        <w:ind w:firstLine="480" w:firstLineChars="200"/>
        <w:rPr>
          <w:rFonts w:hint="eastAsia" w:ascii="宋体" w:hAnsi="宋体"/>
          <w:color w:val="auto"/>
          <w:sz w:val="24"/>
          <w:szCs w:val="24"/>
          <w:highlight w:val="none"/>
        </w:rPr>
      </w:pPr>
      <w:r>
        <w:rPr>
          <w:rFonts w:ascii="宋体" w:hAnsi="宋体"/>
          <w:color w:val="auto"/>
          <w:sz w:val="24"/>
          <w:szCs w:val="24"/>
          <w:highlight w:val="none"/>
        </w:rPr>
        <w:t>6</w:t>
      </w:r>
      <w:r>
        <w:rPr>
          <w:rFonts w:hint="eastAsia" w:ascii="宋体" w:hAnsi="宋体"/>
          <w:color w:val="auto"/>
          <w:sz w:val="24"/>
          <w:szCs w:val="24"/>
          <w:highlight w:val="none"/>
        </w:rPr>
        <w:t>．发布公告的媒介</w:t>
      </w:r>
      <w:bookmarkEnd w:id="16"/>
      <w:bookmarkEnd w:id="17"/>
      <w:bookmarkEnd w:id="18"/>
    </w:p>
    <w:p w14:paraId="26F0A0EE">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本项目招标公告同时在中国招标投标公共服务平台（</w:t>
      </w:r>
      <w:r>
        <w:rPr>
          <w:rFonts w:ascii="宋体" w:hAnsi="宋体"/>
          <w:color w:val="auto"/>
          <w:sz w:val="21"/>
          <w:szCs w:val="21"/>
          <w:highlight w:val="none"/>
        </w:rPr>
        <w:t>http://www.cebpubservice.com/</w:t>
      </w:r>
      <w:r>
        <w:rPr>
          <w:rFonts w:hint="eastAsia" w:ascii="宋体" w:hAnsi="宋体"/>
          <w:color w:val="auto"/>
          <w:sz w:val="21"/>
          <w:szCs w:val="21"/>
          <w:highlight w:val="none"/>
        </w:rPr>
        <w:t>）、云南省公共资源交易信息网（</w:t>
      </w:r>
      <w:r>
        <w:rPr>
          <w:rFonts w:ascii="宋体" w:hAnsi="宋体"/>
          <w:color w:val="auto"/>
          <w:sz w:val="21"/>
          <w:szCs w:val="21"/>
          <w:highlight w:val="none"/>
        </w:rPr>
        <w:t>http://ggzy.yn.gov.cn/</w:t>
      </w:r>
      <w:r>
        <w:rPr>
          <w:rFonts w:hint="eastAsia" w:ascii="宋体" w:hAnsi="宋体"/>
          <w:color w:val="auto"/>
          <w:sz w:val="21"/>
          <w:szCs w:val="21"/>
          <w:highlight w:val="none"/>
        </w:rPr>
        <w:t>）、</w:t>
      </w:r>
      <w:bookmarkStart w:id="19" w:name="_Hlk125033755"/>
      <w:r>
        <w:rPr>
          <w:rFonts w:hint="eastAsia" w:ascii="宋体" w:hAnsi="宋体"/>
          <w:color w:val="auto"/>
          <w:sz w:val="21"/>
          <w:szCs w:val="21"/>
          <w:highlight w:val="none"/>
        </w:rPr>
        <w:t>昆明市公共资源交易电子服务系统</w:t>
      </w:r>
      <w:bookmarkEnd w:id="19"/>
      <w:r>
        <w:rPr>
          <w:rFonts w:hint="eastAsia" w:ascii="宋体" w:hAnsi="宋体"/>
          <w:color w:val="auto"/>
          <w:sz w:val="21"/>
          <w:szCs w:val="21"/>
          <w:highlight w:val="none"/>
        </w:rPr>
        <w:t>（网址：</w:t>
      </w:r>
      <w:r>
        <w:rPr>
          <w:rFonts w:ascii="宋体" w:hAnsi="宋体"/>
          <w:color w:val="auto"/>
          <w:sz w:val="21"/>
          <w:szCs w:val="21"/>
          <w:highlight w:val="none"/>
        </w:rPr>
        <w:t>http://ggzy.yn.gov.cn/ynggfwpt-home-web/#/homePage</w:t>
      </w:r>
      <w:r>
        <w:rPr>
          <w:rFonts w:hint="eastAsia" w:ascii="宋体" w:hAnsi="宋体"/>
          <w:color w:val="auto"/>
          <w:sz w:val="21"/>
          <w:szCs w:val="21"/>
          <w:highlight w:val="none"/>
        </w:rPr>
        <w:t>）上发布，我公司对其他网站或媒体转载的公告及公告内容不承担任何责任。</w:t>
      </w:r>
    </w:p>
    <w:p w14:paraId="6C0C2CE4">
      <w:pPr>
        <w:adjustRightInd w:val="0"/>
        <w:snapToGrid w:val="0"/>
        <w:spacing w:line="360" w:lineRule="auto"/>
        <w:ind w:firstLine="540"/>
        <w:rPr>
          <w:rFonts w:hint="eastAsia" w:ascii="宋体" w:hAnsi="宋体"/>
          <w:color w:val="auto"/>
          <w:sz w:val="24"/>
          <w:szCs w:val="24"/>
          <w:highlight w:val="none"/>
        </w:rPr>
      </w:pPr>
      <w:bookmarkStart w:id="20" w:name="_Toc323731342"/>
      <w:bookmarkStart w:id="21" w:name="_Toc341643115"/>
      <w:bookmarkStart w:id="22" w:name="_Toc315699494"/>
      <w:r>
        <w:rPr>
          <w:rFonts w:ascii="宋体" w:hAnsi="宋体"/>
          <w:color w:val="auto"/>
          <w:sz w:val="24"/>
          <w:szCs w:val="24"/>
          <w:highlight w:val="none"/>
        </w:rPr>
        <w:t>7</w:t>
      </w:r>
      <w:r>
        <w:rPr>
          <w:rFonts w:hint="eastAsia" w:ascii="宋体" w:hAnsi="宋体"/>
          <w:color w:val="auto"/>
          <w:sz w:val="24"/>
          <w:szCs w:val="24"/>
          <w:highlight w:val="none"/>
        </w:rPr>
        <w:t>．联系方式</w:t>
      </w:r>
      <w:bookmarkEnd w:id="20"/>
      <w:bookmarkEnd w:id="21"/>
      <w:bookmarkEnd w:id="22"/>
    </w:p>
    <w:p w14:paraId="2189F93A">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招标人名称：昆明市水务集团有限责任公司</w:t>
      </w:r>
    </w:p>
    <w:p w14:paraId="6BACA72A">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地    址：昆明市北京路626号</w:t>
      </w:r>
    </w:p>
    <w:p w14:paraId="2FA97BFC">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联 系 人：何老师</w:t>
      </w:r>
    </w:p>
    <w:p w14:paraId="32BEC0A0">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电    话：0871-63162218</w:t>
      </w:r>
    </w:p>
    <w:p w14:paraId="5AF51332">
      <w:pPr>
        <w:adjustRightInd w:val="0"/>
        <w:snapToGrid w:val="0"/>
        <w:spacing w:line="360" w:lineRule="auto"/>
        <w:ind w:firstLine="420" w:firstLineChars="200"/>
        <w:jc w:val="both"/>
        <w:rPr>
          <w:rFonts w:hint="eastAsia" w:ascii="宋体" w:hAnsi="宋体"/>
          <w:color w:val="auto"/>
          <w:sz w:val="21"/>
          <w:szCs w:val="21"/>
          <w:highlight w:val="none"/>
        </w:rPr>
      </w:pPr>
    </w:p>
    <w:p w14:paraId="41FF3BEE">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招标代理机构：云南鼎鑫项目管理咨询有限公司</w:t>
      </w:r>
    </w:p>
    <w:p w14:paraId="5B2AD528">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地址：昆明市五华区科普路固地尚诚</w:t>
      </w:r>
      <w:r>
        <w:rPr>
          <w:rFonts w:ascii="宋体" w:hAnsi="宋体"/>
          <w:color w:val="auto"/>
          <w:sz w:val="21"/>
          <w:szCs w:val="21"/>
          <w:highlight w:val="none"/>
        </w:rPr>
        <w:t>B</w:t>
      </w:r>
      <w:r>
        <w:rPr>
          <w:rFonts w:hint="eastAsia" w:ascii="宋体" w:hAnsi="宋体"/>
          <w:color w:val="auto"/>
          <w:sz w:val="21"/>
          <w:szCs w:val="21"/>
          <w:highlight w:val="none"/>
        </w:rPr>
        <w:t>座</w:t>
      </w:r>
      <w:r>
        <w:rPr>
          <w:rFonts w:ascii="宋体" w:hAnsi="宋体"/>
          <w:color w:val="auto"/>
          <w:sz w:val="21"/>
          <w:szCs w:val="21"/>
          <w:highlight w:val="none"/>
        </w:rPr>
        <w:t>14</w:t>
      </w:r>
      <w:r>
        <w:rPr>
          <w:rFonts w:hint="eastAsia" w:ascii="宋体" w:hAnsi="宋体"/>
          <w:color w:val="auto"/>
          <w:sz w:val="21"/>
          <w:szCs w:val="21"/>
          <w:highlight w:val="none"/>
        </w:rPr>
        <w:t>楼</w:t>
      </w:r>
    </w:p>
    <w:p w14:paraId="53D6F6A6">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联系人：李俊</w:t>
      </w:r>
      <w:r>
        <w:rPr>
          <w:rFonts w:ascii="宋体" w:hAnsi="宋体"/>
          <w:color w:val="auto"/>
          <w:sz w:val="21"/>
          <w:szCs w:val="21"/>
          <w:highlight w:val="none"/>
        </w:rPr>
        <w:t xml:space="preserve">  </w:t>
      </w:r>
      <w:r>
        <w:rPr>
          <w:rFonts w:hint="eastAsia" w:ascii="宋体" w:hAnsi="宋体"/>
          <w:color w:val="auto"/>
          <w:sz w:val="21"/>
          <w:szCs w:val="21"/>
          <w:highlight w:val="none"/>
        </w:rPr>
        <w:t>张皓天</w:t>
      </w:r>
      <w:r>
        <w:rPr>
          <w:rFonts w:ascii="宋体" w:hAnsi="宋体"/>
          <w:color w:val="auto"/>
          <w:sz w:val="21"/>
          <w:szCs w:val="21"/>
          <w:highlight w:val="none"/>
        </w:rPr>
        <w:t xml:space="preserve"> </w:t>
      </w:r>
    </w:p>
    <w:p w14:paraId="113BF3A2">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电话：（</w:t>
      </w:r>
      <w:r>
        <w:rPr>
          <w:rFonts w:ascii="宋体" w:hAnsi="宋体"/>
          <w:color w:val="auto"/>
          <w:sz w:val="21"/>
          <w:szCs w:val="21"/>
          <w:highlight w:val="none"/>
        </w:rPr>
        <w:t>0871</w:t>
      </w:r>
      <w:r>
        <w:rPr>
          <w:rFonts w:hint="eastAsia" w:ascii="宋体" w:hAnsi="宋体"/>
          <w:color w:val="auto"/>
          <w:sz w:val="21"/>
          <w:szCs w:val="21"/>
          <w:highlight w:val="none"/>
        </w:rPr>
        <w:t>）</w:t>
      </w:r>
      <w:r>
        <w:rPr>
          <w:rFonts w:ascii="宋体" w:hAnsi="宋体"/>
          <w:color w:val="auto"/>
          <w:sz w:val="21"/>
          <w:szCs w:val="21"/>
          <w:highlight w:val="none"/>
        </w:rPr>
        <w:t>65213168</w:t>
      </w:r>
      <w:r>
        <w:rPr>
          <w:rFonts w:hint="eastAsia" w:ascii="宋体" w:hAnsi="宋体"/>
          <w:color w:val="auto"/>
          <w:sz w:val="21"/>
          <w:szCs w:val="21"/>
          <w:highlight w:val="none"/>
        </w:rPr>
        <w:t>、</w:t>
      </w:r>
      <w:r>
        <w:rPr>
          <w:rFonts w:ascii="宋体" w:hAnsi="宋体"/>
          <w:color w:val="auto"/>
          <w:sz w:val="21"/>
          <w:szCs w:val="21"/>
          <w:highlight w:val="none"/>
        </w:rPr>
        <w:t>13987127171</w:t>
      </w:r>
      <w:r>
        <w:rPr>
          <w:rFonts w:hint="eastAsia" w:ascii="宋体" w:hAnsi="宋体"/>
          <w:color w:val="auto"/>
          <w:sz w:val="21"/>
          <w:szCs w:val="21"/>
          <w:highlight w:val="none"/>
        </w:rPr>
        <w:t>、</w:t>
      </w:r>
      <w:r>
        <w:rPr>
          <w:rFonts w:ascii="宋体" w:hAnsi="宋体"/>
          <w:color w:val="auto"/>
          <w:sz w:val="21"/>
          <w:szCs w:val="21"/>
          <w:highlight w:val="none"/>
        </w:rPr>
        <w:t>15969402895</w:t>
      </w:r>
    </w:p>
    <w:p w14:paraId="49F9F70C">
      <w:pPr>
        <w:adjustRightInd w:val="0"/>
        <w:snapToGrid w:val="0"/>
        <w:spacing w:line="360" w:lineRule="auto"/>
        <w:ind w:firstLine="420" w:firstLineChars="200"/>
        <w:jc w:val="both"/>
        <w:rPr>
          <w:rFonts w:hint="eastAsia" w:ascii="宋体" w:hAnsi="宋体"/>
          <w:color w:val="auto"/>
          <w:sz w:val="21"/>
          <w:szCs w:val="21"/>
          <w:highlight w:val="none"/>
        </w:rPr>
      </w:pPr>
    </w:p>
    <w:p w14:paraId="3DC6A30B">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监督部门名称：昆明市政务服务管理局（0871-63121371）</w:t>
      </w:r>
    </w:p>
    <w:p w14:paraId="0CE3B5FE">
      <w:pPr>
        <w:pStyle w:val="4"/>
        <w:ind w:firstLine="540"/>
        <w:rPr>
          <w:rFonts w:hint="eastAsia" w:ascii="宋体" w:hAnsi="宋体"/>
          <w:color w:val="auto"/>
          <w:highlight w:val="none"/>
        </w:rPr>
      </w:pPr>
    </w:p>
    <w:p w14:paraId="3815C4FD">
      <w:pPr>
        <w:adjustRightInd w:val="0"/>
        <w:snapToGrid w:val="0"/>
        <w:spacing w:line="360" w:lineRule="auto"/>
        <w:ind w:firstLine="420" w:firstLineChars="200"/>
        <w:jc w:val="both"/>
        <w:rPr>
          <w:rFonts w:hint="eastAsia" w:ascii="宋体" w:hAnsi="宋体"/>
          <w:color w:val="auto"/>
          <w:sz w:val="21"/>
          <w:szCs w:val="21"/>
          <w:highlight w:val="none"/>
        </w:rPr>
      </w:pPr>
      <w:r>
        <w:rPr>
          <w:rFonts w:hint="eastAsia" w:ascii="宋体" w:hAnsi="宋体"/>
          <w:color w:val="auto"/>
          <w:sz w:val="21"/>
          <w:szCs w:val="21"/>
          <w:highlight w:val="none"/>
        </w:rPr>
        <w:t>技术支持：北京筑龙信息技术有限责任公司</w:t>
      </w:r>
      <w:r>
        <w:rPr>
          <w:rFonts w:ascii="宋体" w:hAnsi="宋体"/>
          <w:color w:val="auto"/>
          <w:sz w:val="21"/>
          <w:szCs w:val="21"/>
          <w:highlight w:val="none"/>
        </w:rPr>
        <w:t xml:space="preserve"> </w:t>
      </w:r>
    </w:p>
    <w:p w14:paraId="127AC858">
      <w:r>
        <w:rPr>
          <w:rFonts w:hint="eastAsia" w:ascii="宋体" w:hAnsi="宋体"/>
          <w:color w:val="auto"/>
          <w:sz w:val="21"/>
          <w:szCs w:val="21"/>
          <w:highlight w:val="none"/>
        </w:rPr>
        <w:t>服务热线：</w:t>
      </w:r>
      <w:r>
        <w:rPr>
          <w:rFonts w:ascii="宋体" w:hAnsi="宋体"/>
          <w:color w:val="auto"/>
          <w:sz w:val="21"/>
          <w:szCs w:val="21"/>
          <w:highlight w:val="none"/>
        </w:rPr>
        <w:t>010-86483801</w:t>
      </w:r>
      <w:bookmarkStart w:id="23" w:name="_GoBack"/>
      <w:bookmarkEnd w:id="2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24656C"/>
    <w:rsid w:val="0DA2357F"/>
    <w:rsid w:val="180E1AD8"/>
    <w:rsid w:val="1EA2312F"/>
    <w:rsid w:val="1FE40927"/>
    <w:rsid w:val="20AD0A3E"/>
    <w:rsid w:val="223D6DB8"/>
    <w:rsid w:val="29446373"/>
    <w:rsid w:val="2B681189"/>
    <w:rsid w:val="3424656C"/>
    <w:rsid w:val="434D26DE"/>
    <w:rsid w:val="44C01C55"/>
    <w:rsid w:val="496B43A1"/>
    <w:rsid w:val="4BED37F2"/>
    <w:rsid w:val="592927AD"/>
    <w:rsid w:val="5B2E041C"/>
    <w:rsid w:val="6249619E"/>
    <w:rsid w:val="66970039"/>
    <w:rsid w:val="79316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after="200" w:line="276" w:lineRule="auto"/>
    </w:pPr>
    <w:rPr>
      <w:rFonts w:ascii="Times New Roman" w:hAnsi="Times New Roman" w:eastAsia="宋体" w:cs="Times New Roman"/>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toc 2"/>
    <w:basedOn w:val="1"/>
    <w:next w:val="1"/>
    <w:qFormat/>
    <w:uiPriority w:val="39"/>
    <w:pPr>
      <w:tabs>
        <w:tab w:val="right" w:leader="dot" w:pos="9402"/>
      </w:tabs>
      <w:spacing w:line="420" w:lineRule="auto"/>
      <w:ind w:firstLine="400" w:firstLineChars="200"/>
    </w:pPr>
  </w:style>
  <w:style w:type="paragraph" w:styleId="4">
    <w:name w:val="Body Text 2"/>
    <w:basedOn w:val="1"/>
    <w:semiHidden/>
    <w:unhideWhenUsed/>
    <w:qFormat/>
    <w:uiPriority w:val="99"/>
    <w:pPr>
      <w:spacing w:after="120" w:line="480" w:lineRule="auto"/>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2025-12-24T10:51:00Z</dcterms:created>
  <dc:creator>Demon King</dc:creator>
  <cp:lastModifiedBy>Demon King</cp:lastModifiedBy>
  <dcterms:modified xsi:type="dcterms:W3CDTF">2025-12-24T10:51:53Z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5F18267B196E45CCAF68513EFE874263_11</vt:lpwstr>
  </property>
  <property fmtid="{D5CDD505-2E9C-101B-9397-08002B2CF9AE}" pid="4" name="KSOTemplateDocerSaveRecord">
    <vt:lpwstr>eyJoZGlkIjoiMDUyZGFjYTFhYTFmM2M5YTJmNGMxNjIyZDlhYmI1MWYiLCJ1c2VySWQiOiIyMzk4MzQ5NjgifQ==</vt:lpwstr>
  </property>
</Properties>
</file>